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96" w:lineRule="exact"/>
        <w:rPr>
          <w:sz w:val="24"/>
          <w:szCs w:val="24"/>
          <w:color w:val="auto"/>
        </w:rPr>
      </w:pPr>
    </w:p>
    <w:p>
      <w:pPr>
        <w:jc w:val="right"/>
        <w:ind w:left="4480" w:right="4480" w:hanging="4119"/>
        <w:spacing w:after="0" w:line="488" w:lineRule="auto"/>
        <w:tabs>
          <w:tab w:leader="none" w:pos="725"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June 30, 2022</w:t>
      </w:r>
    </w:p>
    <w:p>
      <w:pPr>
        <w:spacing w:after="0" w:line="143" w:lineRule="exact"/>
        <w:rPr>
          <w:sz w:val="24"/>
          <w:szCs w:val="24"/>
          <w:color w:val="auto"/>
        </w:rPr>
      </w:pPr>
    </w:p>
    <w:p>
      <w:pPr>
        <w:ind w:left="4720" w:right="4460" w:hanging="4359"/>
        <w:spacing w:after="0" w:line="488" w:lineRule="auto"/>
        <w:tabs>
          <w:tab w:leader="none" w:pos="737" w:val="left"/>
        </w:tabs>
        <w:numPr>
          <w:ilvl w:val="0"/>
          <w:numId w:val="2"/>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3035300</wp:posOffset>
            </wp:positionH>
            <wp:positionV relativeFrom="paragraph">
              <wp:posOffset>-93345</wp:posOffset>
            </wp:positionV>
            <wp:extent cx="109728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27432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ALKERMES PUBLIC LIMITED COMPANY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4200" w:type="dxa"/>
            <w:vAlign w:val="bottom"/>
          </w:tcPr>
          <w:p>
            <w:pPr>
              <w:jc w:val="center"/>
              <w:ind w:left="1120"/>
              <w:spacing w:after="0"/>
              <w:rPr>
                <w:sz w:val="20"/>
                <w:szCs w:val="20"/>
                <w:color w:val="auto"/>
              </w:rPr>
            </w:pPr>
            <w:r>
              <w:rPr>
                <w:rFonts w:ascii="Times New Roman" w:cs="Times New Roman" w:eastAsia="Times New Roman" w:hAnsi="Times New Roman"/>
                <w:sz w:val="12"/>
                <w:szCs w:val="12"/>
                <w:b w:val="1"/>
                <w:bCs w:val="1"/>
                <w:color w:val="auto"/>
                <w:w w:val="99"/>
              </w:rPr>
              <w:t>Ireland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98-1007018</w:t>
            </w:r>
          </w:p>
        </w:tc>
      </w:tr>
      <w:tr>
        <w:trPr>
          <w:trHeight w:val="155"/>
        </w:trPr>
        <w:tc>
          <w:tcPr>
            <w:tcW w:w="4200" w:type="dxa"/>
            <w:vAlign w:val="bottom"/>
          </w:tcPr>
          <w:p>
            <w:pPr>
              <w:jc w:val="center"/>
              <w:ind w:left="1120"/>
              <w:spacing w:after="0"/>
              <w:rPr>
                <w:sz w:val="20"/>
                <w:szCs w:val="20"/>
                <w:color w:val="auto"/>
              </w:rPr>
            </w:pPr>
            <w:r>
              <w:rPr>
                <w:rFonts w:ascii="Times New Roman" w:cs="Times New Roman" w:eastAsia="Times New Roman" w:hAnsi="Times New Roman"/>
                <w:sz w:val="12"/>
                <w:szCs w:val="12"/>
                <w:color w:val="auto"/>
                <w:w w:val="99"/>
              </w:rPr>
              <w:t>(State or other jurisdiction of incorporation or organization)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40" w:type="dxa"/>
            <w:vAlign w:val="bottom"/>
          </w:tcPr>
          <w:p>
            <w:pPr>
              <w:jc w:val="center"/>
              <w:ind w:right="146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219"/>
        </w:trPr>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Connaught House</w:t>
            </w:r>
          </w:p>
        </w:tc>
        <w:tc>
          <w:tcPr>
            <w:tcW w:w="3940" w:type="dxa"/>
            <w:vAlign w:val="bottom"/>
          </w:tcPr>
          <w:p>
            <w:pPr>
              <w:spacing w:after="0"/>
              <w:rPr>
                <w:sz w:val="19"/>
                <w:szCs w:val="19"/>
                <w:color w:val="auto"/>
              </w:rPr>
            </w:pPr>
          </w:p>
        </w:tc>
      </w:tr>
      <w:tr>
        <w:trPr>
          <w:trHeight w:val="144"/>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1 Burlington Road</w:t>
            </w:r>
          </w:p>
        </w:tc>
        <w:tc>
          <w:tcPr>
            <w:tcW w:w="3940" w:type="dxa"/>
            <w:vAlign w:val="bottom"/>
          </w:tcPr>
          <w:p>
            <w:pPr>
              <w:spacing w:after="0"/>
              <w:rPr>
                <w:sz w:val="12"/>
                <w:szCs w:val="12"/>
                <w:color w:val="auto"/>
              </w:rPr>
            </w:pPr>
          </w:p>
        </w:tc>
      </w:tr>
      <w:tr>
        <w:trPr>
          <w:trHeight w:val="148"/>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Dublin 4, Ireland, D04 C5Y6</w:t>
            </w:r>
          </w:p>
        </w:tc>
        <w:tc>
          <w:tcPr>
            <w:tcW w:w="3940" w:type="dxa"/>
            <w:vAlign w:val="bottom"/>
          </w:tcPr>
          <w:p>
            <w:pPr>
              <w:spacing w:after="0"/>
              <w:rPr>
                <w:sz w:val="12"/>
                <w:szCs w:val="12"/>
                <w:color w:val="auto"/>
              </w:rPr>
            </w:pPr>
          </w:p>
        </w:tc>
      </w:tr>
      <w:tr>
        <w:trPr>
          <w:trHeight w:val="155"/>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3"/>
          </w:tcPr>
          <w:p>
            <w:pPr>
              <w:jc w:val="center"/>
              <w:ind w:right="48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940" w:type="dxa"/>
            <w:vAlign w:val="bottom"/>
          </w:tcPr>
          <w:p>
            <w:pPr>
              <w:spacing w:after="0"/>
              <w:rPr>
                <w:sz w:val="13"/>
                <w:szCs w:val="13"/>
                <w:color w:val="auto"/>
              </w:rPr>
            </w:pPr>
          </w:p>
        </w:tc>
      </w:tr>
      <w:tr>
        <w:trPr>
          <w:trHeight w:val="223"/>
        </w:trPr>
        <w:tc>
          <w:tcPr>
            <w:tcW w:w="4200" w:type="dxa"/>
            <w:vAlign w:val="bottom"/>
          </w:tcPr>
          <w:p>
            <w:pPr>
              <w:spacing w:after="0"/>
              <w:rPr>
                <w:sz w:val="19"/>
                <w:szCs w:val="19"/>
                <w:color w:val="auto"/>
              </w:rPr>
            </w:pPr>
          </w:p>
        </w:tc>
        <w:tc>
          <w:tcPr>
            <w:tcW w:w="2700" w:type="dxa"/>
            <w:vAlign w:val="bottom"/>
            <w:gridSpan w:val="3"/>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+ 353-1-772-8000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155"/>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3940" w:type="dxa"/>
            <w:vAlign w:val="bottom"/>
          </w:tcPr>
          <w:p>
            <w:pPr>
              <w:spacing w:after="0"/>
              <w:rPr>
                <w:sz w:val="13"/>
                <w:szCs w:val="13"/>
                <w:color w:val="auto"/>
              </w:rPr>
            </w:pPr>
          </w:p>
        </w:tc>
      </w:tr>
      <w:tr>
        <w:trPr>
          <w:trHeight w:val="234"/>
        </w:trPr>
        <w:tc>
          <w:tcPr>
            <w:tcW w:w="4200" w:type="dxa"/>
            <w:vAlign w:val="bottom"/>
          </w:tcPr>
          <w:p>
            <w:pPr>
              <w:spacing w:after="0"/>
              <w:rPr>
                <w:sz w:val="20"/>
                <w:szCs w:val="20"/>
                <w:color w:val="auto"/>
              </w:rPr>
            </w:pPr>
          </w:p>
        </w:tc>
        <w:tc>
          <w:tcPr>
            <w:tcW w:w="3160" w:type="dxa"/>
            <w:vAlign w:val="bottom"/>
            <w:gridSpan w:val="5"/>
          </w:tcPr>
          <w:p>
            <w:pPr>
              <w:jc w:val="center"/>
              <w:ind w:right="280"/>
              <w:spacing w:after="0"/>
              <w:rPr>
                <w:sz w:val="20"/>
                <w:szCs w:val="20"/>
                <w:color w:val="auto"/>
              </w:rPr>
            </w:pPr>
            <w:r>
              <w:rPr>
                <w:rFonts w:ascii="Times New Roman" w:cs="Times New Roman" w:eastAsia="Times New Roman" w:hAnsi="Times New Roman"/>
                <w:sz w:val="12"/>
                <w:szCs w:val="12"/>
                <w:color w:val="auto"/>
                <w:w w:val="99"/>
              </w:rPr>
              <w:t>Securities registered pursuant to Section 12(b) of the Act:</w:t>
            </w:r>
          </w:p>
        </w:tc>
        <w:tc>
          <w:tcPr>
            <w:tcW w:w="3940" w:type="dxa"/>
            <w:vAlign w:val="bottom"/>
          </w:tcPr>
          <w:p>
            <w:pPr>
              <w:spacing w:after="0"/>
              <w:rPr>
                <w:sz w:val="20"/>
                <w:szCs w:val="20"/>
                <w:color w:val="auto"/>
              </w:rPr>
            </w:pPr>
          </w:p>
        </w:tc>
      </w:tr>
      <w:tr>
        <w:trPr>
          <w:trHeight w:val="198"/>
        </w:trPr>
        <w:tc>
          <w:tcPr>
            <w:tcW w:w="420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3"/>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94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4200" w:type="dxa"/>
            <w:vAlign w:val="bottom"/>
            <w:tcBorders>
              <w:top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color w:val="auto"/>
                <w:w w:val="99"/>
              </w:rPr>
              <w:t>Ordinary shares, $0.01 par value</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ALKS</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940" w:type="dxa"/>
            <w:vAlign w:val="bottom"/>
            <w:tcBorders>
              <w:top w:val="single" w:sz="8" w:color="auto"/>
            </w:tcBorders>
          </w:tcPr>
          <w:p>
            <w:pPr>
              <w:jc w:val="center"/>
              <w:ind w:right="300"/>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32" w:lineRule="exact"/>
        <w:rPr>
          <w:sz w:val="24"/>
          <w:szCs w:val="24"/>
          <w:color w:val="auto"/>
        </w:rPr>
      </w:pPr>
    </w:p>
    <w:p>
      <w:pPr>
        <w:ind w:right="80"/>
        <w:spacing w:after="0" w:line="14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1" w:lineRule="exact"/>
        <w:rPr>
          <w:sz w:val="24"/>
          <w:szCs w:val="24"/>
          <w:color w:val="auto"/>
        </w:rPr>
      </w:pPr>
    </w:p>
    <w:p>
      <w:pPr>
        <w:ind w:right="100"/>
        <w:spacing w:after="0" w:line="14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0" w:lineRule="exact"/>
        <w:rPr>
          <w:sz w:val="24"/>
          <w:szCs w:val="24"/>
          <w:color w:val="auto"/>
        </w:rPr>
      </w:pPr>
    </w:p>
    <w:p>
      <w:pPr>
        <w:ind w:right="440"/>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450" w:right="299" w:bottom="1440" w:gutter="0" w:footer="0" w:header="0"/>
        </w:sectPr>
      </w:pPr>
    </w:p>
    <w:p>
      <w:pPr>
        <w:spacing w:after="0" w:line="176" w:lineRule="exact"/>
        <w:rPr>
          <w:sz w:val="24"/>
          <w:szCs w:val="24"/>
          <w:color w:val="auto"/>
        </w:rPr>
      </w:pPr>
    </w:p>
    <w:p>
      <w:pPr>
        <w:ind w:left="2160"/>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23" w:lineRule="exact"/>
        <w:rPr>
          <w:sz w:val="24"/>
          <w:szCs w:val="24"/>
          <w:color w:val="auto"/>
        </w:rPr>
      </w:pPr>
    </w:p>
    <w:p>
      <w:pPr>
        <w:ind w:left="218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ind w:right="1940"/>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2" w:lineRule="exact"/>
        <w:rPr>
          <w:sz w:val="24"/>
          <w:szCs w:val="24"/>
          <w:color w:val="auto"/>
        </w:rPr>
      </w:pPr>
    </w:p>
    <w:p>
      <w:pPr>
        <w:jc w:val="center"/>
        <w:ind w:right="1940"/>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jc w:val="center"/>
        <w:ind w:right="19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69" w:lineRule="exact"/>
        <w:rPr>
          <w:sz w:val="24"/>
          <w:szCs w:val="24"/>
          <w:color w:val="auto"/>
        </w:rPr>
      </w:pPr>
    </w:p>
    <w:p>
      <w:pPr>
        <w:sectPr>
          <w:pgSz w:w="11900" w:h="16838" w:orient="portrait"/>
          <w:cols w:equalWidth="0" w:num="2">
            <w:col w:w="7200" w:space="720"/>
            <w:col w:w="3380"/>
          </w:cols>
          <w:pgMar w:left="300" w:top="450" w:right="299" w:bottom="1440" w:gutter="0" w:footer="0" w:header="0"/>
          <w:type w:val="continuous"/>
        </w:sectPr>
      </w:pPr>
    </w:p>
    <w:p>
      <w:pPr>
        <w:ind w:right="100"/>
        <w:spacing w:after="0" w:line="14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p>
    <w:p>
      <w:pPr>
        <w:ind w:right="5180"/>
        <w:spacing w:after="0" w:line="19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The number of the registrant’s ordinary shares, $0.01 par value, outstanding as of July 22, 2022 was 164,254,275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490855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50" w:right="29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QUARTERLY REPORT ON FORM 10-Q</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QUARTERLY PERIOD ENDED JUNE 30,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Page No.</w:t>
            </w:r>
          </w:p>
        </w:tc>
        <w:tc>
          <w:tcPr>
            <w:tcW w:w="0" w:type="dxa"/>
            <w:vAlign w:val="bottom"/>
          </w:tcPr>
          <w:p>
            <w:pPr>
              <w:spacing w:after="0"/>
              <w:rPr>
                <w:sz w:val="1"/>
                <w:szCs w:val="1"/>
                <w:color w:val="auto"/>
              </w:rPr>
            </w:pPr>
          </w:p>
        </w:tc>
      </w:tr>
      <w:tr>
        <w:trPr>
          <w:trHeight w:val="113"/>
        </w:trPr>
        <w:tc>
          <w:tcPr>
            <w:tcW w:w="50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CCEEFF"/>
              <w:bottom w:val="single" w:sz="8" w:color="CCEEFF"/>
            </w:tcBorders>
            <w:shd w:val="clear" w:color="auto" w:fill="CCEEFF"/>
          </w:tcPr>
          <w:p>
            <w:pPr>
              <w:spacing w:after="0"/>
              <w:rPr>
                <w:sz w:val="9"/>
                <w:szCs w:val="9"/>
                <w:color w:val="auto"/>
              </w:rPr>
            </w:pPr>
          </w:p>
        </w:tc>
        <w:tc>
          <w:tcPr>
            <w:tcW w:w="40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tcBorders>
            <w:shd w:val="clear" w:color="auto" w:fill="CCEEFF"/>
          </w:tcPr>
          <w:p>
            <w:pPr>
              <w:spacing w:after="0"/>
              <w:rPr>
                <w:sz w:val="9"/>
                <w:szCs w:val="9"/>
                <w:color w:val="auto"/>
              </w:rPr>
            </w:pPr>
          </w:p>
        </w:tc>
        <w:tc>
          <w:tcPr>
            <w:tcW w:w="148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2020" w:type="dxa"/>
            <w:vAlign w:val="bottom"/>
            <w:tcBorders>
              <w:top w:val="single" w:sz="8" w:color="CCEEFF"/>
              <w:bottom w:val="single" w:sz="8" w:color="0000EE"/>
              <w:right w:val="single" w:sz="8" w:color="CCEEFF"/>
            </w:tcBorders>
            <w:gridSpan w:val="4"/>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b w:val="1"/>
                <w:bCs w:val="1"/>
                <w:i w:val="1"/>
                <w:iCs w:val="1"/>
                <w:color w:val="0000EE"/>
                <w:w w:val="99"/>
              </w:rPr>
              <w:t>PART I - FINANCIAL INFORMATION</w:t>
            </w:r>
          </w:p>
        </w:tc>
        <w:tc>
          <w:tcPr>
            <w:tcW w:w="4280" w:type="dxa"/>
            <w:vAlign w:val="bottom"/>
            <w:tcBorders>
              <w:top w:val="single" w:sz="8" w:color="CCEEFF"/>
              <w:bottom w:val="single" w:sz="8" w:color="CCEEFF"/>
            </w:tcBorders>
            <w:gridSpan w:val="3"/>
            <w:shd w:val="clear" w:color="auto" w:fill="CCEEFF"/>
          </w:tcPr>
          <w:p>
            <w:pPr>
              <w:spacing w:after="0"/>
              <w:rPr>
                <w:sz w:val="9"/>
                <w:szCs w:val="9"/>
                <w:color w:val="auto"/>
              </w:rPr>
            </w:pPr>
          </w:p>
        </w:tc>
        <w:tc>
          <w:tcPr>
            <w:tcW w:w="72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6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1.</w:t>
            </w:r>
          </w:p>
        </w:tc>
        <w:tc>
          <w:tcPr>
            <w:tcW w:w="2840" w:type="dxa"/>
            <w:vAlign w:val="bottom"/>
            <w:tcBorders>
              <w:bottom w:val="single" w:sz="8" w:color="0000EE"/>
            </w:tcBorders>
            <w:gridSpan w:val="7"/>
          </w:tcPr>
          <w:p>
            <w:pPr>
              <w:spacing w:after="0" w:line="117" w:lineRule="exact"/>
              <w:rPr>
                <w:sz w:val="20"/>
                <w:szCs w:val="20"/>
                <w:color w:val="auto"/>
              </w:rPr>
            </w:pPr>
            <w:r>
              <w:rPr>
                <w:rFonts w:ascii="Times New Roman" w:cs="Times New Roman" w:eastAsia="Times New Roman" w:hAnsi="Times New Roman"/>
                <w:sz w:val="12"/>
                <w:szCs w:val="12"/>
                <w:color w:val="0000EE"/>
                <w:w w:val="99"/>
              </w:rPr>
              <w:t>Condensed Consolidated Financial Statements (unaudited):</w:t>
            </w:r>
          </w:p>
        </w:tc>
        <w:tc>
          <w:tcPr>
            <w:tcW w:w="6580" w:type="dxa"/>
            <w:vAlign w:val="bottom"/>
            <w:gridSpan w:val="10"/>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3980" w:type="dxa"/>
            <w:vAlign w:val="bottom"/>
            <w:tcBorders>
              <w:bottom w:val="single" w:sz="8" w:color="0000EE"/>
            </w:tcBorders>
            <w:gridSpan w:val="1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Condensed Consolidated Balance Sheets — June 30, 2022 and December 31, 2021</w:t>
            </w:r>
          </w:p>
        </w:tc>
        <w:tc>
          <w:tcPr>
            <w:tcW w:w="5440" w:type="dxa"/>
            <w:vAlign w:val="bottom"/>
            <w:tcBorders>
              <w:bottom w:val="single" w:sz="8" w:color="CCEEFF"/>
            </w:tcBorders>
            <w:gridSpan w:val="5"/>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80" w:type="dxa"/>
            <w:vAlign w:val="bottom"/>
            <w:tcBorders>
              <w:bottom w:val="single" w:sz="8" w:color="0000EE"/>
            </w:tcBorders>
            <w:gridSpan w:val="16"/>
          </w:tcPr>
          <w:p>
            <w:pPr>
              <w:spacing w:after="0" w:line="117" w:lineRule="exact"/>
              <w:rPr>
                <w:sz w:val="20"/>
                <w:szCs w:val="20"/>
                <w:color w:val="auto"/>
              </w:rPr>
            </w:pPr>
            <w:r>
              <w:rPr>
                <w:rFonts w:ascii="Times New Roman" w:cs="Times New Roman" w:eastAsia="Times New Roman" w:hAnsi="Times New Roman"/>
                <w:sz w:val="12"/>
                <w:szCs w:val="12"/>
                <w:color w:val="0000EE"/>
                <w:w w:val="99"/>
              </w:rPr>
              <w:t>Condensed Consolidated Statements of Operations and Comprehensive (Loss) Income — For the Three and Six Months Ended June 30, 2022 and 2021</w:t>
            </w:r>
          </w:p>
        </w:tc>
        <w:tc>
          <w:tcPr>
            <w:tcW w:w="214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420" w:type="dxa"/>
            <w:vAlign w:val="bottom"/>
            <w:gridSpan w:val="1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Condensed Consolidated Statements of Cash Flows — For the Six Months Ended June 30, 2022 and 2021</w:t>
            </w:r>
          </w:p>
        </w:tc>
        <w:tc>
          <w:tcPr>
            <w:tcW w:w="7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40" w:type="dxa"/>
            <w:vAlign w:val="bottom"/>
            <w:tcBorders>
              <w:right w:val="single" w:sz="8" w:color="0000EE"/>
            </w:tcBorders>
            <w:shd w:val="clear" w:color="auto" w:fill="0000EE"/>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60" w:type="dxa"/>
            <w:vAlign w:val="bottom"/>
            <w:tcBorders>
              <w:bottom w:val="single" w:sz="8" w:color="0000EE"/>
            </w:tcBorders>
            <w:gridSpan w:val="15"/>
          </w:tcPr>
          <w:p>
            <w:pPr>
              <w:spacing w:after="0" w:line="117" w:lineRule="exact"/>
              <w:rPr>
                <w:sz w:val="20"/>
                <w:szCs w:val="20"/>
                <w:color w:val="auto"/>
              </w:rPr>
            </w:pPr>
            <w:r>
              <w:rPr>
                <w:rFonts w:ascii="Times New Roman" w:cs="Times New Roman" w:eastAsia="Times New Roman" w:hAnsi="Times New Roman"/>
                <w:sz w:val="12"/>
                <w:szCs w:val="12"/>
                <w:color w:val="0000EE"/>
                <w:w w:val="99"/>
              </w:rPr>
              <w:t>Condensed Consolidated Statements of Shareholders’ Equity — For the Three and Six Months Ended June 30, 2022 and 2021</w:t>
            </w:r>
          </w:p>
        </w:tc>
        <w:tc>
          <w:tcPr>
            <w:tcW w:w="3360" w:type="dxa"/>
            <w:vAlign w:val="bottom"/>
            <w:gridSpan w:val="2"/>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8</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2660" w:type="dxa"/>
            <w:vAlign w:val="bottom"/>
            <w:tcBorders>
              <w:bottom w:val="single" w:sz="8" w:color="0000EE"/>
            </w:tcBorders>
            <w:gridSpan w:val="6"/>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Notes to Condensed Consolidated Financial Statements</w:t>
            </w:r>
          </w:p>
        </w:tc>
        <w:tc>
          <w:tcPr>
            <w:tcW w:w="6760" w:type="dxa"/>
            <w:vAlign w:val="bottom"/>
            <w:tcBorders>
              <w:bottom w:val="single" w:sz="8" w:color="CCEEFF"/>
            </w:tcBorders>
            <w:gridSpan w:val="11"/>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6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2.</w:t>
            </w:r>
          </w:p>
        </w:tc>
        <w:tc>
          <w:tcPr>
            <w:tcW w:w="4300" w:type="dxa"/>
            <w:vAlign w:val="bottom"/>
            <w:tcBorders>
              <w:bottom w:val="single" w:sz="8" w:color="0000EE"/>
            </w:tcBorders>
            <w:gridSpan w:val="13"/>
          </w:tcPr>
          <w:p>
            <w:pPr>
              <w:spacing w:after="0" w:line="117" w:lineRule="exact"/>
              <w:rPr>
                <w:sz w:val="20"/>
                <w:szCs w:val="20"/>
                <w:color w:val="auto"/>
              </w:rPr>
            </w:pPr>
            <w:r>
              <w:rPr>
                <w:rFonts w:ascii="Times New Roman" w:cs="Times New Roman" w:eastAsia="Times New Roman" w:hAnsi="Times New Roman"/>
                <w:sz w:val="12"/>
                <w:szCs w:val="12"/>
                <w:color w:val="0000EE"/>
                <w:w w:val="99"/>
              </w:rPr>
              <w:t>Management’s Discussion and Analysis of Financial Condition and Results of Operations</w:t>
            </w:r>
          </w:p>
        </w:tc>
        <w:tc>
          <w:tcPr>
            <w:tcW w:w="5120" w:type="dxa"/>
            <w:vAlign w:val="bottom"/>
            <w:gridSpan w:val="4"/>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3.</w:t>
            </w:r>
          </w:p>
        </w:tc>
        <w:tc>
          <w:tcPr>
            <w:tcW w:w="9420" w:type="dxa"/>
            <w:vAlign w:val="bottom"/>
            <w:gridSpan w:val="1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Quantitative and Qualitative Disclosures about Market Risk</w:t>
            </w:r>
          </w:p>
        </w:tc>
        <w:tc>
          <w:tcPr>
            <w:tcW w:w="7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60" w:type="dxa"/>
            <w:vAlign w:val="bottom"/>
            <w:tcBorders>
              <w:top w:val="single" w:sz="8" w:color="CCEEFF"/>
            </w:tcBorders>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4.</w:t>
            </w:r>
          </w:p>
        </w:tc>
        <w:tc>
          <w:tcPr>
            <w:tcW w:w="2860" w:type="dxa"/>
            <w:vAlign w:val="bottom"/>
            <w:tcBorders>
              <w:top w:val="single" w:sz="8" w:color="0000EE"/>
            </w:tcBorders>
            <w:gridSpan w:val="8"/>
          </w:tcPr>
          <w:p>
            <w:pPr>
              <w:spacing w:after="0" w:line="117" w:lineRule="exact"/>
              <w:rPr>
                <w:sz w:val="20"/>
                <w:szCs w:val="20"/>
                <w:color w:val="auto"/>
              </w:rPr>
            </w:pPr>
            <w:r>
              <w:rPr>
                <w:rFonts w:ascii="Times New Roman" w:cs="Times New Roman" w:eastAsia="Times New Roman" w:hAnsi="Times New Roman"/>
                <w:sz w:val="12"/>
                <w:szCs w:val="12"/>
                <w:color w:val="0000EE"/>
              </w:rPr>
              <w:t>Controls and Procedures</w:t>
            </w:r>
          </w:p>
        </w:tc>
        <w:tc>
          <w:tcPr>
            <w:tcW w:w="6560" w:type="dxa"/>
            <w:vAlign w:val="bottom"/>
            <w:tcBorders>
              <w:top w:val="single" w:sz="8" w:color="CCEEFF"/>
            </w:tcBorders>
            <w:gridSpan w:val="9"/>
          </w:tcPr>
          <w:p>
            <w:pPr>
              <w:spacing w:after="0"/>
              <w:rPr>
                <w:sz w:val="10"/>
                <w:szCs w:val="10"/>
                <w:color w:val="auto"/>
              </w:rPr>
            </w:pPr>
          </w:p>
        </w:tc>
        <w:tc>
          <w:tcPr>
            <w:tcW w:w="72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tcBorders>
              <w:top w:val="single" w:sz="8" w:color="0000EE"/>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26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300" w:type="dxa"/>
            <w:vAlign w:val="bottom"/>
            <w:tcBorders>
              <w:top w:val="single" w:sz="8" w:color="0000EE"/>
            </w:tcBorders>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Borders>
              <w:bottom w:val="single" w:sz="8" w:color="0000EE"/>
            </w:tcBorders>
            <w:gridSpan w:val="3"/>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i w:val="1"/>
                <w:iCs w:val="1"/>
                <w:color w:val="0000EE"/>
                <w:w w:val="99"/>
              </w:rPr>
              <w:t>PART II - OTHER INFORMATION</w:t>
            </w:r>
          </w:p>
        </w:tc>
        <w:tc>
          <w:tcPr>
            <w:tcW w:w="4280" w:type="dxa"/>
            <w:vAlign w:val="bottom"/>
            <w:gridSpan w:val="3"/>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1.</w:t>
            </w:r>
          </w:p>
        </w:tc>
        <w:tc>
          <w:tcPr>
            <w:tcW w:w="9420" w:type="dxa"/>
            <w:vAlign w:val="bottom"/>
            <w:gridSpan w:val="1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Legal Proceedings</w:t>
            </w:r>
          </w:p>
        </w:tc>
        <w:tc>
          <w:tcPr>
            <w:tcW w:w="7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60" w:type="dxa"/>
            <w:vAlign w:val="bottom"/>
            <w:tcBorders>
              <w:top w:val="single" w:sz="8" w:color="CCEEFF"/>
            </w:tcBorders>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1A.</w:t>
            </w:r>
          </w:p>
        </w:tc>
        <w:tc>
          <w:tcPr>
            <w:tcW w:w="600" w:type="dxa"/>
            <w:vAlign w:val="bottom"/>
            <w:tcBorders>
              <w:top w:val="single" w:sz="8" w:color="0000EE"/>
              <w:bottom w:val="single" w:sz="8" w:color="0000EE"/>
            </w:tcBorders>
            <w:gridSpan w:val="2"/>
          </w:tcPr>
          <w:p>
            <w:pPr>
              <w:spacing w:after="0" w:line="117" w:lineRule="exact"/>
              <w:rPr>
                <w:sz w:val="20"/>
                <w:szCs w:val="20"/>
                <w:color w:val="auto"/>
              </w:rPr>
            </w:pPr>
            <w:r>
              <w:rPr>
                <w:rFonts w:ascii="Times New Roman" w:cs="Times New Roman" w:eastAsia="Times New Roman" w:hAnsi="Times New Roman"/>
                <w:sz w:val="12"/>
                <w:szCs w:val="12"/>
                <w:color w:val="0000EE"/>
                <w:w w:val="96"/>
              </w:rPr>
              <w:t>Risk Factors</w:t>
            </w:r>
          </w:p>
        </w:tc>
        <w:tc>
          <w:tcPr>
            <w:tcW w:w="280" w:type="dxa"/>
            <w:vAlign w:val="bottom"/>
            <w:tcBorders>
              <w:top w:val="single" w:sz="8" w:color="0000EE"/>
            </w:tcBorders>
            <w:gridSpan w:val="2"/>
          </w:tcPr>
          <w:p>
            <w:pPr>
              <w:spacing w:after="0"/>
              <w:rPr>
                <w:sz w:val="10"/>
                <w:szCs w:val="10"/>
                <w:color w:val="auto"/>
              </w:rPr>
            </w:pPr>
          </w:p>
        </w:tc>
        <w:tc>
          <w:tcPr>
            <w:tcW w:w="8540" w:type="dxa"/>
            <w:vAlign w:val="bottom"/>
            <w:tcBorders>
              <w:top w:val="single" w:sz="8" w:color="CCEEFF"/>
            </w:tcBorders>
            <w:gridSpan w:val="13"/>
          </w:tcPr>
          <w:p>
            <w:pPr>
              <w:spacing w:after="0"/>
              <w:rPr>
                <w:sz w:val="10"/>
                <w:szCs w:val="10"/>
                <w:color w:val="auto"/>
              </w:rPr>
            </w:pPr>
          </w:p>
        </w:tc>
        <w:tc>
          <w:tcPr>
            <w:tcW w:w="72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60" w:type="dxa"/>
            <w:vAlign w:val="bottom"/>
            <w:tcBorders>
              <w:bottom w:val="single" w:sz="8" w:color="CCEEFF"/>
            </w:tcBorders>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2.</w:t>
            </w:r>
          </w:p>
        </w:tc>
        <w:tc>
          <w:tcPr>
            <w:tcW w:w="2900" w:type="dxa"/>
            <w:vAlign w:val="bottom"/>
            <w:tcBorders>
              <w:bottom w:val="single" w:sz="8" w:color="0000EE"/>
            </w:tcBorders>
            <w:gridSpan w:val="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Unregistered Sales of Equity Securities and Use of Proceeds</w:t>
            </w:r>
          </w:p>
        </w:tc>
        <w:tc>
          <w:tcPr>
            <w:tcW w:w="6520" w:type="dxa"/>
            <w:vAlign w:val="bottom"/>
            <w:tcBorders>
              <w:bottom w:val="single" w:sz="8" w:color="CCEEFF"/>
            </w:tcBorders>
            <w:gridSpan w:val="8"/>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6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Item 5.</w:t>
            </w:r>
          </w:p>
        </w:tc>
        <w:tc>
          <w:tcPr>
            <w:tcW w:w="9420" w:type="dxa"/>
            <w:vAlign w:val="bottom"/>
            <w:gridSpan w:val="17"/>
          </w:tcPr>
          <w:p>
            <w:pPr>
              <w:spacing w:after="0" w:line="117" w:lineRule="exact"/>
              <w:rPr>
                <w:sz w:val="20"/>
                <w:szCs w:val="20"/>
                <w:color w:val="auto"/>
              </w:rPr>
            </w:pPr>
            <w:r>
              <w:rPr>
                <w:rFonts w:ascii="Times New Roman" w:cs="Times New Roman" w:eastAsia="Times New Roman" w:hAnsi="Times New Roman"/>
                <w:sz w:val="12"/>
                <w:szCs w:val="12"/>
                <w:color w:val="0000EE"/>
              </w:rPr>
              <w:t>Other Information</w:t>
            </w: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Item 6.</w:t>
            </w:r>
          </w:p>
        </w:tc>
        <w:tc>
          <w:tcPr>
            <w:tcW w:w="860" w:type="dxa"/>
            <w:vAlign w:val="bottom"/>
            <w:tcBorders>
              <w:top w:val="single" w:sz="8" w:color="0000EE"/>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Exhibits</w:t>
            </w:r>
          </w:p>
        </w:tc>
        <w:tc>
          <w:tcPr>
            <w:tcW w:w="8560" w:type="dxa"/>
            <w:vAlign w:val="bottom"/>
            <w:gridSpan w:val="14"/>
            <w:shd w:val="clear" w:color="auto" w:fill="CCEEFF"/>
          </w:tcPr>
          <w:p>
            <w:pPr>
              <w:spacing w:after="0"/>
              <w:rPr>
                <w:sz w:val="10"/>
                <w:szCs w:val="10"/>
                <w:color w:val="auto"/>
              </w:rPr>
            </w:pPr>
          </w:p>
        </w:tc>
        <w:tc>
          <w:tcPr>
            <w:tcW w:w="7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160" w:type="dxa"/>
            <w:vAlign w:val="bottom"/>
            <w:tcBorders>
              <w:top w:val="single" w:sz="8" w:color="CCEEFF"/>
            </w:tcBorders>
            <w:gridSpan w:val="2"/>
          </w:tcPr>
          <w:p>
            <w:pPr>
              <w:spacing w:after="0" w:line="117" w:lineRule="exact"/>
              <w:rPr>
                <w:sz w:val="20"/>
                <w:szCs w:val="20"/>
                <w:color w:val="auto"/>
              </w:rPr>
            </w:pPr>
            <w:r>
              <w:rPr>
                <w:rFonts w:ascii="Times New Roman" w:cs="Times New Roman" w:eastAsia="Times New Roman" w:hAnsi="Times New Roman"/>
                <w:sz w:val="12"/>
                <w:szCs w:val="12"/>
                <w:color w:val="0000EE"/>
              </w:rPr>
              <w:t>Signatures</w:t>
            </w:r>
          </w:p>
        </w:tc>
        <w:tc>
          <w:tcPr>
            <w:tcW w:w="40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214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9"/>
        </w:trPr>
        <w:tc>
          <w:tcPr>
            <w:tcW w:w="5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5140" w:type="dxa"/>
            <w:vAlign w:val="bottom"/>
            <w:gridSpan w:val="14"/>
          </w:tcPr>
          <w:p>
            <w:pPr>
              <w:ind w:left="4460"/>
              <w:spacing w:after="0"/>
              <w:rPr>
                <w:sz w:val="20"/>
                <w:szCs w:val="20"/>
                <w:color w:val="auto"/>
              </w:rPr>
            </w:pPr>
            <w:r>
              <w:rPr>
                <w:rFonts w:ascii="Times New Roman" w:cs="Times New Roman" w:eastAsia="Times New Roman" w:hAnsi="Times New Roman"/>
                <w:sz w:val="12"/>
                <w:szCs w:val="12"/>
                <w:color w:val="auto"/>
              </w:rPr>
              <w:t>2</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1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Cautionary Note Concerning Forward-Looking Statements</w:t>
      </w:r>
    </w:p>
    <w:p>
      <w:pPr>
        <w:spacing w:after="0" w:line="127" w:lineRule="exact"/>
        <w:rPr>
          <w:sz w:val="20"/>
          <w:szCs w:val="20"/>
          <w:color w:val="auto"/>
        </w:rPr>
      </w:pPr>
    </w:p>
    <w:p>
      <w:pPr>
        <w:ind w:right="60" w:firstLine="376"/>
        <w:spacing w:after="0" w:line="150" w:lineRule="exact"/>
        <w:rPr>
          <w:sz w:val="20"/>
          <w:szCs w:val="20"/>
          <w:color w:val="auto"/>
        </w:rPr>
      </w:pPr>
      <w:r>
        <w:rPr>
          <w:rFonts w:ascii="Times New Roman" w:cs="Times New Roman" w:eastAsia="Times New Roman" w:hAnsi="Times New Roman"/>
          <w:sz w:val="12"/>
          <w:szCs w:val="12"/>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in this Quarterly Report on Form 10-Q (this “Form 10-Q”) may include, without limitation, statements regarding:</w:t>
      </w:r>
    </w:p>
    <w:p>
      <w:pPr>
        <w:spacing w:after="0" w:line="50" w:lineRule="exact"/>
        <w:rPr>
          <w:sz w:val="20"/>
          <w:szCs w:val="20"/>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financial performance, including revenues, expenses, liquidity, capital expenditures and income taxes;</w:t>
      </w:r>
    </w:p>
    <w:p>
      <w:pPr>
        <w:spacing w:after="0" w:line="78" w:lineRule="exact"/>
        <w:rPr>
          <w:rFonts w:ascii="Times New Roman" w:cs="Times New Roman" w:eastAsia="Times New Roman" w:hAnsi="Times New Roman"/>
          <w:sz w:val="12"/>
          <w:szCs w:val="12"/>
          <w:color w:val="auto"/>
        </w:rPr>
      </w:pPr>
    </w:p>
    <w:p>
      <w:pPr>
        <w:ind w:left="740" w:right="260" w:hanging="379"/>
        <w:spacing w:after="0" w:line="279" w:lineRule="auto"/>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39"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initiation, timing and results of clinical trials of our products;</w:t>
      </w:r>
    </w:p>
    <w:p>
      <w:pPr>
        <w:spacing w:after="0" w:line="78" w:lineRule="exact"/>
        <w:rPr>
          <w:rFonts w:ascii="Times New Roman" w:cs="Times New Roman" w:eastAsia="Times New Roman" w:hAnsi="Times New Roman"/>
          <w:sz w:val="12"/>
          <w:szCs w:val="12"/>
          <w:color w:val="auto"/>
        </w:rPr>
      </w:pPr>
    </w:p>
    <w:p>
      <w:pPr>
        <w:ind w:left="740" w:hanging="379"/>
        <w:spacing w:after="0" w:line="265" w:lineRule="auto"/>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46"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financial impact of currency exchange rate fluctuations and valuations;</w:t>
      </w:r>
    </w:p>
    <w:p>
      <w:pPr>
        <w:spacing w:after="0" w:line="78"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future amortization of intangible assets;</w:t>
      </w:r>
    </w:p>
    <w:p>
      <w:pPr>
        <w:spacing w:after="0" w:line="78"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collaborations, licensing arrangements and other significant agreements with third parties relating to our products and our development programs;</w:t>
      </w:r>
    </w:p>
    <w:p>
      <w:pPr>
        <w:spacing w:after="0" w:line="78"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impact of new legislation, rules and regulations and the adoption of new accounting pronouncements;</w:t>
      </w:r>
    </w:p>
    <w:p>
      <w:pPr>
        <w:spacing w:after="0" w:line="57" w:lineRule="exact"/>
        <w:rPr>
          <w:rFonts w:ascii="Times New Roman" w:cs="Times New Roman" w:eastAsia="Times New Roman" w:hAnsi="Times New Roman"/>
          <w:sz w:val="12"/>
          <w:szCs w:val="12"/>
          <w:color w:val="auto"/>
        </w:rPr>
      </w:pPr>
    </w:p>
    <w:p>
      <w:pPr>
        <w:ind w:left="740" w:hanging="379"/>
        <w:spacing w:after="0" w:line="138" w:lineRule="exact"/>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near</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changes in the nature of our market risk exposures or in our management’s objectives and strategies with respect to managing such exposures;</w:t>
      </w:r>
    </w:p>
    <w:p>
      <w:pPr>
        <w:spacing w:after="0" w:line="98"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ability to comply with restrictive covenants of our indebtedness and our ability to fund our debt service obligations;</w:t>
      </w:r>
    </w:p>
    <w:p>
      <w:pPr>
        <w:spacing w:after="0" w:line="78"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future capital requirements and expenditures for our operations and our ability to finance such capital requirements and expenditures;</w:t>
      </w:r>
    </w:p>
    <w:p>
      <w:pPr>
        <w:spacing w:after="0" w:line="78"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timing, outcome and impact of administrative, regulatory, legal and other proceedings related to our products and intellectual property (“IP”), including our patents;</w:t>
      </w:r>
    </w:p>
    <w:p>
      <w:pPr>
        <w:spacing w:after="0" w:line="78"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impact of the ongoing novel coronavirus (“COVID-19”) pandemic on our business and operations; and</w:t>
      </w:r>
    </w:p>
    <w:p>
      <w:pPr>
        <w:spacing w:after="0" w:line="78"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expectations discussed elsewhere in this Form 10-Q.</w:t>
      </w:r>
    </w:p>
    <w:p>
      <w:pPr>
        <w:spacing w:after="0" w:line="132" w:lineRule="exact"/>
        <w:rPr>
          <w:sz w:val="20"/>
          <w:szCs w:val="20"/>
          <w:color w:val="auto"/>
        </w:rPr>
      </w:pPr>
    </w:p>
    <w:p>
      <w:pPr>
        <w:ind w:firstLine="376"/>
        <w:spacing w:after="0" w:line="256" w:lineRule="auto"/>
        <w:rPr>
          <w:sz w:val="20"/>
          <w:szCs w:val="20"/>
          <w:color w:val="auto"/>
        </w:rPr>
      </w:pPr>
      <w:r>
        <w:rPr>
          <w:rFonts w:ascii="Times New Roman" w:cs="Times New Roman" w:eastAsia="Times New Roman" w:hAnsi="Times New Roman"/>
          <w:sz w:val="12"/>
          <w:szCs w:val="12"/>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1A—Risk Factors” in our Annual Report on Form 10-K for the year ended December 31, 2021, filed</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413" w:right="379" w:bottom="1440" w:gutter="0" w:footer="0" w:header="0"/>
        </w:sectPr>
      </w:pPr>
    </w:p>
    <w:bookmarkStart w:id="3" w:name="page4"/>
    <w:bookmarkEnd w:id="3"/>
    <w:p>
      <w:pPr>
        <w:ind w:right="140"/>
        <w:spacing w:after="0" w:line="279" w:lineRule="auto"/>
        <w:rPr>
          <w:sz w:val="20"/>
          <w:szCs w:val="20"/>
          <w:color w:val="auto"/>
        </w:rPr>
      </w:pPr>
      <w:r>
        <w:rPr>
          <w:rFonts w:ascii="Times New Roman" w:cs="Times New Roman" w:eastAsia="Times New Roman" w:hAnsi="Times New Roman"/>
          <w:sz w:val="12"/>
          <w:szCs w:val="12"/>
          <w:color w:val="auto"/>
        </w:rPr>
        <w:t>with the United States (“U.S.”) Securities and Exchange Commission (the “SEC”) on February 16, 2022, as amended by our Amendment No. 1 to Annual Report on Form 10-K/A, filed with the SEC on April 29, 2022 (our “Annual Report”).</w:t>
      </w:r>
    </w:p>
    <w:p>
      <w:pPr>
        <w:spacing w:after="0" w:line="93" w:lineRule="exact"/>
        <w:rPr>
          <w:sz w:val="20"/>
          <w:szCs w:val="20"/>
          <w:color w:val="auto"/>
        </w:rPr>
      </w:pPr>
    </w:p>
    <w:p>
      <w:pPr>
        <w:ind w:right="20" w:firstLine="376"/>
        <w:spacing w:after="0" w:line="257" w:lineRule="auto"/>
        <w:rPr>
          <w:sz w:val="20"/>
          <w:szCs w:val="20"/>
          <w:color w:val="auto"/>
        </w:rPr>
      </w:pPr>
      <w:r>
        <w:rPr>
          <w:rFonts w:ascii="Times New Roman" w:cs="Times New Roman" w:eastAsia="Times New Roman" w:hAnsi="Times New Roman"/>
          <w:sz w:val="12"/>
          <w:szCs w:val="12"/>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These and other factors could cause our results to differ materially from those expressed or implied in this Form 10-Q.</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Regarding Company and Product References</w:t>
      </w:r>
    </w:p>
    <w:p>
      <w:pPr>
        <w:spacing w:after="0" w:line="82" w:lineRule="exact"/>
        <w:rPr>
          <w:sz w:val="20"/>
          <w:szCs w:val="20"/>
          <w:color w:val="auto"/>
        </w:rPr>
      </w:pPr>
    </w:p>
    <w:p>
      <w:pPr>
        <w:ind w:firstLine="376"/>
        <w:spacing w:after="0" w:line="256" w:lineRule="auto"/>
        <w:rPr>
          <w:sz w:val="20"/>
          <w:szCs w:val="20"/>
          <w:color w:val="auto"/>
        </w:rPr>
      </w:pPr>
      <w:r>
        <w:rPr>
          <w:rFonts w:ascii="Times New Roman" w:cs="Times New Roman" w:eastAsia="Times New Roman" w:hAnsi="Times New Roman"/>
          <w:sz w:val="12"/>
          <w:szCs w:val="12"/>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alcohol dependence, opioid dependence, schizophrenia and bipolar I disorder, and a pipeline of product candidates in development for neurodegenerative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Regarding Trademarks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We are the owner of various U.S. federal trademark registrations (“</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and other trademarks (“</w:t>
      </w:r>
      <w:r>
        <w:rPr>
          <w:rFonts w:ascii="Times New Roman" w:cs="Times New Roman" w:eastAsia="Times New Roman" w:hAnsi="Times New Roman"/>
          <w:sz w:val="10"/>
          <w:szCs w:val="10"/>
          <w:color w:val="auto"/>
        </w:rPr>
        <w:t>TM</w:t>
      </w:r>
      <w:r>
        <w:rPr>
          <w:rFonts w:ascii="Times New Roman" w:cs="Times New Roman" w:eastAsia="Times New Roman" w:hAnsi="Times New Roman"/>
          <w:sz w:val="12"/>
          <w:szCs w:val="12"/>
          <w:color w:val="auto"/>
        </w:rPr>
        <w:t>”), including ALKERMES</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ARISTADA</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ARISTADA INITIO</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LinkeRx</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LYBALVI</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NanoCrystal</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and VIVITROL</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jc w:val="both"/>
        <w:ind w:right="40" w:firstLine="376"/>
        <w:spacing w:after="0" w:line="260" w:lineRule="auto"/>
        <w:rPr>
          <w:sz w:val="20"/>
          <w:szCs w:val="20"/>
          <w:color w:val="auto"/>
        </w:rPr>
      </w:pPr>
      <w:r>
        <w:rPr>
          <w:rFonts w:ascii="Times New Roman" w:cs="Times New Roman" w:eastAsia="Times New Roman" w:hAnsi="Times New Roman"/>
          <w:sz w:val="12"/>
          <w:szCs w:val="12"/>
          <w:color w:val="auto"/>
        </w:rPr>
        <w:t>The following are trademarks of the respective companies listed: ANJESO</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—Baudax Bio, Inc.; BYANNLI</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INVEGA</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INVEGA HAFYERA</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INVEGA SUSTENNA</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INVEGA TRINZA</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TREVICTA</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XEPLION</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and RISPERDAL CONSTA</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—Johnson &amp; Johnson Corporation (or its affiliates); KEYTRUDA</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—Merck Sharp &amp; Dohme Corp.; and VUMERITY</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0"/>
          <w:szCs w:val="10"/>
          <w:color w:val="auto"/>
        </w:rPr>
        <w:t>TM</w:t>
      </w:r>
      <w:r>
        <w:rPr>
          <w:rFonts w:ascii="Times New Roman" w:cs="Times New Roman" w:eastAsia="Times New Roman" w:hAnsi="Times New Roman"/>
          <w:sz w:val="12"/>
          <w:szCs w:val="12"/>
          <w:color w:val="auto"/>
        </w:rPr>
        <w:t xml:space="preserve"> symbols, but such references should not be construed as any indicator that their respective owners will not assert, to the fullest extent under applicable law, their rights thereto.</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39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Condensed Consolidated Financial Statements: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480" w:type="dxa"/>
            <w:vAlign w:val="bottom"/>
          </w:tcPr>
          <w:p>
            <w:pPr>
              <w:spacing w:after="0"/>
              <w:rPr>
                <w:sz w:val="10"/>
                <w:szCs w:val="10"/>
                <w:color w:val="auto"/>
              </w:rPr>
            </w:pPr>
          </w:p>
        </w:tc>
        <w:tc>
          <w:tcPr>
            <w:tcW w:w="1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0"/>
                <w:szCs w:val="10"/>
                <w:b w:val="1"/>
                <w:bCs w:val="1"/>
                <w:color w:val="auto"/>
                <w:w w:val="96"/>
              </w:rPr>
              <w:t>June 30, 2022</w:t>
            </w: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97"/>
        </w:trPr>
        <w:tc>
          <w:tcPr>
            <w:tcW w:w="7480" w:type="dxa"/>
            <w:vAlign w:val="bottom"/>
          </w:tcPr>
          <w:p>
            <w:pPr>
              <w:spacing w:after="0"/>
              <w:rPr>
                <w:sz w:val="8"/>
                <w:szCs w:val="8"/>
                <w:color w:val="auto"/>
              </w:rPr>
            </w:pPr>
          </w:p>
        </w:tc>
        <w:tc>
          <w:tcPr>
            <w:tcW w:w="3780" w:type="dxa"/>
            <w:vAlign w:val="bottom"/>
            <w:gridSpan w:val="4"/>
          </w:tcPr>
          <w:p>
            <w:pPr>
              <w:jc w:val="right"/>
              <w:ind w:right="76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share and per share amounts)</w:t>
            </w:r>
          </w:p>
        </w:tc>
      </w:tr>
      <w:tr>
        <w:trPr>
          <w:trHeight w:val="126"/>
        </w:trPr>
        <w:tc>
          <w:tcPr>
            <w:tcW w:w="8700" w:type="dxa"/>
            <w:vAlign w:val="bottom"/>
            <w:gridSpan w:val="2"/>
            <w:shd w:val="clear" w:color="auto" w:fill="CFF0FC"/>
          </w:tcPr>
          <w:p>
            <w:pPr>
              <w:ind w:left="3440"/>
              <w:spacing w:after="0" w:line="126"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spacing w:after="0"/>
              <w:rPr>
                <w:sz w:val="10"/>
                <w:szCs w:val="10"/>
                <w:color w:val="auto"/>
              </w:rPr>
            </w:pPr>
          </w:p>
        </w:tc>
      </w:tr>
      <w:tr>
        <w:trPr>
          <w:trHeight w:val="126"/>
        </w:trPr>
        <w:tc>
          <w:tcPr>
            <w:tcW w:w="87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CURRENT ASSETS:</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6"/>
        </w:trPr>
        <w:tc>
          <w:tcPr>
            <w:tcW w:w="8700" w:type="dxa"/>
            <w:vAlign w:val="bottom"/>
            <w:gridSpan w:val="2"/>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Cash and cash equivalents</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$254,646</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$337,544</w:t>
            </w:r>
          </w:p>
        </w:tc>
      </w:tr>
      <w:tr>
        <w:trPr>
          <w:trHeight w:val="126"/>
        </w:trPr>
        <w:tc>
          <w:tcPr>
            <w:tcW w:w="87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Receivables, net</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245,840</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313,193</w:t>
            </w:r>
          </w:p>
        </w:tc>
      </w:tr>
      <w:tr>
        <w:trPr>
          <w:trHeight w:val="126"/>
        </w:trPr>
        <w:tc>
          <w:tcPr>
            <w:tcW w:w="8700" w:type="dxa"/>
            <w:vAlign w:val="bottom"/>
            <w:gridSpan w:val="2"/>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Investments—short-term</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326,321</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198,767</w:t>
            </w:r>
          </w:p>
        </w:tc>
      </w:tr>
      <w:tr>
        <w:trPr>
          <w:trHeight w:val="126"/>
        </w:trPr>
        <w:tc>
          <w:tcPr>
            <w:tcW w:w="87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Inventory</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155,608</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150,335</w:t>
            </w:r>
          </w:p>
        </w:tc>
      </w:tr>
      <w:tr>
        <w:trPr>
          <w:trHeight w:val="126"/>
        </w:trPr>
        <w:tc>
          <w:tcPr>
            <w:tcW w:w="8700" w:type="dxa"/>
            <w:vAlign w:val="bottom"/>
            <w:gridSpan w:val="2"/>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Contract assets</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16,486</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13,363</w:t>
            </w:r>
          </w:p>
        </w:tc>
      </w:tr>
      <w:tr>
        <w:trPr>
          <w:trHeight w:val="126"/>
        </w:trPr>
        <w:tc>
          <w:tcPr>
            <w:tcW w:w="87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47,090</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48,967</w:t>
            </w:r>
          </w:p>
        </w:tc>
      </w:tr>
      <w:tr>
        <w:trPr>
          <w:trHeight w:val="115"/>
        </w:trPr>
        <w:tc>
          <w:tcPr>
            <w:tcW w:w="7480" w:type="dxa"/>
            <w:vAlign w:val="bottom"/>
            <w:tcBorders>
              <w:top w:val="single" w:sz="8" w:color="CFF0FC"/>
            </w:tcBorders>
            <w:shd w:val="clear" w:color="auto" w:fill="CFF0FC"/>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 current assets</w:t>
            </w:r>
          </w:p>
        </w:tc>
        <w:tc>
          <w:tcPr>
            <w:tcW w:w="1220" w:type="dxa"/>
            <w:vAlign w:val="bottom"/>
            <w:tcBorders>
              <w:top w:val="single" w:sz="8" w:color="auto"/>
              <w:bottom w:val="single" w:sz="8" w:color="auto"/>
            </w:tcBorders>
            <w:shd w:val="clear" w:color="auto" w:fill="CFF0FC"/>
          </w:tcPr>
          <w:p>
            <w:pPr>
              <w:spacing w:after="0"/>
              <w:rPr>
                <w:sz w:val="10"/>
                <w:szCs w:val="10"/>
                <w:color w:val="auto"/>
              </w:rPr>
            </w:pP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1,045,991</w:t>
            </w:r>
          </w:p>
        </w:tc>
        <w:tc>
          <w:tcPr>
            <w:tcW w:w="160" w:type="dxa"/>
            <w:vAlign w:val="bottom"/>
            <w:tcBorders>
              <w:top w:val="single" w:sz="8" w:color="CFF0FC"/>
            </w:tcBorders>
            <w:shd w:val="clear" w:color="auto" w:fill="CFF0FC"/>
          </w:tcPr>
          <w:p>
            <w:pPr>
              <w:spacing w:after="0"/>
              <w:rPr>
                <w:sz w:val="10"/>
                <w:szCs w:val="10"/>
                <w:color w:val="auto"/>
              </w:rPr>
            </w:pPr>
          </w:p>
        </w:tc>
        <w:tc>
          <w:tcPr>
            <w:tcW w:w="1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1,062,169</w:t>
            </w:r>
          </w:p>
        </w:tc>
      </w:tr>
      <w:tr>
        <w:trPr>
          <w:trHeight w:val="115"/>
        </w:trPr>
        <w:tc>
          <w:tcPr>
            <w:tcW w:w="74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PROPERTY, PLANT AND EQUIPMENT, NET</w:t>
            </w:r>
          </w:p>
        </w:tc>
        <w:tc>
          <w:tcPr>
            <w:tcW w:w="122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337,146</w:t>
            </w:r>
          </w:p>
        </w:tc>
        <w:tc>
          <w:tcPr>
            <w:tcW w:w="160" w:type="dxa"/>
            <w:vAlign w:val="bottom"/>
          </w:tcPr>
          <w:p>
            <w:pPr>
              <w:spacing w:after="0"/>
              <w:rPr>
                <w:sz w:val="10"/>
                <w:szCs w:val="10"/>
                <w:color w:val="auto"/>
              </w:rPr>
            </w:pPr>
          </w:p>
        </w:tc>
        <w:tc>
          <w:tcPr>
            <w:tcW w:w="18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341,054</w:t>
            </w:r>
          </w:p>
        </w:tc>
      </w:tr>
      <w:tr>
        <w:trPr>
          <w:trHeight w:val="126"/>
        </w:trPr>
        <w:tc>
          <w:tcPr>
            <w:tcW w:w="87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INVESTMENTS—LONG-TERM</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179,010</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229,430</w:t>
            </w:r>
          </w:p>
        </w:tc>
      </w:tr>
      <w:tr>
        <w:trPr>
          <w:trHeight w:val="126"/>
        </w:trPr>
        <w:tc>
          <w:tcPr>
            <w:tcW w:w="87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RIGHT-OF-USE ASSETS</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111,119</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115,627</w:t>
            </w:r>
          </w:p>
        </w:tc>
      </w:tr>
      <w:tr>
        <w:trPr>
          <w:trHeight w:val="126"/>
        </w:trPr>
        <w:tc>
          <w:tcPr>
            <w:tcW w:w="87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INTANGIBLE ASSETS, NET</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56,011</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74,043</w:t>
            </w:r>
          </w:p>
        </w:tc>
      </w:tr>
      <w:tr>
        <w:trPr>
          <w:trHeight w:val="126"/>
        </w:trPr>
        <w:tc>
          <w:tcPr>
            <w:tcW w:w="87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GOODWILL</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92,873</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92,873</w:t>
            </w:r>
          </w:p>
        </w:tc>
      </w:tr>
      <w:tr>
        <w:trPr>
          <w:trHeight w:val="126"/>
        </w:trPr>
        <w:tc>
          <w:tcPr>
            <w:tcW w:w="87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DEFERRED TAX ASSETS</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123,702</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81,833</w:t>
            </w:r>
          </w:p>
        </w:tc>
      </w:tr>
      <w:tr>
        <w:trPr>
          <w:trHeight w:val="126"/>
        </w:trPr>
        <w:tc>
          <w:tcPr>
            <w:tcW w:w="87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OTHER ASSETS</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11,565</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27,455</w:t>
            </w:r>
          </w:p>
        </w:tc>
      </w:tr>
      <w:tr>
        <w:trPr>
          <w:trHeight w:val="135"/>
        </w:trPr>
        <w:tc>
          <w:tcPr>
            <w:tcW w:w="7480" w:type="dxa"/>
            <w:vAlign w:val="bottom"/>
            <w:tcBorders>
              <w:top w:val="single" w:sz="8" w:color="CFF0FC"/>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TOTAL ASSETS</w:t>
            </w:r>
          </w:p>
        </w:tc>
        <w:tc>
          <w:tcPr>
            <w:tcW w:w="122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$1,957,417</w:t>
            </w: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1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$2,024,484</w:t>
            </w:r>
          </w:p>
        </w:tc>
      </w:tr>
      <w:tr>
        <w:trPr>
          <w:trHeight w:val="113"/>
        </w:trPr>
        <w:tc>
          <w:tcPr>
            <w:tcW w:w="7480" w:type="dxa"/>
            <w:vAlign w:val="bottom"/>
          </w:tcPr>
          <w:p>
            <w:pPr>
              <w:ind w:left="2360"/>
              <w:spacing w:after="0" w:line="113" w:lineRule="exact"/>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126"/>
        </w:trPr>
        <w:tc>
          <w:tcPr>
            <w:tcW w:w="87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CURRENT LIABILITIES:</w:t>
            </w: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spacing w:after="0"/>
              <w:rPr>
                <w:sz w:val="10"/>
                <w:szCs w:val="10"/>
                <w:color w:val="auto"/>
              </w:rPr>
            </w:pPr>
          </w:p>
        </w:tc>
      </w:tr>
      <w:tr>
        <w:trPr>
          <w:trHeight w:val="126"/>
        </w:trPr>
        <w:tc>
          <w:tcPr>
            <w:tcW w:w="87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Accounts payable and accrued expenses</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$186,814</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$208,491</w:t>
            </w:r>
          </w:p>
        </w:tc>
      </w:tr>
      <w:tr>
        <w:trPr>
          <w:trHeight w:val="126"/>
        </w:trPr>
        <w:tc>
          <w:tcPr>
            <w:tcW w:w="8700" w:type="dxa"/>
            <w:vAlign w:val="bottom"/>
            <w:gridSpan w:val="2"/>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Accrued sales discounts, allowances and reserves</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228,973</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237,216</w:t>
            </w:r>
          </w:p>
        </w:tc>
      </w:tr>
      <w:tr>
        <w:trPr>
          <w:trHeight w:val="126"/>
        </w:trPr>
        <w:tc>
          <w:tcPr>
            <w:tcW w:w="87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Operating lease liabilities—short-term</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15,944</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16,240</w:t>
            </w:r>
          </w:p>
        </w:tc>
      </w:tr>
      <w:tr>
        <w:trPr>
          <w:trHeight w:val="126"/>
        </w:trPr>
        <w:tc>
          <w:tcPr>
            <w:tcW w:w="8700" w:type="dxa"/>
            <w:vAlign w:val="bottom"/>
            <w:gridSpan w:val="2"/>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Contract liabilities—short-term</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3,787</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6,339</w:t>
            </w:r>
          </w:p>
        </w:tc>
      </w:tr>
      <w:tr>
        <w:trPr>
          <w:trHeight w:val="126"/>
        </w:trPr>
        <w:tc>
          <w:tcPr>
            <w:tcW w:w="87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Current portion of long-term debt</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3,000</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3,000</w:t>
            </w:r>
          </w:p>
        </w:tc>
      </w:tr>
      <w:tr>
        <w:trPr>
          <w:trHeight w:val="115"/>
        </w:trPr>
        <w:tc>
          <w:tcPr>
            <w:tcW w:w="7480" w:type="dxa"/>
            <w:vAlign w:val="bottom"/>
            <w:tcBorders>
              <w:top w:val="single" w:sz="8" w:color="CFF0FC"/>
            </w:tcBorders>
            <w:shd w:val="clear" w:color="auto" w:fill="CFF0FC"/>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 current liabilities</w:t>
            </w:r>
          </w:p>
        </w:tc>
        <w:tc>
          <w:tcPr>
            <w:tcW w:w="1220" w:type="dxa"/>
            <w:vAlign w:val="bottom"/>
            <w:tcBorders>
              <w:top w:val="single" w:sz="8" w:color="auto"/>
              <w:bottom w:val="single" w:sz="8" w:color="auto"/>
            </w:tcBorders>
            <w:shd w:val="clear" w:color="auto" w:fill="CFF0FC"/>
          </w:tcPr>
          <w:p>
            <w:pPr>
              <w:spacing w:after="0"/>
              <w:rPr>
                <w:sz w:val="10"/>
                <w:szCs w:val="10"/>
                <w:color w:val="auto"/>
              </w:rPr>
            </w:pP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438,518</w:t>
            </w:r>
          </w:p>
        </w:tc>
        <w:tc>
          <w:tcPr>
            <w:tcW w:w="160" w:type="dxa"/>
            <w:vAlign w:val="bottom"/>
            <w:tcBorders>
              <w:top w:val="single" w:sz="8" w:color="CFF0FC"/>
            </w:tcBorders>
            <w:shd w:val="clear" w:color="auto" w:fill="CFF0FC"/>
          </w:tcPr>
          <w:p>
            <w:pPr>
              <w:spacing w:after="0"/>
              <w:rPr>
                <w:sz w:val="10"/>
                <w:szCs w:val="10"/>
                <w:color w:val="auto"/>
              </w:rPr>
            </w:pPr>
          </w:p>
        </w:tc>
        <w:tc>
          <w:tcPr>
            <w:tcW w:w="1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471,286</w:t>
            </w:r>
          </w:p>
        </w:tc>
      </w:tr>
      <w:tr>
        <w:trPr>
          <w:trHeight w:val="115"/>
        </w:trPr>
        <w:tc>
          <w:tcPr>
            <w:tcW w:w="74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LONG-TERM DEBT</w:t>
            </w:r>
          </w:p>
        </w:tc>
        <w:tc>
          <w:tcPr>
            <w:tcW w:w="122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291,537</w:t>
            </w:r>
          </w:p>
        </w:tc>
        <w:tc>
          <w:tcPr>
            <w:tcW w:w="160" w:type="dxa"/>
            <w:vAlign w:val="bottom"/>
          </w:tcPr>
          <w:p>
            <w:pPr>
              <w:spacing w:after="0"/>
              <w:rPr>
                <w:sz w:val="10"/>
                <w:szCs w:val="10"/>
                <w:color w:val="auto"/>
              </w:rPr>
            </w:pPr>
          </w:p>
        </w:tc>
        <w:tc>
          <w:tcPr>
            <w:tcW w:w="18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292,804</w:t>
            </w:r>
          </w:p>
        </w:tc>
      </w:tr>
      <w:tr>
        <w:trPr>
          <w:trHeight w:val="126"/>
        </w:trPr>
        <w:tc>
          <w:tcPr>
            <w:tcW w:w="87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OPERATING LEASE LIABILITIES—LONG-TERM</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99,832</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104,162</w:t>
            </w:r>
          </w:p>
        </w:tc>
      </w:tr>
      <w:tr>
        <w:trPr>
          <w:trHeight w:val="126"/>
        </w:trPr>
        <w:tc>
          <w:tcPr>
            <w:tcW w:w="87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OTHER LONG-TERM LIABILITIES</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45,206</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43,648</w:t>
            </w:r>
          </w:p>
        </w:tc>
      </w:tr>
      <w:tr>
        <w:trPr>
          <w:trHeight w:val="115"/>
        </w:trPr>
        <w:tc>
          <w:tcPr>
            <w:tcW w:w="7480" w:type="dxa"/>
            <w:vAlign w:val="bottom"/>
            <w:tcBorders>
              <w:top w:val="single" w:sz="8" w:color="CFF0FC"/>
            </w:tcBorders>
            <w:shd w:val="clear" w:color="auto" w:fill="CFF0FC"/>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 liabilities</w:t>
            </w:r>
          </w:p>
        </w:tc>
        <w:tc>
          <w:tcPr>
            <w:tcW w:w="1220" w:type="dxa"/>
            <w:vAlign w:val="bottom"/>
            <w:tcBorders>
              <w:top w:val="single" w:sz="8" w:color="auto"/>
              <w:bottom w:val="single" w:sz="8" w:color="auto"/>
            </w:tcBorders>
            <w:shd w:val="clear" w:color="auto" w:fill="CFF0FC"/>
          </w:tcPr>
          <w:p>
            <w:pPr>
              <w:spacing w:after="0"/>
              <w:rPr>
                <w:sz w:val="10"/>
                <w:szCs w:val="10"/>
                <w:color w:val="auto"/>
              </w:rPr>
            </w:pP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875,093</w:t>
            </w:r>
          </w:p>
        </w:tc>
        <w:tc>
          <w:tcPr>
            <w:tcW w:w="160" w:type="dxa"/>
            <w:vAlign w:val="bottom"/>
            <w:tcBorders>
              <w:top w:val="single" w:sz="8" w:color="CFF0FC"/>
            </w:tcBorders>
            <w:shd w:val="clear" w:color="auto" w:fill="CFF0FC"/>
          </w:tcPr>
          <w:p>
            <w:pPr>
              <w:spacing w:after="0"/>
              <w:rPr>
                <w:sz w:val="10"/>
                <w:szCs w:val="10"/>
                <w:color w:val="auto"/>
              </w:rPr>
            </w:pPr>
          </w:p>
        </w:tc>
        <w:tc>
          <w:tcPr>
            <w:tcW w:w="1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911,900</w:t>
            </w:r>
          </w:p>
        </w:tc>
      </w:tr>
      <w:tr>
        <w:trPr>
          <w:trHeight w:val="115"/>
        </w:trPr>
        <w:tc>
          <w:tcPr>
            <w:tcW w:w="74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COMMITMENTS AND CONTINGENT LIABILITIES (Note 15)</w:t>
            </w: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6"/>
        </w:trPr>
        <w:tc>
          <w:tcPr>
            <w:tcW w:w="87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SHAREHOLDERS’ EQUITY:</w:t>
            </w: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spacing w:after="0"/>
              <w:rPr>
                <w:sz w:val="10"/>
                <w:szCs w:val="10"/>
                <w:color w:val="auto"/>
              </w:rPr>
            </w:pPr>
          </w:p>
        </w:tc>
      </w:tr>
      <w:tr>
        <w:trPr>
          <w:trHeight w:val="108"/>
        </w:trPr>
        <w:tc>
          <w:tcPr>
            <w:tcW w:w="870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2"/>
                <w:szCs w:val="12"/>
                <w:color w:val="auto"/>
              </w:rPr>
              <w:t>Preferred shares, par value, $0.01 per share; 50,000,000 shares authorized; zero issued and outstanding at June 30, 2022 and December 31, 2021,</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r>
      <w:tr>
        <w:trPr>
          <w:trHeight w:val="144"/>
        </w:trPr>
        <w:tc>
          <w:tcPr>
            <w:tcW w:w="870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respectively</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8700" w:type="dxa"/>
            <w:vAlign w:val="bottom"/>
            <w:gridSpan w:val="2"/>
            <w:shd w:val="clear" w:color="auto" w:fill="CFF0FC"/>
          </w:tcPr>
          <w:p>
            <w:pPr>
              <w:ind w:left="160"/>
              <w:spacing w:after="0" w:line="108" w:lineRule="exact"/>
              <w:rPr>
                <w:sz w:val="20"/>
                <w:szCs w:val="20"/>
                <w:color w:val="auto"/>
              </w:rPr>
            </w:pPr>
            <w:r>
              <w:rPr>
                <w:rFonts w:ascii="Times New Roman" w:cs="Times New Roman" w:eastAsia="Times New Roman" w:hAnsi="Times New Roman"/>
                <w:sz w:val="12"/>
                <w:szCs w:val="12"/>
                <w:color w:val="auto"/>
              </w:rPr>
              <w:t>Ordinary shares, par value, $0.01 per share; 450,000,000 shares authorized; 168,782,701 and 165,790,549 shares issued; 164,232,704 and</w:t>
            </w:r>
          </w:p>
        </w:tc>
        <w:tc>
          <w:tcPr>
            <w:tcW w:w="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r>
      <w:tr>
        <w:trPr>
          <w:trHeight w:val="144"/>
        </w:trPr>
        <w:tc>
          <w:tcPr>
            <w:tcW w:w="8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161,937,327 shares outstanding at June 30, 2022 and December 31, 2021, respectively</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1,688</w:t>
            </w:r>
          </w:p>
        </w:tc>
        <w:tc>
          <w:tcPr>
            <w:tcW w:w="16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1,658</w:t>
            </w:r>
          </w:p>
        </w:tc>
      </w:tr>
      <w:tr>
        <w:trPr>
          <w:trHeight w:val="126"/>
        </w:trPr>
        <w:tc>
          <w:tcPr>
            <w:tcW w:w="87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Treasury shares, at cost (4,549,997 and 3,853,222 shares at June 30, 2022 and December 31, 2021, respectively)</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(160,241)</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(142,658)</w:t>
            </w:r>
          </w:p>
        </w:tc>
      </w:tr>
      <w:tr>
        <w:trPr>
          <w:trHeight w:val="126"/>
        </w:trPr>
        <w:tc>
          <w:tcPr>
            <w:tcW w:w="8700" w:type="dxa"/>
            <w:vAlign w:val="bottom"/>
            <w:gridSpan w:val="2"/>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Additional paid-in capital</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2,858,422</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2,798,325</w:t>
            </w:r>
          </w:p>
        </w:tc>
      </w:tr>
      <w:tr>
        <w:trPr>
          <w:trHeight w:val="126"/>
        </w:trPr>
        <w:tc>
          <w:tcPr>
            <w:tcW w:w="87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(10,488)</w:t>
            </w:r>
          </w:p>
        </w:tc>
        <w:tc>
          <w:tcPr>
            <w:tcW w:w="160" w:type="dxa"/>
            <w:vAlign w:val="bottom"/>
          </w:tcPr>
          <w:p>
            <w:pPr>
              <w:spacing w:after="0"/>
              <w:rPr>
                <w:sz w:val="10"/>
                <w:szCs w:val="10"/>
                <w:color w:val="auto"/>
              </w:rPr>
            </w:pPr>
          </w:p>
        </w:tc>
        <w:tc>
          <w:tcPr>
            <w:tcW w:w="1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(3,723)</w:t>
            </w:r>
          </w:p>
        </w:tc>
      </w:tr>
      <w:tr>
        <w:trPr>
          <w:trHeight w:val="126"/>
        </w:trPr>
        <w:tc>
          <w:tcPr>
            <w:tcW w:w="8700" w:type="dxa"/>
            <w:vAlign w:val="bottom"/>
            <w:gridSpan w:val="2"/>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Accumulated deficit</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w w:val="99"/>
              </w:rPr>
              <w:t>(1,607,057)</w:t>
            </w:r>
          </w:p>
        </w:tc>
        <w:tc>
          <w:tcPr>
            <w:tcW w:w="160" w:type="dxa"/>
            <w:vAlign w:val="bottom"/>
            <w:shd w:val="clear" w:color="auto" w:fill="CFF0FC"/>
          </w:tcPr>
          <w:p>
            <w:pPr>
              <w:spacing w:after="0"/>
              <w:rPr>
                <w:sz w:val="10"/>
                <w:szCs w:val="10"/>
                <w:color w:val="auto"/>
              </w:rPr>
            </w:pPr>
          </w:p>
        </w:tc>
        <w:tc>
          <w:tcPr>
            <w:tcW w:w="1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(1,541,018)</w:t>
            </w:r>
          </w:p>
        </w:tc>
      </w:tr>
      <w:tr>
        <w:trPr>
          <w:trHeight w:val="115"/>
        </w:trPr>
        <w:tc>
          <w:tcPr>
            <w:tcW w:w="7480" w:type="dxa"/>
            <w:vAlign w:val="bottom"/>
            <w:tcBorders>
              <w:bottom w:val="single" w:sz="8" w:color="CFF0FC"/>
            </w:tcBorders>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 shareholders’ equity</w:t>
            </w:r>
          </w:p>
        </w:tc>
        <w:tc>
          <w:tcPr>
            <w:tcW w:w="122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1,082,324</w:t>
            </w:r>
          </w:p>
        </w:tc>
        <w:tc>
          <w:tcPr>
            <w:tcW w:w="160" w:type="dxa"/>
            <w:vAlign w:val="bottom"/>
            <w:tcBorders>
              <w:bottom w:val="single" w:sz="8" w:color="CFF0FC"/>
            </w:tcBorders>
          </w:tcPr>
          <w:p>
            <w:pPr>
              <w:spacing w:after="0"/>
              <w:rPr>
                <w:sz w:val="10"/>
                <w:szCs w:val="10"/>
                <w:color w:val="auto"/>
              </w:rPr>
            </w:pPr>
          </w:p>
        </w:tc>
        <w:tc>
          <w:tcPr>
            <w:tcW w:w="1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1,112,584</w:t>
            </w:r>
          </w:p>
        </w:tc>
      </w:tr>
      <w:tr>
        <w:trPr>
          <w:trHeight w:val="122"/>
        </w:trPr>
        <w:tc>
          <w:tcPr>
            <w:tcW w:w="748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TOTAL LIABILITIES AND SHAREHOLDERS’ EQUITY</w:t>
            </w:r>
          </w:p>
        </w:tc>
        <w:tc>
          <w:tcPr>
            <w:tcW w:w="1220" w:type="dxa"/>
            <w:vAlign w:val="bottom"/>
            <w:tcBorders>
              <w:bottom w:val="single" w:sz="8" w:color="auto"/>
            </w:tcBorders>
            <w:shd w:val="clear" w:color="auto" w:fill="CFF0FC"/>
          </w:tcPr>
          <w:p>
            <w:pPr>
              <w:spacing w:after="0"/>
              <w:rPr>
                <w:sz w:val="10"/>
                <w:szCs w:val="10"/>
                <w:color w:val="auto"/>
              </w:rPr>
            </w:pP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$1,957,417</w:t>
            </w:r>
          </w:p>
        </w:tc>
        <w:tc>
          <w:tcPr>
            <w:tcW w:w="160" w:type="dxa"/>
            <w:vAlign w:val="bottom"/>
            <w:tcBorders>
              <w:bottom w:val="single" w:sz="8" w:color="CFF0FC"/>
            </w:tcBorders>
            <w:shd w:val="clear" w:color="auto" w:fill="CFF0FC"/>
          </w:tcPr>
          <w:p>
            <w:pPr>
              <w:spacing w:after="0"/>
              <w:rPr>
                <w:sz w:val="10"/>
                <w:szCs w:val="10"/>
                <w:color w:val="auto"/>
              </w:rPr>
            </w:pPr>
          </w:p>
        </w:tc>
        <w:tc>
          <w:tcPr>
            <w:tcW w:w="18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$2,024,484</w:t>
            </w: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269"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jc w:val="center"/>
        <w:ind w:right="-79"/>
        <w:spacing w:after="0" w:line="219" w:lineRule="auto"/>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 INCOME</w:t>
      </w: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58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7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58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1"/>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21"/>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1"/>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Pr>
          <w:p>
            <w:pPr>
              <w:spacing w:after="0"/>
              <w:rPr>
                <w:sz w:val="8"/>
                <w:szCs w:val="8"/>
                <w:color w:val="auto"/>
              </w:rPr>
            </w:pPr>
          </w:p>
        </w:tc>
      </w:tr>
      <w:tr>
        <w:trPr>
          <w:trHeight w:val="97"/>
        </w:trPr>
        <w:tc>
          <w:tcPr>
            <w:tcW w:w="5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20" w:type="dxa"/>
            <w:vAlign w:val="bottom"/>
            <w:gridSpan w:val="5"/>
          </w:tcPr>
          <w:p>
            <w:pPr>
              <w:jc w:val="right"/>
              <w:ind w:right="680"/>
              <w:spacing w:after="0" w:line="97" w:lineRule="exact"/>
              <w:rPr>
                <w:sz w:val="20"/>
                <w:szCs w:val="20"/>
                <w:color w:val="auto"/>
              </w:rPr>
            </w:pPr>
            <w:r>
              <w:rPr>
                <w:rFonts w:ascii="Times New Roman" w:cs="Times New Roman" w:eastAsia="Times New Roman" w:hAnsi="Times New Roman"/>
                <w:sz w:val="10"/>
                <w:szCs w:val="10"/>
                <w:b w:val="1"/>
                <w:bCs w:val="1"/>
                <w:color w:val="auto"/>
                <w:w w:val="97"/>
              </w:rPr>
              <w:t>(In thousands, except per share amounts)</w:t>
            </w: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26"/>
        </w:trPr>
        <w:tc>
          <w:tcPr>
            <w:tcW w:w="58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REVENUES:</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6"/>
        </w:trPr>
        <w:tc>
          <w:tcPr>
            <w:tcW w:w="58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Product sales, net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190,787</w:t>
            </w:r>
          </w:p>
        </w:tc>
        <w:tc>
          <w:tcPr>
            <w:tcW w:w="240" w:type="dxa"/>
            <w:vAlign w:val="bottom"/>
          </w:tcPr>
          <w:p>
            <w:pPr>
              <w:spacing w:after="0"/>
              <w:rPr>
                <w:sz w:val="10"/>
                <w:szCs w:val="10"/>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160,808</w:t>
            </w:r>
          </w:p>
        </w:tc>
        <w:tc>
          <w:tcPr>
            <w:tcW w:w="240" w:type="dxa"/>
            <w:vAlign w:val="bottom"/>
          </w:tcPr>
          <w:p>
            <w:pPr>
              <w:spacing w:after="0"/>
              <w:rPr>
                <w:sz w:val="10"/>
                <w:szCs w:val="10"/>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362,055</w:t>
            </w:r>
          </w:p>
        </w:tc>
        <w:tc>
          <w:tcPr>
            <w:tcW w:w="260" w:type="dxa"/>
            <w:vAlign w:val="bottom"/>
          </w:tcPr>
          <w:p>
            <w:pPr>
              <w:spacing w:after="0"/>
              <w:rPr>
                <w:sz w:val="10"/>
                <w:szCs w:val="10"/>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290,771</w:t>
            </w:r>
          </w:p>
        </w:tc>
        <w:tc>
          <w:tcPr>
            <w:tcW w:w="120" w:type="dxa"/>
            <w:vAlign w:val="bottom"/>
          </w:tcPr>
          <w:p>
            <w:pPr>
              <w:spacing w:after="0"/>
              <w:rPr>
                <w:sz w:val="10"/>
                <w:szCs w:val="10"/>
                <w:color w:val="auto"/>
              </w:rPr>
            </w:pPr>
          </w:p>
        </w:tc>
      </w:tr>
      <w:tr>
        <w:trPr>
          <w:trHeight w:val="126"/>
        </w:trPr>
        <w:tc>
          <w:tcPr>
            <w:tcW w:w="58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Manufacturing and royalty revenues</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85,326</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142,294</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190,496</w:t>
            </w: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262,141</w:t>
            </w:r>
          </w:p>
        </w:tc>
        <w:tc>
          <w:tcPr>
            <w:tcW w:w="120" w:type="dxa"/>
            <w:vAlign w:val="bottom"/>
            <w:shd w:val="clear" w:color="auto" w:fill="CFF0FC"/>
          </w:tcPr>
          <w:p>
            <w:pPr>
              <w:spacing w:after="0"/>
              <w:rPr>
                <w:sz w:val="10"/>
                <w:szCs w:val="10"/>
                <w:color w:val="auto"/>
              </w:rPr>
            </w:pPr>
          </w:p>
        </w:tc>
      </w:tr>
      <w:tr>
        <w:trPr>
          <w:trHeight w:val="126"/>
        </w:trPr>
        <w:tc>
          <w:tcPr>
            <w:tcW w:w="58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License revenue</w:t>
            </w:r>
          </w:p>
        </w:tc>
        <w:tc>
          <w:tcPr>
            <w:tcW w:w="260" w:type="dxa"/>
            <w:vAlign w:val="bottom"/>
          </w:tcPr>
          <w:p>
            <w:pPr>
              <w:spacing w:after="0"/>
              <w:rPr>
                <w:sz w:val="10"/>
                <w:szCs w:val="10"/>
                <w:color w:val="auto"/>
              </w:rPr>
            </w:pPr>
          </w:p>
        </w:tc>
        <w:tc>
          <w:tcPr>
            <w:tcW w:w="112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0"/>
                <w:szCs w:val="10"/>
                <w:color w:val="auto"/>
              </w:rPr>
            </w:pPr>
          </w:p>
        </w:tc>
        <w:tc>
          <w:tcPr>
            <w:tcW w:w="102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2,000</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1,500</w:t>
            </w:r>
          </w:p>
        </w:tc>
        <w:tc>
          <w:tcPr>
            <w:tcW w:w="120" w:type="dxa"/>
            <w:vAlign w:val="bottom"/>
          </w:tcPr>
          <w:p>
            <w:pPr>
              <w:spacing w:after="0"/>
              <w:rPr>
                <w:sz w:val="10"/>
                <w:szCs w:val="10"/>
                <w:color w:val="auto"/>
              </w:rPr>
            </w:pPr>
          </w:p>
        </w:tc>
      </w:tr>
      <w:tr>
        <w:trPr>
          <w:trHeight w:val="126"/>
        </w:trPr>
        <w:tc>
          <w:tcPr>
            <w:tcW w:w="58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Research and development revenue</w:t>
            </w:r>
          </w:p>
        </w:tc>
        <w:tc>
          <w:tcPr>
            <w:tcW w:w="2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106</w:t>
            </w:r>
          </w:p>
        </w:tc>
        <w:tc>
          <w:tcPr>
            <w:tcW w:w="24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615</w:t>
            </w:r>
          </w:p>
        </w:tc>
        <w:tc>
          <w:tcPr>
            <w:tcW w:w="240" w:type="dxa"/>
            <w:vAlign w:val="bottom"/>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213</w:t>
            </w:r>
          </w:p>
        </w:tc>
        <w:tc>
          <w:tcPr>
            <w:tcW w:w="260" w:type="dxa"/>
            <w:vAlign w:val="bottom"/>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735</w:t>
            </w:r>
          </w:p>
        </w:tc>
        <w:tc>
          <w:tcPr>
            <w:tcW w:w="120" w:type="dxa"/>
            <w:vAlign w:val="bottom"/>
            <w:shd w:val="clear" w:color="auto" w:fill="CFF0FC"/>
          </w:tcPr>
          <w:p>
            <w:pPr>
              <w:spacing w:after="0"/>
              <w:rPr>
                <w:sz w:val="10"/>
                <w:szCs w:val="10"/>
                <w:color w:val="auto"/>
              </w:rPr>
            </w:pPr>
          </w:p>
        </w:tc>
      </w:tr>
      <w:tr>
        <w:trPr>
          <w:trHeight w:val="115"/>
        </w:trPr>
        <w:tc>
          <w:tcPr>
            <w:tcW w:w="5820" w:type="dxa"/>
            <w:vAlign w:val="bottom"/>
            <w:tcBorders>
              <w:bottom w:val="single" w:sz="8" w:color="CFF0FC"/>
            </w:tcBorders>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 revenues</w:t>
            </w: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276,219</w:t>
            </w:r>
          </w:p>
        </w:tc>
        <w:tc>
          <w:tcPr>
            <w:tcW w:w="24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303,717</w:t>
            </w:r>
          </w:p>
        </w:tc>
        <w:tc>
          <w:tcPr>
            <w:tcW w:w="24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554,764</w:t>
            </w:r>
          </w:p>
        </w:tc>
        <w:tc>
          <w:tcPr>
            <w:tcW w:w="26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555,147</w:t>
            </w:r>
          </w:p>
        </w:tc>
        <w:tc>
          <w:tcPr>
            <w:tcW w:w="120" w:type="dxa"/>
            <w:vAlign w:val="bottom"/>
            <w:tcBorders>
              <w:bottom w:val="single" w:sz="8" w:color="CFF0FC"/>
            </w:tcBorders>
          </w:tcPr>
          <w:p>
            <w:pPr>
              <w:spacing w:after="0"/>
              <w:rPr>
                <w:sz w:val="10"/>
                <w:szCs w:val="10"/>
                <w:color w:val="auto"/>
              </w:rPr>
            </w:pPr>
          </w:p>
        </w:tc>
      </w:tr>
      <w:tr>
        <w:trPr>
          <w:trHeight w:val="115"/>
        </w:trPr>
        <w:tc>
          <w:tcPr>
            <w:tcW w:w="58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EXPENSES:</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6"/>
        </w:trPr>
        <w:tc>
          <w:tcPr>
            <w:tcW w:w="58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Cost of goods manufactured and sold (exclusive of amortization of acquired intangible assets shown below)</w:t>
            </w: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58,360</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53,124</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113,519</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94,144</w:t>
            </w:r>
          </w:p>
        </w:tc>
        <w:tc>
          <w:tcPr>
            <w:tcW w:w="120" w:type="dxa"/>
            <w:vAlign w:val="bottom"/>
          </w:tcPr>
          <w:p>
            <w:pPr>
              <w:spacing w:after="0"/>
              <w:rPr>
                <w:sz w:val="10"/>
                <w:szCs w:val="10"/>
                <w:color w:val="auto"/>
              </w:rPr>
            </w:pPr>
          </w:p>
        </w:tc>
      </w:tr>
      <w:tr>
        <w:trPr>
          <w:trHeight w:val="126"/>
        </w:trPr>
        <w:tc>
          <w:tcPr>
            <w:tcW w:w="58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Research and development</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92,873</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97,473</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188,826</w:t>
            </w: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189,741</w:t>
            </w:r>
          </w:p>
        </w:tc>
        <w:tc>
          <w:tcPr>
            <w:tcW w:w="120" w:type="dxa"/>
            <w:vAlign w:val="bottom"/>
            <w:shd w:val="clear" w:color="auto" w:fill="CFF0FC"/>
          </w:tcPr>
          <w:p>
            <w:pPr>
              <w:spacing w:after="0"/>
              <w:rPr>
                <w:sz w:val="10"/>
                <w:szCs w:val="10"/>
                <w:color w:val="auto"/>
              </w:rPr>
            </w:pPr>
          </w:p>
        </w:tc>
      </w:tr>
      <w:tr>
        <w:trPr>
          <w:trHeight w:val="126"/>
        </w:trPr>
        <w:tc>
          <w:tcPr>
            <w:tcW w:w="58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Selling, general and administrative</w:t>
            </w: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150,377</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139,188</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295,429</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264,356</w:t>
            </w:r>
          </w:p>
        </w:tc>
        <w:tc>
          <w:tcPr>
            <w:tcW w:w="120" w:type="dxa"/>
            <w:vAlign w:val="bottom"/>
          </w:tcPr>
          <w:p>
            <w:pPr>
              <w:spacing w:after="0"/>
              <w:rPr>
                <w:sz w:val="10"/>
                <w:szCs w:val="10"/>
                <w:color w:val="auto"/>
              </w:rPr>
            </w:pPr>
          </w:p>
        </w:tc>
      </w:tr>
      <w:tr>
        <w:trPr>
          <w:trHeight w:val="126"/>
        </w:trPr>
        <w:tc>
          <w:tcPr>
            <w:tcW w:w="58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Amortization of acquired intangible assets</w:t>
            </w:r>
          </w:p>
        </w:tc>
        <w:tc>
          <w:tcPr>
            <w:tcW w:w="2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9,066</w:t>
            </w:r>
          </w:p>
        </w:tc>
        <w:tc>
          <w:tcPr>
            <w:tcW w:w="24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9,511</w:t>
            </w:r>
          </w:p>
        </w:tc>
        <w:tc>
          <w:tcPr>
            <w:tcW w:w="240" w:type="dxa"/>
            <w:vAlign w:val="bottom"/>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18,032</w:t>
            </w:r>
          </w:p>
        </w:tc>
        <w:tc>
          <w:tcPr>
            <w:tcW w:w="260" w:type="dxa"/>
            <w:vAlign w:val="bottom"/>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18,917</w:t>
            </w:r>
          </w:p>
        </w:tc>
        <w:tc>
          <w:tcPr>
            <w:tcW w:w="120" w:type="dxa"/>
            <w:vAlign w:val="bottom"/>
            <w:shd w:val="clear" w:color="auto" w:fill="CFF0FC"/>
          </w:tcPr>
          <w:p>
            <w:pPr>
              <w:spacing w:after="0"/>
              <w:rPr>
                <w:sz w:val="10"/>
                <w:szCs w:val="10"/>
                <w:color w:val="auto"/>
              </w:rPr>
            </w:pPr>
          </w:p>
        </w:tc>
      </w:tr>
      <w:tr>
        <w:trPr>
          <w:trHeight w:val="115"/>
        </w:trPr>
        <w:tc>
          <w:tcPr>
            <w:tcW w:w="5820" w:type="dxa"/>
            <w:vAlign w:val="bottom"/>
            <w:tcBorders>
              <w:bottom w:val="single" w:sz="8" w:color="CFF0FC"/>
            </w:tcBorders>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 expenses</w:t>
            </w: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310,676</w:t>
            </w:r>
          </w:p>
        </w:tc>
        <w:tc>
          <w:tcPr>
            <w:tcW w:w="24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299,296</w:t>
            </w:r>
          </w:p>
        </w:tc>
        <w:tc>
          <w:tcPr>
            <w:tcW w:w="24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615,806</w:t>
            </w:r>
          </w:p>
        </w:tc>
        <w:tc>
          <w:tcPr>
            <w:tcW w:w="26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567,158</w:t>
            </w:r>
          </w:p>
        </w:tc>
        <w:tc>
          <w:tcPr>
            <w:tcW w:w="120" w:type="dxa"/>
            <w:vAlign w:val="bottom"/>
            <w:tcBorders>
              <w:bottom w:val="single" w:sz="8" w:color="CFF0FC"/>
            </w:tcBorders>
          </w:tcPr>
          <w:p>
            <w:pPr>
              <w:spacing w:after="0"/>
              <w:rPr>
                <w:sz w:val="10"/>
                <w:szCs w:val="10"/>
                <w:color w:val="auto"/>
              </w:rPr>
            </w:pPr>
          </w:p>
        </w:tc>
      </w:tr>
      <w:tr>
        <w:trPr>
          <w:trHeight w:val="115"/>
        </w:trPr>
        <w:tc>
          <w:tcPr>
            <w:tcW w:w="58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OPERATING (LOSS) INCOME</w:t>
            </w:r>
          </w:p>
        </w:tc>
        <w:tc>
          <w:tcPr>
            <w:tcW w:w="2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(34,457)</w:t>
            </w:r>
          </w:p>
        </w:tc>
        <w:tc>
          <w:tcPr>
            <w:tcW w:w="24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4,421</w:t>
            </w:r>
          </w:p>
        </w:tc>
        <w:tc>
          <w:tcPr>
            <w:tcW w:w="240" w:type="dxa"/>
            <w:vAlign w:val="bottom"/>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(61,042)</w:t>
            </w:r>
          </w:p>
        </w:tc>
        <w:tc>
          <w:tcPr>
            <w:tcW w:w="260" w:type="dxa"/>
            <w:vAlign w:val="bottom"/>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(12,011)</w:t>
            </w:r>
          </w:p>
        </w:tc>
        <w:tc>
          <w:tcPr>
            <w:tcW w:w="120" w:type="dxa"/>
            <w:vAlign w:val="bottom"/>
            <w:shd w:val="clear" w:color="auto" w:fill="CFF0FC"/>
          </w:tcPr>
          <w:p>
            <w:pPr>
              <w:spacing w:after="0"/>
              <w:rPr>
                <w:sz w:val="10"/>
                <w:szCs w:val="10"/>
                <w:color w:val="auto"/>
              </w:rPr>
            </w:pPr>
          </w:p>
        </w:tc>
      </w:tr>
      <w:tr>
        <w:trPr>
          <w:trHeight w:val="115"/>
        </w:trPr>
        <w:tc>
          <w:tcPr>
            <w:tcW w:w="582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OTHER (EXPENSE) INCOME, NET:</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6"/>
        </w:trPr>
        <w:tc>
          <w:tcPr>
            <w:tcW w:w="58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Interest income</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896</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623</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1,469</w:t>
            </w: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1,487</w:t>
            </w:r>
          </w:p>
        </w:tc>
        <w:tc>
          <w:tcPr>
            <w:tcW w:w="120" w:type="dxa"/>
            <w:vAlign w:val="bottom"/>
            <w:shd w:val="clear" w:color="auto" w:fill="CFF0FC"/>
          </w:tcPr>
          <w:p>
            <w:pPr>
              <w:spacing w:after="0"/>
              <w:rPr>
                <w:sz w:val="10"/>
                <w:szCs w:val="10"/>
                <w:color w:val="auto"/>
              </w:rPr>
            </w:pPr>
          </w:p>
        </w:tc>
      </w:tr>
      <w:tr>
        <w:trPr>
          <w:trHeight w:val="126"/>
        </w:trPr>
        <w:tc>
          <w:tcPr>
            <w:tcW w:w="58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Pr>
          <w:p>
            <w:pPr>
              <w:spacing w:after="0"/>
              <w:rPr>
                <w:sz w:val="10"/>
                <w:szCs w:val="10"/>
                <w:color w:val="auto"/>
              </w:rPr>
            </w:pPr>
          </w:p>
        </w:tc>
        <w:tc>
          <w:tcPr>
            <w:tcW w:w="11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(2,369)</w:t>
            </w:r>
          </w:p>
        </w:tc>
        <w:tc>
          <w:tcPr>
            <w:tcW w:w="360" w:type="dxa"/>
            <w:vAlign w:val="bottom"/>
          </w:tcPr>
          <w:p>
            <w:pPr>
              <w:spacing w:after="0"/>
              <w:rPr>
                <w:sz w:val="10"/>
                <w:szCs w:val="10"/>
                <w:color w:val="auto"/>
              </w:rPr>
            </w:pP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(2,407)</w:t>
            </w:r>
          </w:p>
        </w:tc>
        <w:tc>
          <w:tcPr>
            <w:tcW w:w="260" w:type="dxa"/>
            <w:vAlign w:val="bottom"/>
          </w:tcPr>
          <w:p>
            <w:pPr>
              <w:spacing w:after="0"/>
              <w:rPr>
                <w:sz w:val="10"/>
                <w:szCs w:val="10"/>
                <w:color w:val="auto"/>
              </w:rPr>
            </w:pPr>
          </w:p>
        </w:tc>
        <w:tc>
          <w:tcPr>
            <w:tcW w:w="114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(4,719)</w:t>
            </w:r>
          </w:p>
        </w:tc>
        <w:tc>
          <w:tcPr>
            <w:tcW w:w="340" w:type="dxa"/>
            <w:vAlign w:val="bottom"/>
          </w:tcPr>
          <w:p>
            <w:pPr>
              <w:spacing w:after="0"/>
              <w:rPr>
                <w:sz w:val="10"/>
                <w:szCs w:val="10"/>
                <w:color w:val="auto"/>
              </w:rPr>
            </w:pPr>
          </w:p>
        </w:tc>
        <w:tc>
          <w:tcPr>
            <w:tcW w:w="9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(6,377)</w:t>
            </w:r>
          </w:p>
        </w:tc>
      </w:tr>
      <w:tr>
        <w:trPr>
          <w:trHeight w:val="126"/>
        </w:trPr>
        <w:tc>
          <w:tcPr>
            <w:tcW w:w="58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Change in the fair value of contingent consideration</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870</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3,240</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(18,197)</w:t>
            </w: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4,518</w:t>
            </w:r>
          </w:p>
        </w:tc>
        <w:tc>
          <w:tcPr>
            <w:tcW w:w="120" w:type="dxa"/>
            <w:vAlign w:val="bottom"/>
            <w:shd w:val="clear" w:color="auto" w:fill="CFF0FC"/>
          </w:tcPr>
          <w:p>
            <w:pPr>
              <w:spacing w:after="0"/>
              <w:rPr>
                <w:sz w:val="10"/>
                <w:szCs w:val="10"/>
                <w:color w:val="auto"/>
              </w:rPr>
            </w:pPr>
          </w:p>
        </w:tc>
      </w:tr>
      <w:tr>
        <w:trPr>
          <w:trHeight w:val="126"/>
        </w:trPr>
        <w:tc>
          <w:tcPr>
            <w:tcW w:w="58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Other income (expense), net</w:t>
            </w: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1,810</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(222)</w:t>
            </w: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4,241</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(615)</w:t>
            </w:r>
          </w:p>
        </w:tc>
      </w:tr>
      <w:tr>
        <w:trPr>
          <w:trHeight w:val="115"/>
        </w:trPr>
        <w:tc>
          <w:tcPr>
            <w:tcW w:w="5820" w:type="dxa"/>
            <w:vAlign w:val="bottom"/>
            <w:tcBorders>
              <w:top w:val="single" w:sz="8" w:color="CFF0FC"/>
            </w:tcBorders>
            <w:shd w:val="clear" w:color="auto" w:fill="CFF0FC"/>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 other (expense) income, net</w:t>
            </w:r>
          </w:p>
        </w:tc>
        <w:tc>
          <w:tcPr>
            <w:tcW w:w="260" w:type="dxa"/>
            <w:vAlign w:val="bottom"/>
            <w:tcBorders>
              <w:top w:val="single" w:sz="8" w:color="auto"/>
              <w:bottom w:val="single" w:sz="8" w:color="auto"/>
            </w:tcBorders>
            <w:shd w:val="clear" w:color="auto" w:fill="CFF0FC"/>
          </w:tcPr>
          <w:p>
            <w:pPr>
              <w:spacing w:after="0"/>
              <w:rPr>
                <w:sz w:val="10"/>
                <w:szCs w:val="10"/>
                <w:color w:val="auto"/>
              </w:rPr>
            </w:pPr>
          </w:p>
        </w:tc>
        <w:tc>
          <w:tcPr>
            <w:tcW w:w="8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1,207</w:t>
            </w:r>
          </w:p>
        </w:tc>
        <w:tc>
          <w:tcPr>
            <w:tcW w:w="2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bottom w:val="single" w:sz="8" w:color="auto"/>
            </w:tcBorders>
            <w:shd w:val="clear" w:color="auto" w:fill="CFF0FC"/>
          </w:tcPr>
          <w:p>
            <w:pPr>
              <w:spacing w:after="0"/>
              <w:rPr>
                <w:sz w:val="10"/>
                <w:szCs w:val="10"/>
                <w:color w:val="auto"/>
              </w:rPr>
            </w:pP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1,234</w:t>
            </w:r>
          </w:p>
        </w:tc>
        <w:tc>
          <w:tcPr>
            <w:tcW w:w="24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bottom w:val="single" w:sz="8" w:color="auto"/>
            </w:tcBorders>
            <w:shd w:val="clear" w:color="auto" w:fill="CFF0FC"/>
          </w:tcPr>
          <w:p>
            <w:pPr>
              <w:spacing w:after="0"/>
              <w:rPr>
                <w:sz w:val="10"/>
                <w:szCs w:val="10"/>
                <w:color w:val="auto"/>
              </w:rPr>
            </w:pPr>
          </w:p>
        </w:tc>
        <w:tc>
          <w:tcPr>
            <w:tcW w:w="8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(17,206)</w:t>
            </w:r>
          </w:p>
        </w:tc>
        <w:tc>
          <w:tcPr>
            <w:tcW w:w="26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bottom w:val="single" w:sz="8" w:color="auto"/>
            </w:tcBorders>
            <w:shd w:val="clear" w:color="auto" w:fill="CFF0FC"/>
          </w:tcPr>
          <w:p>
            <w:pPr>
              <w:spacing w:after="0"/>
              <w:rPr>
                <w:sz w:val="10"/>
                <w:szCs w:val="10"/>
                <w:color w:val="auto"/>
              </w:rPr>
            </w:pP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(987)</w:t>
            </w:r>
          </w:p>
        </w:tc>
        <w:tc>
          <w:tcPr>
            <w:tcW w:w="120" w:type="dxa"/>
            <w:vAlign w:val="bottom"/>
            <w:tcBorders>
              <w:top w:val="single" w:sz="8" w:color="CFF0FC"/>
            </w:tcBorders>
            <w:shd w:val="clear" w:color="auto" w:fill="CFF0FC"/>
          </w:tcPr>
          <w:p>
            <w:pPr>
              <w:spacing w:after="0"/>
              <w:rPr>
                <w:sz w:val="10"/>
                <w:szCs w:val="10"/>
                <w:color w:val="auto"/>
              </w:rPr>
            </w:pPr>
          </w:p>
        </w:tc>
      </w:tr>
      <w:tr>
        <w:trPr>
          <w:trHeight w:val="115"/>
        </w:trPr>
        <w:tc>
          <w:tcPr>
            <w:tcW w:w="582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(LOSS) EARNINGS BEFORE INCOME TAXES</w:t>
            </w:r>
          </w:p>
        </w:tc>
        <w:tc>
          <w:tcPr>
            <w:tcW w:w="260" w:type="dxa"/>
            <w:vAlign w:val="bottom"/>
          </w:tcPr>
          <w:p>
            <w:pPr>
              <w:spacing w:after="0"/>
              <w:rPr>
                <w:sz w:val="10"/>
                <w:szCs w:val="10"/>
                <w:color w:val="auto"/>
              </w:rPr>
            </w:pP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(33,250)</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5,655</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(78,248)</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(12,998)</w:t>
            </w:r>
          </w:p>
        </w:tc>
        <w:tc>
          <w:tcPr>
            <w:tcW w:w="120" w:type="dxa"/>
            <w:vAlign w:val="bottom"/>
          </w:tcPr>
          <w:p>
            <w:pPr>
              <w:spacing w:after="0"/>
              <w:rPr>
                <w:sz w:val="10"/>
                <w:szCs w:val="10"/>
                <w:color w:val="auto"/>
              </w:rPr>
            </w:pPr>
          </w:p>
        </w:tc>
      </w:tr>
      <w:tr>
        <w:trPr>
          <w:trHeight w:val="126"/>
        </w:trPr>
        <w:tc>
          <w:tcPr>
            <w:tcW w:w="58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INCOME TAX (BENEFIT) PROVISION</w:t>
            </w:r>
          </w:p>
        </w:tc>
        <w:tc>
          <w:tcPr>
            <w:tcW w:w="26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(3,114)</w:t>
            </w: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3,291</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(12,209)</w:t>
            </w: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7,056</w:t>
            </w:r>
          </w:p>
        </w:tc>
        <w:tc>
          <w:tcPr>
            <w:tcW w:w="120" w:type="dxa"/>
            <w:vAlign w:val="bottom"/>
            <w:shd w:val="clear" w:color="auto" w:fill="CFF0FC"/>
          </w:tcPr>
          <w:p>
            <w:pPr>
              <w:spacing w:after="0"/>
              <w:rPr>
                <w:sz w:val="10"/>
                <w:szCs w:val="10"/>
                <w:color w:val="auto"/>
              </w:rPr>
            </w:pPr>
          </w:p>
        </w:tc>
      </w:tr>
      <w:tr>
        <w:trPr>
          <w:trHeight w:val="122"/>
        </w:trPr>
        <w:tc>
          <w:tcPr>
            <w:tcW w:w="5820" w:type="dxa"/>
            <w:vAlign w:val="bottom"/>
            <w:tcBorders>
              <w:bottom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color w:val="auto"/>
              </w:rPr>
              <w:t>NET (LOSS) INCOME</w:t>
            </w:r>
          </w:p>
        </w:tc>
        <w:tc>
          <w:tcPr>
            <w:tcW w:w="26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(30,136)</w:t>
            </w:r>
          </w:p>
        </w:tc>
        <w:tc>
          <w:tcPr>
            <w:tcW w:w="240" w:type="dxa"/>
            <w:vAlign w:val="bottom"/>
            <w:tcBorders>
              <w:bottom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2,364</w:t>
            </w:r>
          </w:p>
        </w:tc>
        <w:tc>
          <w:tcPr>
            <w:tcW w:w="240" w:type="dxa"/>
            <w:vAlign w:val="bottom"/>
            <w:tcBorders>
              <w:bottom w:val="single" w:sz="8" w:color="CFF0FC"/>
            </w:tcBorders>
          </w:tcPr>
          <w:p>
            <w:pPr>
              <w:spacing w:after="0"/>
              <w:rPr>
                <w:sz w:val="10"/>
                <w:szCs w:val="10"/>
                <w:color w:val="auto"/>
              </w:rPr>
            </w:pPr>
          </w:p>
        </w:tc>
        <w:tc>
          <w:tcPr>
            <w:tcW w:w="26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(66,039)</w:t>
            </w:r>
          </w:p>
        </w:tc>
        <w:tc>
          <w:tcPr>
            <w:tcW w:w="260" w:type="dxa"/>
            <w:vAlign w:val="bottom"/>
            <w:tcBorders>
              <w:bottom w:val="single" w:sz="8" w:color="CFF0FC"/>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(20,054)</w:t>
            </w:r>
          </w:p>
        </w:tc>
        <w:tc>
          <w:tcPr>
            <w:tcW w:w="120" w:type="dxa"/>
            <w:vAlign w:val="bottom"/>
            <w:tcBorders>
              <w:bottom w:val="single" w:sz="8" w:color="CFF0FC"/>
            </w:tcBorders>
          </w:tcPr>
          <w:p>
            <w:pPr>
              <w:spacing w:after="0"/>
              <w:rPr>
                <w:sz w:val="10"/>
                <w:szCs w:val="10"/>
                <w:color w:val="auto"/>
              </w:rPr>
            </w:pPr>
          </w:p>
        </w:tc>
      </w:tr>
      <w:tr>
        <w:trPr>
          <w:trHeight w:val="126"/>
        </w:trPr>
        <w:tc>
          <w:tcPr>
            <w:tcW w:w="58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(LOSS) EARNINGS PER ORDINARY SHARE:</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3"/>
        </w:trPr>
        <w:tc>
          <w:tcPr>
            <w:tcW w:w="58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Basic and diluted</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(0.18)</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0.01</w:t>
            </w:r>
          </w:p>
        </w:tc>
        <w:tc>
          <w:tcPr>
            <w:tcW w:w="24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(0.40)</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(0.13)</w:t>
            </w:r>
          </w:p>
        </w:tc>
      </w:tr>
      <w:tr>
        <w:trPr>
          <w:trHeight w:val="126"/>
        </w:trPr>
        <w:tc>
          <w:tcPr>
            <w:tcW w:w="5820" w:type="dxa"/>
            <w:vAlign w:val="bottom"/>
            <w:tcBorders>
              <w:top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WEIGHTED AVERAGE NUMBER OF ORDINARY SHARES OUTSTANDING:</w:t>
            </w:r>
          </w:p>
        </w:tc>
        <w:tc>
          <w:tcPr>
            <w:tcW w:w="26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33"/>
        </w:trPr>
        <w:tc>
          <w:tcPr>
            <w:tcW w:w="5820" w:type="dxa"/>
            <w:vAlign w:val="bottom"/>
            <w:tcBorders>
              <w:bottom w:val="single" w:sz="8" w:color="CFF0FC"/>
            </w:tcBorders>
          </w:tcPr>
          <w:p>
            <w:pPr>
              <w:ind w:left="160"/>
              <w:spacing w:after="0" w:line="126" w:lineRule="exact"/>
              <w:rPr>
                <w:sz w:val="20"/>
                <w:szCs w:val="20"/>
                <w:color w:val="auto"/>
              </w:rPr>
            </w:pPr>
            <w:r>
              <w:rPr>
                <w:rFonts w:ascii="Times New Roman" w:cs="Times New Roman" w:eastAsia="Times New Roman" w:hAnsi="Times New Roman"/>
                <w:sz w:val="12"/>
                <w:szCs w:val="12"/>
                <w:color w:val="auto"/>
              </w:rPr>
              <w:t>Basic</w:t>
            </w: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163,839</w:t>
            </w:r>
          </w:p>
        </w:tc>
        <w:tc>
          <w:tcPr>
            <w:tcW w:w="24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160,817</w:t>
            </w:r>
          </w:p>
        </w:tc>
        <w:tc>
          <w:tcPr>
            <w:tcW w:w="2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163,165</w:t>
            </w:r>
          </w:p>
        </w:tc>
        <w:tc>
          <w:tcPr>
            <w:tcW w:w="260" w:type="dxa"/>
            <w:vAlign w:val="bottom"/>
            <w:tcBorders>
              <w:bottom w:val="single" w:sz="8" w:color="CFF0FC"/>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160,229</w:t>
            </w:r>
          </w:p>
        </w:tc>
        <w:tc>
          <w:tcPr>
            <w:tcW w:w="120" w:type="dxa"/>
            <w:vAlign w:val="bottom"/>
            <w:tcBorders>
              <w:bottom w:val="single" w:sz="8" w:color="CFF0FC"/>
            </w:tcBorders>
          </w:tcPr>
          <w:p>
            <w:pPr>
              <w:spacing w:after="0"/>
              <w:rPr>
                <w:sz w:val="11"/>
                <w:szCs w:val="11"/>
                <w:color w:val="auto"/>
              </w:rPr>
            </w:pPr>
          </w:p>
        </w:tc>
      </w:tr>
      <w:tr>
        <w:trPr>
          <w:trHeight w:val="146"/>
        </w:trPr>
        <w:tc>
          <w:tcPr>
            <w:tcW w:w="5820" w:type="dxa"/>
            <w:vAlign w:val="bottom"/>
            <w:tcBorders>
              <w:bottom w:val="single" w:sz="8" w:color="CFF0FC"/>
            </w:tcBorders>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Diluted</w:t>
            </w: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163,839</w:t>
            </w:r>
          </w:p>
        </w:tc>
        <w:tc>
          <w:tcPr>
            <w:tcW w:w="2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163,937</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163,165</w:t>
            </w:r>
          </w:p>
        </w:tc>
        <w:tc>
          <w:tcPr>
            <w:tcW w:w="26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160,229</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13"/>
        </w:trPr>
        <w:tc>
          <w:tcPr>
            <w:tcW w:w="582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COMPREHENSIVE (LOSS) INCOME: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6"/>
        </w:trPr>
        <w:tc>
          <w:tcPr>
            <w:tcW w:w="58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Net (loss) income</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(30,136)</w:t>
            </w:r>
          </w:p>
        </w:tc>
        <w:tc>
          <w:tcPr>
            <w:tcW w:w="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2,364</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(66,039)</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(20,054)</w:t>
            </w:r>
          </w:p>
        </w:tc>
      </w:tr>
      <w:tr>
        <w:trPr>
          <w:trHeight w:val="126"/>
        </w:trPr>
        <w:tc>
          <w:tcPr>
            <w:tcW w:w="58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Holding loss, net of a tax (benefit) provision of $326, $(79), $(1,055) and $(253), respectively</w:t>
            </w:r>
          </w:p>
        </w:tc>
        <w:tc>
          <w:tcPr>
            <w:tcW w:w="260" w:type="dxa"/>
            <w:vAlign w:val="bottom"/>
          </w:tcPr>
          <w:p>
            <w:pPr>
              <w:spacing w:after="0"/>
              <w:rPr>
                <w:sz w:val="10"/>
                <w:szCs w:val="10"/>
                <w:color w:val="auto"/>
              </w:rPr>
            </w:pPr>
          </w:p>
        </w:tc>
        <w:tc>
          <w:tcPr>
            <w:tcW w:w="11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(2,254)</w:t>
            </w:r>
          </w:p>
        </w:tc>
        <w:tc>
          <w:tcPr>
            <w:tcW w:w="360" w:type="dxa"/>
            <w:vAlign w:val="bottom"/>
          </w:tcPr>
          <w:p>
            <w:pPr>
              <w:spacing w:after="0"/>
              <w:rPr>
                <w:sz w:val="10"/>
                <w:szCs w:val="10"/>
                <w:color w:val="auto"/>
              </w:rPr>
            </w:pP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(272)</w:t>
            </w:r>
          </w:p>
        </w:tc>
        <w:tc>
          <w:tcPr>
            <w:tcW w:w="260" w:type="dxa"/>
            <w:vAlign w:val="bottom"/>
          </w:tcPr>
          <w:p>
            <w:pPr>
              <w:spacing w:after="0"/>
              <w:rPr>
                <w:sz w:val="10"/>
                <w:szCs w:val="10"/>
                <w:color w:val="auto"/>
              </w:rPr>
            </w:pPr>
          </w:p>
        </w:tc>
        <w:tc>
          <w:tcPr>
            <w:tcW w:w="114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(6,765)</w:t>
            </w:r>
          </w:p>
        </w:tc>
        <w:tc>
          <w:tcPr>
            <w:tcW w:w="340" w:type="dxa"/>
            <w:vAlign w:val="bottom"/>
          </w:tcPr>
          <w:p>
            <w:pPr>
              <w:spacing w:after="0"/>
              <w:rPr>
                <w:sz w:val="10"/>
                <w:szCs w:val="10"/>
                <w:color w:val="auto"/>
              </w:rPr>
            </w:pPr>
          </w:p>
        </w:tc>
        <w:tc>
          <w:tcPr>
            <w:tcW w:w="9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(873)</w:t>
            </w:r>
          </w:p>
        </w:tc>
      </w:tr>
      <w:tr>
        <w:trPr>
          <w:trHeight w:val="122"/>
        </w:trPr>
        <w:tc>
          <w:tcPr>
            <w:tcW w:w="5820" w:type="dxa"/>
            <w:vAlign w:val="bottom"/>
            <w:tcBorders>
              <w:top w:val="single" w:sz="8" w:color="CFF0FC"/>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COMPREHENSIVE (LOSS) INCOME</w:t>
            </w:r>
          </w:p>
        </w:tc>
        <w:tc>
          <w:tcPr>
            <w:tcW w:w="260" w:type="dxa"/>
            <w:vAlign w:val="bottom"/>
            <w:tcBorders>
              <w:top w:val="single" w:sz="8" w:color="auto"/>
              <w:bottom w:val="single" w:sz="8" w:color="auto"/>
            </w:tcBorders>
            <w:shd w:val="clear" w:color="auto" w:fill="CFF0FC"/>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(32,390)</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360" w:type="dxa"/>
            <w:vAlign w:val="bottom"/>
            <w:tcBorders>
              <w:top w:val="single" w:sz="8" w:color="auto"/>
              <w:bottom w:val="single" w:sz="8" w:color="auto"/>
            </w:tcBorders>
            <w:shd w:val="clear" w:color="auto" w:fill="CFF0FC"/>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2,092</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260" w:type="dxa"/>
            <w:vAlign w:val="bottom"/>
            <w:tcBorders>
              <w:top w:val="single" w:sz="8" w:color="auto"/>
              <w:bottom w:val="single" w:sz="8" w:color="auto"/>
            </w:tcBorders>
            <w:shd w:val="clear" w:color="auto" w:fill="CFF0FC"/>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(72,804)</w:t>
            </w:r>
          </w:p>
        </w:tc>
        <w:tc>
          <w:tcPr>
            <w:tcW w:w="260" w:type="dxa"/>
            <w:vAlign w:val="bottom"/>
            <w:tcBorders>
              <w:top w:val="single" w:sz="8" w:color="CFF0FC"/>
              <w:bottom w:val="single" w:sz="8" w:color="CFF0FC"/>
            </w:tcBorders>
            <w:shd w:val="clear" w:color="auto" w:fill="CFF0FC"/>
          </w:tcPr>
          <w:p>
            <w:pPr>
              <w:spacing w:after="0"/>
              <w:rPr>
                <w:sz w:val="10"/>
                <w:szCs w:val="10"/>
                <w:color w:val="auto"/>
              </w:rPr>
            </w:pPr>
          </w:p>
        </w:tc>
        <w:tc>
          <w:tcPr>
            <w:tcW w:w="340" w:type="dxa"/>
            <w:vAlign w:val="bottom"/>
            <w:tcBorders>
              <w:top w:val="single" w:sz="8" w:color="auto"/>
              <w:bottom w:val="single" w:sz="8" w:color="auto"/>
            </w:tcBorders>
            <w:shd w:val="clear" w:color="auto" w:fill="CFF0FC"/>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(20,927)</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r>
    </w:tbl>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55" w:right="3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jc w:val="center"/>
        <w:ind w:right="20"/>
        <w:spacing w:after="0" w:line="219" w:lineRule="auto"/>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gridSpan w:val="3"/>
          </w:tcPr>
          <w:p>
            <w:pPr>
              <w:jc w:val="center"/>
              <w:ind w:left="41"/>
              <w:spacing w:after="0"/>
              <w:rPr>
                <w:sz w:val="20"/>
                <w:szCs w:val="20"/>
                <w:color w:val="auto"/>
              </w:rPr>
            </w:pPr>
            <w:r>
              <w:rPr>
                <w:rFonts w:ascii="Times New Roman" w:cs="Times New Roman" w:eastAsia="Times New Roman" w:hAnsi="Times New Roman"/>
                <w:sz w:val="10"/>
                <w:szCs w:val="10"/>
                <w:b w:val="1"/>
                <w:bCs w:val="1"/>
                <w:color w:val="auto"/>
                <w:w w:val="96"/>
              </w:rPr>
              <w:t>Six Months Ended</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822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center"/>
              <w:ind w:left="21"/>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8220" w:type="dxa"/>
            <w:vAlign w:val="bottom"/>
          </w:tcPr>
          <w:p>
            <w:pPr>
              <w:spacing w:after="0"/>
              <w:rPr>
                <w:sz w:val="8"/>
                <w:szCs w:val="8"/>
                <w:color w:val="auto"/>
              </w:rPr>
            </w:pPr>
          </w:p>
        </w:tc>
        <w:tc>
          <w:tcPr>
            <w:tcW w:w="840" w:type="dxa"/>
            <w:vAlign w:val="bottom"/>
            <w:tcBorders>
              <w:bottom w:val="single" w:sz="8" w:color="auto"/>
            </w:tcBorders>
          </w:tcPr>
          <w:p>
            <w:pPr>
              <w:jc w:val="right"/>
              <w:ind w:right="28"/>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52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Pr>
          <w:p>
            <w:pPr>
              <w:spacing w:after="0"/>
              <w:rPr>
                <w:sz w:val="8"/>
                <w:szCs w:val="8"/>
                <w:color w:val="auto"/>
              </w:rPr>
            </w:pPr>
          </w:p>
        </w:tc>
      </w:tr>
      <w:tr>
        <w:trPr>
          <w:trHeight w:val="97"/>
        </w:trPr>
        <w:tc>
          <w:tcPr>
            <w:tcW w:w="8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gridSpan w:val="3"/>
          </w:tcPr>
          <w:p>
            <w:pPr>
              <w:jc w:val="center"/>
              <w:ind w:left="41"/>
              <w:spacing w:after="0" w:line="97" w:lineRule="exact"/>
              <w:rPr>
                <w:sz w:val="20"/>
                <w:szCs w:val="20"/>
                <w:color w:val="auto"/>
              </w:rPr>
            </w:pPr>
            <w:r>
              <w:rPr>
                <w:rFonts w:ascii="Times New Roman" w:cs="Times New Roman" w:eastAsia="Times New Roman" w:hAnsi="Times New Roman"/>
                <w:sz w:val="10"/>
                <w:szCs w:val="10"/>
                <w:b w:val="1"/>
                <w:bCs w:val="1"/>
                <w:color w:val="auto"/>
                <w:w w:val="96"/>
              </w:rPr>
              <w:t>(In thousands)</w:t>
            </w: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26"/>
        </w:trPr>
        <w:tc>
          <w:tcPr>
            <w:tcW w:w="82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Net loss</w:t>
            </w:r>
          </w:p>
        </w:tc>
        <w:tc>
          <w:tcPr>
            <w:tcW w:w="840" w:type="dxa"/>
            <w:vAlign w:val="bottom"/>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(66,039)</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(20,054)</w:t>
            </w:r>
          </w:p>
        </w:tc>
      </w:tr>
      <w:tr>
        <w:trPr>
          <w:trHeight w:val="126"/>
        </w:trPr>
        <w:tc>
          <w:tcPr>
            <w:tcW w:w="82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Adjustments to reconcile net loss to cash flows from operating activities: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84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38,588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38,119</w:t>
            </w:r>
          </w:p>
        </w:tc>
        <w:tc>
          <w:tcPr>
            <w:tcW w:w="120" w:type="dxa"/>
            <w:vAlign w:val="bottom"/>
          </w:tcPr>
          <w:p>
            <w:pPr>
              <w:spacing w:after="0"/>
              <w:rPr>
                <w:sz w:val="10"/>
                <w:szCs w:val="10"/>
                <w:color w:val="auto"/>
              </w:rPr>
            </w:pPr>
          </w:p>
        </w:tc>
      </w:tr>
      <w:tr>
        <w:trPr>
          <w:trHeight w:val="126"/>
        </w:trPr>
        <w:tc>
          <w:tcPr>
            <w:tcW w:w="822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Share-based compensation expense</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41,720</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43,003</w:t>
            </w: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Deferred income taxes</w:t>
            </w:r>
          </w:p>
        </w:tc>
        <w:tc>
          <w:tcPr>
            <w:tcW w:w="840" w:type="dxa"/>
            <w:vAlign w:val="bottom"/>
          </w:tcPr>
          <w:p>
            <w:pPr>
              <w:spacing w:after="0"/>
              <w:rPr>
                <w:sz w:val="10"/>
                <w:szCs w:val="10"/>
                <w:color w:val="auto"/>
              </w:rPr>
            </w:pP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(40,815)</w:t>
            </w:r>
          </w:p>
        </w:tc>
        <w:tc>
          <w:tcPr>
            <w:tcW w:w="4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10,806</w:t>
            </w:r>
          </w:p>
        </w:tc>
        <w:tc>
          <w:tcPr>
            <w:tcW w:w="120" w:type="dxa"/>
            <w:vAlign w:val="bottom"/>
          </w:tcPr>
          <w:p>
            <w:pPr>
              <w:spacing w:after="0"/>
              <w:rPr>
                <w:sz w:val="10"/>
                <w:szCs w:val="10"/>
                <w:color w:val="auto"/>
              </w:rPr>
            </w:pPr>
          </w:p>
        </w:tc>
      </w:tr>
      <w:tr>
        <w:trPr>
          <w:trHeight w:val="126"/>
        </w:trPr>
        <w:tc>
          <w:tcPr>
            <w:tcW w:w="822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Change in the fair value of contingent consideration</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18,197</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(4,518)</w:t>
            </w:r>
          </w:p>
        </w:tc>
      </w:tr>
      <w:tr>
        <w:trPr>
          <w:trHeight w:val="126"/>
        </w:trPr>
        <w:tc>
          <w:tcPr>
            <w:tcW w:w="822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Loss on debt extinguishment</w:t>
            </w:r>
          </w:p>
        </w:tc>
        <w:tc>
          <w:tcPr>
            <w:tcW w:w="840" w:type="dxa"/>
            <w:vAlign w:val="bottom"/>
          </w:tcPr>
          <w:p>
            <w:pPr>
              <w:spacing w:after="0"/>
              <w:rPr>
                <w:sz w:val="10"/>
                <w:szCs w:val="10"/>
                <w:color w:val="auto"/>
              </w:rPr>
            </w:pPr>
          </w:p>
        </w:tc>
        <w:tc>
          <w:tcPr>
            <w:tcW w:w="7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171</w:t>
            </w:r>
          </w:p>
        </w:tc>
        <w:tc>
          <w:tcPr>
            <w:tcW w:w="120" w:type="dxa"/>
            <w:vAlign w:val="bottom"/>
          </w:tcPr>
          <w:p>
            <w:pPr>
              <w:spacing w:after="0"/>
              <w:rPr>
                <w:sz w:val="10"/>
                <w:szCs w:val="10"/>
                <w:color w:val="auto"/>
              </w:rPr>
            </w:pPr>
          </w:p>
        </w:tc>
      </w:tr>
      <w:tr>
        <w:trPr>
          <w:trHeight w:val="126"/>
        </w:trPr>
        <w:tc>
          <w:tcPr>
            <w:tcW w:w="822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Other non-cash charges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637</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1,302</w:t>
            </w: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Changes in assets and liabilities:</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6"/>
        </w:trPr>
        <w:tc>
          <w:tcPr>
            <w:tcW w:w="822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Receivables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67,382</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(22,194)</w:t>
            </w:r>
          </w:p>
        </w:tc>
      </w:tr>
      <w:tr>
        <w:trPr>
          <w:trHeight w:val="126"/>
        </w:trPr>
        <w:tc>
          <w:tcPr>
            <w:tcW w:w="822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Contract assets</w:t>
            </w:r>
          </w:p>
        </w:tc>
        <w:tc>
          <w:tcPr>
            <w:tcW w:w="840" w:type="dxa"/>
            <w:vAlign w:val="bottom"/>
          </w:tcPr>
          <w:p>
            <w:pPr>
              <w:spacing w:after="0"/>
              <w:rPr>
                <w:sz w:val="10"/>
                <w:szCs w:val="10"/>
                <w:color w:val="auto"/>
              </w:rPr>
            </w:pP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(3,123)</w:t>
            </w:r>
          </w:p>
        </w:tc>
        <w:tc>
          <w:tcPr>
            <w:tcW w:w="4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5,607</w:t>
            </w:r>
          </w:p>
        </w:tc>
        <w:tc>
          <w:tcPr>
            <w:tcW w:w="120" w:type="dxa"/>
            <w:vAlign w:val="bottom"/>
          </w:tcPr>
          <w:p>
            <w:pPr>
              <w:spacing w:after="0"/>
              <w:rPr>
                <w:sz w:val="10"/>
                <w:szCs w:val="10"/>
                <w:color w:val="auto"/>
              </w:rPr>
            </w:pPr>
          </w:p>
        </w:tc>
      </w:tr>
      <w:tr>
        <w:trPr>
          <w:trHeight w:val="126"/>
        </w:trPr>
        <w:tc>
          <w:tcPr>
            <w:tcW w:w="822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Inventory</w:t>
            </w:r>
          </w:p>
        </w:tc>
        <w:tc>
          <w:tcPr>
            <w:tcW w:w="84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(4,569)</w:t>
            </w:r>
          </w:p>
        </w:tc>
        <w:tc>
          <w:tcPr>
            <w:tcW w:w="4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(11,232)</w:t>
            </w:r>
          </w:p>
        </w:tc>
      </w:tr>
      <w:tr>
        <w:trPr>
          <w:trHeight w:val="126"/>
        </w:trPr>
        <w:tc>
          <w:tcPr>
            <w:tcW w:w="822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Prepaid expenses and other assets</w:t>
            </w:r>
          </w:p>
        </w:tc>
        <w:tc>
          <w:tcPr>
            <w:tcW w:w="840" w:type="dxa"/>
            <w:vAlign w:val="bottom"/>
          </w:tcPr>
          <w:p>
            <w:pPr>
              <w:spacing w:after="0"/>
              <w:rPr>
                <w:sz w:val="10"/>
                <w:szCs w:val="10"/>
                <w:color w:val="auto"/>
              </w:rPr>
            </w:pP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(1,986)</w:t>
            </w:r>
          </w:p>
        </w:tc>
        <w:tc>
          <w:tcPr>
            <w:tcW w:w="4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2,029</w:t>
            </w:r>
          </w:p>
        </w:tc>
        <w:tc>
          <w:tcPr>
            <w:tcW w:w="120" w:type="dxa"/>
            <w:vAlign w:val="bottom"/>
          </w:tcPr>
          <w:p>
            <w:pPr>
              <w:spacing w:after="0"/>
              <w:rPr>
                <w:sz w:val="10"/>
                <w:szCs w:val="10"/>
                <w:color w:val="auto"/>
              </w:rPr>
            </w:pPr>
          </w:p>
        </w:tc>
      </w:tr>
      <w:tr>
        <w:trPr>
          <w:trHeight w:val="126"/>
        </w:trPr>
        <w:tc>
          <w:tcPr>
            <w:tcW w:w="822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Right-of-use assets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8,331</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8,595</w:t>
            </w: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Accounts payable and accrued expenses</w:t>
            </w:r>
          </w:p>
        </w:tc>
        <w:tc>
          <w:tcPr>
            <w:tcW w:w="840" w:type="dxa"/>
            <w:vAlign w:val="bottom"/>
          </w:tcPr>
          <w:p>
            <w:pPr>
              <w:spacing w:after="0"/>
              <w:rPr>
                <w:sz w:val="10"/>
                <w:szCs w:val="10"/>
                <w:color w:val="auto"/>
              </w:rPr>
            </w:pP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(29,045)</w:t>
            </w:r>
          </w:p>
        </w:tc>
        <w:tc>
          <w:tcPr>
            <w:tcW w:w="420" w:type="dxa"/>
            <w:vAlign w:val="bottom"/>
          </w:tcPr>
          <w:p>
            <w:pPr>
              <w:spacing w:after="0"/>
              <w:rPr>
                <w:sz w:val="10"/>
                <w:szCs w:val="10"/>
                <w:color w:val="auto"/>
              </w:rPr>
            </w:pPr>
          </w:p>
        </w:tc>
        <w:tc>
          <w:tcPr>
            <w:tcW w:w="10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(52,629)</w:t>
            </w:r>
          </w:p>
        </w:tc>
      </w:tr>
      <w:tr>
        <w:trPr>
          <w:trHeight w:val="126"/>
        </w:trPr>
        <w:tc>
          <w:tcPr>
            <w:tcW w:w="822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Contract liabilities</w:t>
            </w:r>
          </w:p>
        </w:tc>
        <w:tc>
          <w:tcPr>
            <w:tcW w:w="84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(4,071)</w:t>
            </w:r>
          </w:p>
        </w:tc>
        <w:tc>
          <w:tcPr>
            <w:tcW w:w="4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(3,108)</w:t>
            </w:r>
          </w:p>
        </w:tc>
      </w:tr>
      <w:tr>
        <w:trPr>
          <w:trHeight w:val="126"/>
        </w:trPr>
        <w:tc>
          <w:tcPr>
            <w:tcW w:w="822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Operating lease liabilities</w:t>
            </w:r>
          </w:p>
        </w:tc>
        <w:tc>
          <w:tcPr>
            <w:tcW w:w="840" w:type="dxa"/>
            <w:vAlign w:val="bottom"/>
          </w:tcPr>
          <w:p>
            <w:pPr>
              <w:spacing w:after="0"/>
              <w:rPr>
                <w:sz w:val="10"/>
                <w:szCs w:val="10"/>
                <w:color w:val="auto"/>
              </w:rPr>
            </w:pP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(8,911)</w:t>
            </w:r>
          </w:p>
        </w:tc>
        <w:tc>
          <w:tcPr>
            <w:tcW w:w="420" w:type="dxa"/>
            <w:vAlign w:val="bottom"/>
          </w:tcPr>
          <w:p>
            <w:pPr>
              <w:spacing w:after="0"/>
              <w:rPr>
                <w:sz w:val="10"/>
                <w:szCs w:val="10"/>
                <w:color w:val="auto"/>
              </w:rPr>
            </w:pPr>
          </w:p>
        </w:tc>
        <w:tc>
          <w:tcPr>
            <w:tcW w:w="10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(7,821)</w:t>
            </w:r>
          </w:p>
        </w:tc>
      </w:tr>
      <w:tr>
        <w:trPr>
          <w:trHeight w:val="126"/>
        </w:trPr>
        <w:tc>
          <w:tcPr>
            <w:tcW w:w="822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Other long-term liabilities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3,076</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(159)</w:t>
            </w:r>
          </w:p>
        </w:tc>
      </w:tr>
      <w:tr>
        <w:trPr>
          <w:trHeight w:val="115"/>
        </w:trPr>
        <w:tc>
          <w:tcPr>
            <w:tcW w:w="8220" w:type="dxa"/>
            <w:vAlign w:val="bottom"/>
            <w:tcBorders>
              <w:bottom w:val="single" w:sz="8" w:color="CFF0FC"/>
            </w:tcBorders>
          </w:tcPr>
          <w:p>
            <w:pPr>
              <w:ind w:left="320"/>
              <w:spacing w:after="0" w:line="115" w:lineRule="exact"/>
              <w:rPr>
                <w:sz w:val="20"/>
                <w:szCs w:val="20"/>
                <w:color w:val="auto"/>
              </w:rPr>
            </w:pPr>
            <w:r>
              <w:rPr>
                <w:rFonts w:ascii="Times New Roman" w:cs="Times New Roman" w:eastAsia="Times New Roman" w:hAnsi="Times New Roman"/>
                <w:sz w:val="12"/>
                <w:szCs w:val="12"/>
                <w:color w:val="auto"/>
              </w:rPr>
              <w:t>Cash flows provided by (used in) operating activities</w:t>
            </w:r>
          </w:p>
        </w:tc>
        <w:tc>
          <w:tcPr>
            <w:tcW w:w="8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19,372</w:t>
            </w:r>
          </w:p>
        </w:tc>
        <w:tc>
          <w:tcPr>
            <w:tcW w:w="260" w:type="dxa"/>
            <w:vAlign w:val="bottom"/>
            <w:tcBorders>
              <w:bottom w:val="single" w:sz="8" w:color="CFF0FC"/>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(12,083)</w:t>
            </w:r>
          </w:p>
        </w:tc>
        <w:tc>
          <w:tcPr>
            <w:tcW w:w="120" w:type="dxa"/>
            <w:vAlign w:val="bottom"/>
            <w:tcBorders>
              <w:bottom w:val="single" w:sz="8" w:color="CFF0FC"/>
            </w:tcBorders>
          </w:tcPr>
          <w:p>
            <w:pPr>
              <w:spacing w:after="0"/>
              <w:rPr>
                <w:sz w:val="10"/>
                <w:szCs w:val="10"/>
                <w:color w:val="auto"/>
              </w:rPr>
            </w:pPr>
          </w:p>
        </w:tc>
      </w:tr>
      <w:tr>
        <w:trPr>
          <w:trHeight w:val="115"/>
        </w:trPr>
        <w:tc>
          <w:tcPr>
            <w:tcW w:w="82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Additions of property, plant and equipment</w:t>
            </w:r>
          </w:p>
        </w:tc>
        <w:tc>
          <w:tcPr>
            <w:tcW w:w="840" w:type="dxa"/>
            <w:vAlign w:val="bottom"/>
          </w:tcPr>
          <w:p>
            <w:pPr>
              <w:spacing w:after="0"/>
              <w:rPr>
                <w:sz w:val="10"/>
                <w:szCs w:val="10"/>
                <w:color w:val="auto"/>
              </w:rPr>
            </w:pP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(17,753)</w:t>
            </w:r>
          </w:p>
        </w:tc>
        <w:tc>
          <w:tcPr>
            <w:tcW w:w="420" w:type="dxa"/>
            <w:vAlign w:val="bottom"/>
          </w:tcPr>
          <w:p>
            <w:pPr>
              <w:spacing w:after="0"/>
              <w:rPr>
                <w:sz w:val="10"/>
                <w:szCs w:val="10"/>
                <w:color w:val="auto"/>
              </w:rPr>
            </w:pPr>
          </w:p>
        </w:tc>
        <w:tc>
          <w:tcPr>
            <w:tcW w:w="10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(14,546)</w:t>
            </w:r>
          </w:p>
        </w:tc>
      </w:tr>
      <w:tr>
        <w:trPr>
          <w:trHeight w:val="126"/>
        </w:trPr>
        <w:tc>
          <w:tcPr>
            <w:tcW w:w="82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Proceeds from the sale of equipment</w:t>
            </w:r>
          </w:p>
        </w:tc>
        <w:tc>
          <w:tcPr>
            <w:tcW w:w="84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177</w:t>
            </w: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Proceeds from contingent consideration</w:t>
            </w:r>
          </w:p>
        </w:tc>
        <w:tc>
          <w:tcPr>
            <w:tcW w:w="84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1,043</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7,889</w:t>
            </w:r>
          </w:p>
        </w:tc>
        <w:tc>
          <w:tcPr>
            <w:tcW w:w="120" w:type="dxa"/>
            <w:vAlign w:val="bottom"/>
          </w:tcPr>
          <w:p>
            <w:pPr>
              <w:spacing w:after="0"/>
              <w:rPr>
                <w:sz w:val="10"/>
                <w:szCs w:val="10"/>
                <w:color w:val="auto"/>
              </w:rPr>
            </w:pPr>
          </w:p>
        </w:tc>
      </w:tr>
      <w:tr>
        <w:trPr>
          <w:trHeight w:val="126"/>
        </w:trPr>
        <w:tc>
          <w:tcPr>
            <w:tcW w:w="82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Return of Fountain Healthcare Partners II, L.P. investment</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485</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82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Payment made for licensed Intellectual Property ("IP")</w:t>
            </w:r>
          </w:p>
        </w:tc>
        <w:tc>
          <w:tcPr>
            <w:tcW w:w="840" w:type="dxa"/>
            <w:vAlign w:val="bottom"/>
          </w:tcPr>
          <w:p>
            <w:pPr>
              <w:spacing w:after="0"/>
              <w:rPr>
                <w:sz w:val="10"/>
                <w:szCs w:val="10"/>
                <w:color w:val="auto"/>
              </w:rPr>
            </w:pPr>
          </w:p>
        </w:tc>
        <w:tc>
          <w:tcPr>
            <w:tcW w:w="7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0"/>
                <w:szCs w:val="10"/>
                <w:color w:val="auto"/>
              </w:rPr>
            </w:pPr>
          </w:p>
        </w:tc>
        <w:tc>
          <w:tcPr>
            <w:tcW w:w="10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(1,000)</w:t>
            </w:r>
          </w:p>
        </w:tc>
      </w:tr>
      <w:tr>
        <w:trPr>
          <w:trHeight w:val="126"/>
        </w:trPr>
        <w:tc>
          <w:tcPr>
            <w:tcW w:w="82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Purchases of investments</w:t>
            </w:r>
          </w:p>
        </w:tc>
        <w:tc>
          <w:tcPr>
            <w:tcW w:w="84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(194,879)</w:t>
            </w:r>
          </w:p>
        </w:tc>
        <w:tc>
          <w:tcPr>
            <w:tcW w:w="4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(201,774)</w:t>
            </w:r>
          </w:p>
        </w:tc>
      </w:tr>
      <w:tr>
        <w:trPr>
          <w:trHeight w:val="126"/>
        </w:trPr>
        <w:tc>
          <w:tcPr>
            <w:tcW w:w="8220" w:type="dxa"/>
            <w:vAlign w:val="bottom"/>
            <w:tcBorders>
              <w:bottom w:val="single" w:sz="8" w:color="CFF0FC"/>
            </w:tcBorders>
          </w:tcPr>
          <w:p>
            <w:pPr>
              <w:ind w:left="160"/>
              <w:spacing w:after="0" w:line="126" w:lineRule="exact"/>
              <w:rPr>
                <w:sz w:val="20"/>
                <w:szCs w:val="20"/>
                <w:color w:val="auto"/>
              </w:rPr>
            </w:pPr>
            <w:r>
              <w:rPr>
                <w:rFonts w:ascii="Times New Roman" w:cs="Times New Roman" w:eastAsia="Times New Roman" w:hAnsi="Times New Roman"/>
                <w:sz w:val="12"/>
                <w:szCs w:val="12"/>
                <w:color w:val="auto"/>
              </w:rPr>
              <w:t>Sales and maturities of investments</w:t>
            </w: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109,925</w:t>
            </w:r>
          </w:p>
        </w:tc>
        <w:tc>
          <w:tcPr>
            <w:tcW w:w="260" w:type="dxa"/>
            <w:vAlign w:val="bottom"/>
            <w:tcBorders>
              <w:bottom w:val="single" w:sz="8" w:color="CFF0FC"/>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175,499</w:t>
            </w:r>
          </w:p>
        </w:tc>
        <w:tc>
          <w:tcPr>
            <w:tcW w:w="120" w:type="dxa"/>
            <w:vAlign w:val="bottom"/>
            <w:tcBorders>
              <w:bottom w:val="single" w:sz="8" w:color="CFF0FC"/>
            </w:tcBorders>
          </w:tcPr>
          <w:p>
            <w:pPr>
              <w:spacing w:after="0"/>
              <w:rPr>
                <w:sz w:val="10"/>
                <w:szCs w:val="10"/>
                <w:color w:val="auto"/>
              </w:rPr>
            </w:pPr>
          </w:p>
        </w:tc>
      </w:tr>
      <w:tr>
        <w:trPr>
          <w:trHeight w:val="115"/>
        </w:trPr>
        <w:tc>
          <w:tcPr>
            <w:tcW w:w="8220" w:type="dxa"/>
            <w:vAlign w:val="bottom"/>
            <w:shd w:val="clear" w:color="auto" w:fill="CFF0FC"/>
          </w:tcPr>
          <w:p>
            <w:pPr>
              <w:ind w:left="320"/>
              <w:spacing w:after="0" w:line="115" w:lineRule="exact"/>
              <w:rPr>
                <w:sz w:val="20"/>
                <w:szCs w:val="20"/>
                <w:color w:val="auto"/>
              </w:rPr>
            </w:pPr>
            <w:r>
              <w:rPr>
                <w:rFonts w:ascii="Times New Roman" w:cs="Times New Roman" w:eastAsia="Times New Roman" w:hAnsi="Times New Roman"/>
                <w:sz w:val="12"/>
                <w:szCs w:val="12"/>
                <w:color w:val="auto"/>
              </w:rPr>
              <w:t>Cash flows used in investing activities</w:t>
            </w:r>
          </w:p>
        </w:tc>
        <w:tc>
          <w:tcPr>
            <w:tcW w:w="8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(101,179)</w:t>
            </w:r>
          </w:p>
        </w:tc>
        <w:tc>
          <w:tcPr>
            <w:tcW w:w="260" w:type="dxa"/>
            <w:vAlign w:val="bottom"/>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spacing w:after="0"/>
              <w:rPr>
                <w:sz w:val="10"/>
                <w:szCs w:val="10"/>
                <w:color w:val="auto"/>
              </w:rPr>
            </w:pPr>
          </w:p>
        </w:tc>
        <w:tc>
          <w:tcPr>
            <w:tcW w:w="9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(33,755)</w:t>
            </w:r>
          </w:p>
        </w:tc>
        <w:tc>
          <w:tcPr>
            <w:tcW w:w="120" w:type="dxa"/>
            <w:vAlign w:val="bottom"/>
            <w:shd w:val="clear" w:color="auto" w:fill="CFF0FC"/>
          </w:tcPr>
          <w:p>
            <w:pPr>
              <w:spacing w:after="0"/>
              <w:rPr>
                <w:sz w:val="10"/>
                <w:szCs w:val="10"/>
                <w:color w:val="auto"/>
              </w:rPr>
            </w:pPr>
          </w:p>
        </w:tc>
      </w:tr>
      <w:tr>
        <w:trPr>
          <w:trHeight w:val="115"/>
        </w:trPr>
        <w:tc>
          <w:tcPr>
            <w:tcW w:w="822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6"/>
        </w:trPr>
        <w:tc>
          <w:tcPr>
            <w:tcW w:w="82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Proceeds from the issuance of ordinary shares under share-based compensation arrangements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17,992</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20,498</w:t>
            </w: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Employee taxes paid related to net share settlement of equity awards</w:t>
            </w:r>
          </w:p>
        </w:tc>
        <w:tc>
          <w:tcPr>
            <w:tcW w:w="840" w:type="dxa"/>
            <w:vAlign w:val="bottom"/>
          </w:tcPr>
          <w:p>
            <w:pPr>
              <w:spacing w:after="0"/>
              <w:rPr>
                <w:sz w:val="10"/>
                <w:szCs w:val="10"/>
                <w:color w:val="auto"/>
              </w:rPr>
            </w:pPr>
          </w:p>
        </w:tc>
        <w:tc>
          <w:tcPr>
            <w:tcW w:w="7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(17,583)</w:t>
            </w:r>
          </w:p>
        </w:tc>
        <w:tc>
          <w:tcPr>
            <w:tcW w:w="420" w:type="dxa"/>
            <w:vAlign w:val="bottom"/>
          </w:tcPr>
          <w:p>
            <w:pPr>
              <w:spacing w:after="0"/>
              <w:rPr>
                <w:sz w:val="10"/>
                <w:szCs w:val="10"/>
                <w:color w:val="auto"/>
              </w:rPr>
            </w:pPr>
          </w:p>
        </w:tc>
        <w:tc>
          <w:tcPr>
            <w:tcW w:w="10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(11,120)</w:t>
            </w:r>
          </w:p>
        </w:tc>
      </w:tr>
      <w:tr>
        <w:trPr>
          <w:trHeight w:val="126"/>
        </w:trPr>
        <w:tc>
          <w:tcPr>
            <w:tcW w:w="82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Proceeds from the issuance of long-term debt</w:t>
            </w:r>
          </w:p>
        </w:tc>
        <w:tc>
          <w:tcPr>
            <w:tcW w:w="84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23,567</w:t>
            </w: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Payment made for debt extinguishment</w:t>
            </w:r>
          </w:p>
        </w:tc>
        <w:tc>
          <w:tcPr>
            <w:tcW w:w="840" w:type="dxa"/>
            <w:vAlign w:val="bottom"/>
          </w:tcPr>
          <w:p>
            <w:pPr>
              <w:spacing w:after="0"/>
              <w:rPr>
                <w:sz w:val="10"/>
                <w:szCs w:val="10"/>
                <w:color w:val="auto"/>
              </w:rPr>
            </w:pPr>
          </w:p>
        </w:tc>
        <w:tc>
          <w:tcPr>
            <w:tcW w:w="7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0"/>
                <w:szCs w:val="10"/>
                <w:color w:val="auto"/>
              </w:rPr>
            </w:pPr>
          </w:p>
        </w:tc>
        <w:tc>
          <w:tcPr>
            <w:tcW w:w="10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(977)</w:t>
            </w:r>
          </w:p>
        </w:tc>
      </w:tr>
      <w:tr>
        <w:trPr>
          <w:trHeight w:val="126"/>
        </w:trPr>
        <w:tc>
          <w:tcPr>
            <w:tcW w:w="82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Principal payments of long-term debt</w:t>
            </w:r>
          </w:p>
        </w:tc>
        <w:tc>
          <w:tcPr>
            <w:tcW w:w="84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(1,500)</w:t>
            </w:r>
          </w:p>
        </w:tc>
        <w:tc>
          <w:tcPr>
            <w:tcW w:w="4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(750)</w:t>
            </w:r>
          </w:p>
        </w:tc>
      </w:tr>
      <w:tr>
        <w:trPr>
          <w:trHeight w:val="115"/>
        </w:trPr>
        <w:tc>
          <w:tcPr>
            <w:tcW w:w="8220" w:type="dxa"/>
            <w:vAlign w:val="bottom"/>
            <w:tcBorders>
              <w:bottom w:val="single" w:sz="8" w:color="CFF0FC"/>
            </w:tcBorders>
          </w:tcPr>
          <w:p>
            <w:pPr>
              <w:ind w:left="320"/>
              <w:spacing w:after="0" w:line="115" w:lineRule="exact"/>
              <w:rPr>
                <w:sz w:val="20"/>
                <w:szCs w:val="20"/>
                <w:color w:val="auto"/>
              </w:rPr>
            </w:pPr>
            <w:r>
              <w:rPr>
                <w:rFonts w:ascii="Times New Roman" w:cs="Times New Roman" w:eastAsia="Times New Roman" w:hAnsi="Times New Roman"/>
                <w:sz w:val="12"/>
                <w:szCs w:val="12"/>
                <w:color w:val="auto"/>
              </w:rPr>
              <w:t>Cash flows (used in) provided by financing activities</w:t>
            </w:r>
          </w:p>
        </w:tc>
        <w:tc>
          <w:tcPr>
            <w:tcW w:w="8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(1,091)</w:t>
            </w:r>
          </w:p>
        </w:tc>
        <w:tc>
          <w:tcPr>
            <w:tcW w:w="260" w:type="dxa"/>
            <w:vAlign w:val="bottom"/>
            <w:tcBorders>
              <w:bottom w:val="single" w:sz="8" w:color="CFF0FC"/>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31,218</w:t>
            </w:r>
          </w:p>
        </w:tc>
        <w:tc>
          <w:tcPr>
            <w:tcW w:w="120" w:type="dxa"/>
            <w:vAlign w:val="bottom"/>
            <w:tcBorders>
              <w:bottom w:val="single" w:sz="8" w:color="CFF0FC"/>
            </w:tcBorders>
          </w:tcPr>
          <w:p>
            <w:pPr>
              <w:spacing w:after="0"/>
              <w:rPr>
                <w:sz w:val="10"/>
                <w:szCs w:val="10"/>
                <w:color w:val="auto"/>
              </w:rPr>
            </w:pPr>
          </w:p>
        </w:tc>
      </w:tr>
      <w:tr>
        <w:trPr>
          <w:trHeight w:val="115"/>
        </w:trPr>
        <w:tc>
          <w:tcPr>
            <w:tcW w:w="82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NET DECREASE IN CASH AND CASH EQUIVALENTS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(82,898)</w:t>
            </w: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(14,620)</w:t>
            </w:r>
          </w:p>
        </w:tc>
        <w:tc>
          <w:tcPr>
            <w:tcW w:w="120" w:type="dxa"/>
            <w:vAlign w:val="bottom"/>
            <w:shd w:val="clear" w:color="auto" w:fill="CFF0FC"/>
          </w:tcPr>
          <w:p>
            <w:pPr>
              <w:spacing w:after="0"/>
              <w:rPr>
                <w:sz w:val="10"/>
                <w:szCs w:val="10"/>
                <w:color w:val="auto"/>
              </w:rPr>
            </w:pPr>
          </w:p>
        </w:tc>
      </w:tr>
      <w:tr>
        <w:trPr>
          <w:trHeight w:val="126"/>
        </w:trPr>
        <w:tc>
          <w:tcPr>
            <w:tcW w:w="8220" w:type="dxa"/>
            <w:vAlign w:val="bottom"/>
            <w:tcBorders>
              <w:bottom w:val="single" w:sz="8" w:color="CFF0FC"/>
            </w:tcBorders>
          </w:tcPr>
          <w:p>
            <w:pPr>
              <w:spacing w:after="0" w:line="126" w:lineRule="exact"/>
              <w:rPr>
                <w:sz w:val="20"/>
                <w:szCs w:val="20"/>
                <w:color w:val="auto"/>
              </w:rPr>
            </w:pPr>
            <w:r>
              <w:rPr>
                <w:rFonts w:ascii="Times New Roman" w:cs="Times New Roman" w:eastAsia="Times New Roman" w:hAnsi="Times New Roman"/>
                <w:sz w:val="12"/>
                <w:szCs w:val="12"/>
                <w:color w:val="auto"/>
              </w:rPr>
              <w:t>CASH AND CASH EQUIVALENTS—Beginning of period</w:t>
            </w: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337,544</w:t>
            </w:r>
          </w:p>
        </w:tc>
        <w:tc>
          <w:tcPr>
            <w:tcW w:w="260" w:type="dxa"/>
            <w:vAlign w:val="bottom"/>
            <w:tcBorders>
              <w:bottom w:val="single" w:sz="8" w:color="CFF0FC"/>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272,961</w:t>
            </w:r>
          </w:p>
        </w:tc>
        <w:tc>
          <w:tcPr>
            <w:tcW w:w="120" w:type="dxa"/>
            <w:vAlign w:val="bottom"/>
            <w:tcBorders>
              <w:bottom w:val="single" w:sz="8" w:color="CFF0FC"/>
            </w:tcBorders>
          </w:tcPr>
          <w:p>
            <w:pPr>
              <w:spacing w:after="0"/>
              <w:rPr>
                <w:sz w:val="10"/>
                <w:szCs w:val="10"/>
                <w:color w:val="auto"/>
              </w:rPr>
            </w:pPr>
          </w:p>
        </w:tc>
      </w:tr>
      <w:tr>
        <w:trPr>
          <w:trHeight w:val="135"/>
        </w:trPr>
        <w:tc>
          <w:tcPr>
            <w:tcW w:w="822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CASH AND CASH EQUIVALENTS—End of period</w:t>
            </w:r>
          </w:p>
        </w:tc>
        <w:tc>
          <w:tcPr>
            <w:tcW w:w="840" w:type="dxa"/>
            <w:vAlign w:val="bottom"/>
            <w:tcBorders>
              <w:bottom w:val="single" w:sz="8" w:color="auto"/>
            </w:tcBorders>
            <w:shd w:val="clear" w:color="auto" w:fill="CFF0FC"/>
          </w:tcPr>
          <w:p>
            <w:pPr>
              <w:jc w:val="right"/>
              <w:ind w:right="72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254,646</w:t>
            </w:r>
          </w:p>
        </w:tc>
        <w:tc>
          <w:tcPr>
            <w:tcW w:w="26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ind w:right="3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258,341</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13"/>
        </w:trPr>
        <w:tc>
          <w:tcPr>
            <w:tcW w:w="822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SUPPLEMENTAL CASH FLOW DISCLOSURE:</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6"/>
        </w:trPr>
        <w:tc>
          <w:tcPr>
            <w:tcW w:w="82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Non-cash investing and financing activities:</w:t>
            </w:r>
          </w:p>
        </w:tc>
        <w:tc>
          <w:tcPr>
            <w:tcW w:w="8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5"/>
        </w:trPr>
        <w:tc>
          <w:tcPr>
            <w:tcW w:w="82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Purchased capital expenditures included in accounts payable and accrued expenses</w:t>
            </w:r>
          </w:p>
        </w:tc>
        <w:tc>
          <w:tcPr>
            <w:tcW w:w="840" w:type="dxa"/>
            <w:vAlign w:val="bottom"/>
          </w:tcPr>
          <w:p>
            <w:pPr>
              <w:jc w:val="right"/>
              <w:ind w:right="72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4,863</w:t>
            </w:r>
          </w:p>
        </w:tc>
        <w:tc>
          <w:tcPr>
            <w:tcW w:w="260" w:type="dxa"/>
            <w:vAlign w:val="bottom"/>
          </w:tcPr>
          <w:p>
            <w:pPr>
              <w:spacing w:after="0"/>
              <w:rPr>
                <w:sz w:val="13"/>
                <w:szCs w:val="13"/>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1,023</w:t>
            </w:r>
          </w:p>
        </w:tc>
        <w:tc>
          <w:tcPr>
            <w:tcW w:w="120" w:type="dxa"/>
            <w:vAlign w:val="bottom"/>
          </w:tcPr>
          <w:p>
            <w:pPr>
              <w:spacing w:after="0"/>
              <w:rPr>
                <w:sz w:val="13"/>
                <w:szCs w:val="13"/>
                <w:color w:val="auto"/>
              </w:rPr>
            </w:pPr>
          </w:p>
        </w:tc>
      </w:tr>
    </w:tbl>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55" w:right="2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SHAREHOLDERS’ EQUITY</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6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540" w:type="dxa"/>
            <w:vAlign w:val="bottom"/>
          </w:tcPr>
          <w:p>
            <w:pPr>
              <w:spacing w:after="0"/>
              <w:rPr>
                <w:sz w:val="10"/>
                <w:szCs w:val="10"/>
                <w:color w:val="auto"/>
              </w:rPr>
            </w:pPr>
          </w:p>
        </w:tc>
        <w:tc>
          <w:tcPr>
            <w:tcW w:w="1960" w:type="dxa"/>
            <w:vAlign w:val="bottom"/>
            <w:gridSpan w:val="5"/>
          </w:tcPr>
          <w:p>
            <w:pPr>
              <w:ind w:left="540"/>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10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2"/>
              </w:rPr>
              <w:t>Paid-In</w:t>
            </w:r>
          </w:p>
        </w:tc>
        <w:tc>
          <w:tcPr>
            <w:tcW w:w="6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540" w:type="dxa"/>
            <w:vAlign w:val="bottom"/>
          </w:tcPr>
          <w:p>
            <w:pPr>
              <w:spacing w:after="0"/>
              <w:rPr>
                <w:sz w:val="8"/>
                <w:szCs w:val="8"/>
                <w:color w:val="auto"/>
              </w:rPr>
            </w:pPr>
          </w:p>
        </w:tc>
        <w:tc>
          <w:tcPr>
            <w:tcW w:w="980" w:type="dxa"/>
            <w:vAlign w:val="bottom"/>
            <w:tcBorders>
              <w:top w:val="single" w:sz="8" w:color="auto"/>
            </w:tcBorders>
            <w:gridSpan w:val="2"/>
          </w:tcPr>
          <w:p>
            <w:pPr>
              <w:ind w:left="26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ind w:right="186"/>
              <w:spacing w:after="0" w:line="97" w:lineRule="exact"/>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320"/>
              <w:spacing w:after="0" w:line="97"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60" w:type="dxa"/>
            <w:vAlign w:val="bottom"/>
          </w:tcPr>
          <w:p>
            <w:pPr>
              <w:spacing w:after="0"/>
              <w:rPr>
                <w:sz w:val="8"/>
                <w:szCs w:val="8"/>
                <w:color w:val="auto"/>
              </w:rPr>
            </w:pPr>
          </w:p>
        </w:tc>
        <w:tc>
          <w:tcPr>
            <w:tcW w:w="920" w:type="dxa"/>
            <w:vAlign w:val="bottom"/>
            <w:gridSpan w:val="2"/>
          </w:tcPr>
          <w:p>
            <w:pPr>
              <w:jc w:val="center"/>
              <w:ind w:right="260"/>
              <w:spacing w:after="0" w:line="97" w:lineRule="exact"/>
              <w:rPr>
                <w:sz w:val="20"/>
                <w:szCs w:val="20"/>
                <w:color w:val="auto"/>
              </w:rPr>
            </w:pPr>
            <w:r>
              <w:rPr>
                <w:rFonts w:ascii="Times New Roman" w:cs="Times New Roman" w:eastAsia="Times New Roman" w:hAnsi="Times New Roman"/>
                <w:sz w:val="10"/>
                <w:szCs w:val="10"/>
                <w:b w:val="1"/>
                <w:bCs w:val="1"/>
                <w:color w:val="auto"/>
                <w:w w:val="92"/>
              </w:rPr>
              <w:t>Loss</w:t>
            </w:r>
          </w:p>
        </w:tc>
        <w:tc>
          <w:tcPr>
            <w:tcW w:w="80" w:type="dxa"/>
            <w:vAlign w:val="bottom"/>
          </w:tcPr>
          <w:p>
            <w:pPr>
              <w:spacing w:after="0"/>
              <w:rPr>
                <w:sz w:val="8"/>
                <w:szCs w:val="8"/>
                <w:color w:val="auto"/>
              </w:rPr>
            </w:pPr>
          </w:p>
        </w:tc>
        <w:tc>
          <w:tcPr>
            <w:tcW w:w="880" w:type="dxa"/>
            <w:vAlign w:val="bottom"/>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980" w:type="dxa"/>
            <w:vAlign w:val="bottom"/>
            <w:tcBorders>
              <w:top w:val="single" w:sz="8" w:color="auto"/>
            </w:tcBorders>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186"/>
              <w:spacing w:after="0" w:line="97"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420"/>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7"/>
        </w:trPr>
        <w:tc>
          <w:tcPr>
            <w:tcW w:w="35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80" w:type="dxa"/>
            <w:vAlign w:val="bottom"/>
            <w:tcBorders>
              <w:top w:val="single" w:sz="8" w:color="auto"/>
            </w:tcBorders>
            <w:gridSpan w:val="5"/>
          </w:tcPr>
          <w:p>
            <w:pPr>
              <w:jc w:val="right"/>
              <w:ind w:right="36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share data)</w:t>
            </w:r>
          </w:p>
        </w:tc>
        <w:tc>
          <w:tcPr>
            <w:tcW w:w="7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5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1"/>
                <w:szCs w:val="11"/>
                <w:color w:val="auto"/>
              </w:rPr>
              <w:t>BALANCE — December 31, 2021</w:t>
            </w:r>
          </w:p>
        </w:tc>
        <w:tc>
          <w:tcPr>
            <w:tcW w:w="7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165,790,549</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1,658</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2,798,325</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(3,723)</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(1,541,018)</w:t>
            </w:r>
          </w:p>
        </w:tc>
        <w:tc>
          <w:tcPr>
            <w:tcW w:w="98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(3,853,222)</w:t>
            </w:r>
          </w:p>
        </w:tc>
        <w:tc>
          <w:tcPr>
            <w:tcW w:w="220" w:type="dxa"/>
            <w:vAlign w:val="bottom"/>
            <w:shd w:val="clear" w:color="auto" w:fill="CFF0FC"/>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(142,658)</w:t>
            </w:r>
          </w:p>
        </w:tc>
        <w:tc>
          <w:tcPr>
            <w:tcW w:w="180" w:type="dxa"/>
            <w:vAlign w:val="bottom"/>
            <w:shd w:val="clear" w:color="auto" w:fill="CFF0FC"/>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1,112,584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1,953,293</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1,776</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1,795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11"/>
                <w:szCs w:val="11"/>
                <w:color w:val="auto"/>
              </w:rPr>
              <w:t>Receipt of Alkermes' shares for the exercise of stock options or to satisfy</w:t>
            </w: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(678,209)</w:t>
            </w:r>
          </w:p>
        </w:tc>
        <w:tc>
          <w:tcPr>
            <w:tcW w:w="22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(17,069)</w:t>
            </w:r>
          </w:p>
        </w:tc>
        <w:tc>
          <w:tcPr>
            <w:tcW w:w="18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(17,069)</w:t>
            </w:r>
          </w:p>
        </w:tc>
        <w:tc>
          <w:tcPr>
            <w:tcW w:w="0" w:type="dxa"/>
            <w:vAlign w:val="bottom"/>
          </w:tcPr>
          <w:p>
            <w:pPr>
              <w:spacing w:after="0"/>
              <w:rPr>
                <w:sz w:val="1"/>
                <w:szCs w:val="1"/>
                <w:color w:val="auto"/>
              </w:rPr>
            </w:pPr>
          </w:p>
        </w:tc>
      </w:tr>
      <w:tr>
        <w:trPr>
          <w:trHeight w:val="126"/>
        </w:trPr>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minimum tax withholding obligations related to share-based awards</w:t>
            </w:r>
          </w:p>
        </w:tc>
        <w:tc>
          <w:tcPr>
            <w:tcW w:w="9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98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Share-based compensation</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18,494</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18,494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1"/>
                <w:szCs w:val="11"/>
                <w:color w:val="auto"/>
              </w:rPr>
              <w:t>Unrealized loss on marketable securities, net of tax (benefit) of $(1,382)</w:t>
            </w:r>
          </w:p>
        </w:tc>
        <w:tc>
          <w:tcPr>
            <w:tcW w:w="9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(4,511)</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(4,511)</w:t>
            </w: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Net loss</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(35,903)</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(35,903)</w:t>
            </w:r>
          </w:p>
        </w:tc>
        <w:tc>
          <w:tcPr>
            <w:tcW w:w="0" w:type="dxa"/>
            <w:vAlign w:val="bottom"/>
          </w:tcPr>
          <w:p>
            <w:pPr>
              <w:spacing w:after="0"/>
              <w:rPr>
                <w:sz w:val="1"/>
                <w:szCs w:val="1"/>
                <w:color w:val="auto"/>
              </w:rPr>
            </w:pPr>
          </w:p>
        </w:tc>
      </w:tr>
      <w:tr>
        <w:trPr>
          <w:trHeight w:val="126"/>
        </w:trPr>
        <w:tc>
          <w:tcPr>
            <w:tcW w:w="3540" w:type="dxa"/>
            <w:vAlign w:val="bottom"/>
            <w:tcBorders>
              <w:top w:val="single" w:sz="8" w:color="CFF0FC"/>
              <w:bottom w:val="single" w:sz="8" w:color="CFF0FC"/>
            </w:tcBorders>
            <w:shd w:val="clear" w:color="auto" w:fill="CFF0FC"/>
          </w:tcPr>
          <w:p>
            <w:pPr>
              <w:spacing w:after="0" w:line="106" w:lineRule="exact"/>
              <w:rPr>
                <w:sz w:val="20"/>
                <w:szCs w:val="20"/>
                <w:color w:val="auto"/>
              </w:rPr>
            </w:pPr>
            <w:r>
              <w:rPr>
                <w:rFonts w:ascii="Times New Roman" w:cs="Times New Roman" w:eastAsia="Times New Roman" w:hAnsi="Times New Roman"/>
                <w:sz w:val="11"/>
                <w:szCs w:val="11"/>
                <w:color w:val="auto"/>
              </w:rPr>
              <w:t>BALANCE — March 31, 2022</w:t>
            </w:r>
          </w:p>
        </w:tc>
        <w:tc>
          <w:tcPr>
            <w:tcW w:w="7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167,743,842</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auto"/>
            </w:tcBorders>
            <w:shd w:val="clear" w:color="auto" w:fill="CFF0FC"/>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1,677</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2,818,595</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6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(8,234)</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(1,576,921)</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7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(4,531,431)</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(159,727)</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80" w:type="dxa"/>
            <w:vAlign w:val="bottom"/>
            <w:tcBorders>
              <w:top w:val="single" w:sz="8" w:color="auto"/>
              <w:bottom w:val="single" w:sz="8" w:color="auto"/>
            </w:tcBorders>
            <w:shd w:val="clear" w:color="auto" w:fill="CFF0FC"/>
          </w:tcPr>
          <w:p>
            <w:pPr>
              <w:jc w:val="right"/>
              <w:ind w:right="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1,075,390</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540" w:type="dxa"/>
            <w:vAlign w:val="bottom"/>
          </w:tcPr>
          <w:p>
            <w:pPr>
              <w:ind w:left="160"/>
              <w:spacing w:after="0" w:line="104"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8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1,038,859</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16,186</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8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16,197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11"/>
                <w:szCs w:val="11"/>
                <w:color w:val="auto"/>
              </w:rPr>
              <w:t>Receipt of Alkermes' shares for the exercise of stock options or to satisfy</w:t>
            </w: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(18,566)</w:t>
            </w:r>
          </w:p>
        </w:tc>
        <w:tc>
          <w:tcPr>
            <w:tcW w:w="22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(514)</w:t>
            </w:r>
          </w:p>
        </w:tc>
        <w:tc>
          <w:tcPr>
            <w:tcW w:w="18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(514)</w:t>
            </w:r>
          </w:p>
        </w:tc>
        <w:tc>
          <w:tcPr>
            <w:tcW w:w="0" w:type="dxa"/>
            <w:vAlign w:val="bottom"/>
          </w:tcPr>
          <w:p>
            <w:pPr>
              <w:spacing w:after="0"/>
              <w:rPr>
                <w:sz w:val="1"/>
                <w:szCs w:val="1"/>
                <w:color w:val="auto"/>
              </w:rPr>
            </w:pPr>
          </w:p>
        </w:tc>
      </w:tr>
      <w:tr>
        <w:trPr>
          <w:trHeight w:val="126"/>
        </w:trPr>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minimum tax withholding obligations related to share-based awards</w:t>
            </w:r>
          </w:p>
        </w:tc>
        <w:tc>
          <w:tcPr>
            <w:tcW w:w="9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98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Share-based compensation</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23,641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23,641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1"/>
                <w:szCs w:val="11"/>
                <w:color w:val="auto"/>
              </w:rPr>
              <w:t>Unrealized loss on marketable securities, net of tax provision of $326</w:t>
            </w:r>
          </w:p>
        </w:tc>
        <w:tc>
          <w:tcPr>
            <w:tcW w:w="9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(2,254)</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(2,254)</w:t>
            </w: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Net loss</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(30,136)</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(30,136)</w:t>
            </w:r>
          </w:p>
        </w:tc>
        <w:tc>
          <w:tcPr>
            <w:tcW w:w="0" w:type="dxa"/>
            <w:vAlign w:val="bottom"/>
          </w:tcPr>
          <w:p>
            <w:pPr>
              <w:spacing w:after="0"/>
              <w:rPr>
                <w:sz w:val="1"/>
                <w:szCs w:val="1"/>
                <w:color w:val="auto"/>
              </w:rPr>
            </w:pPr>
          </w:p>
        </w:tc>
      </w:tr>
      <w:tr>
        <w:trPr>
          <w:trHeight w:val="113"/>
        </w:trPr>
        <w:tc>
          <w:tcPr>
            <w:tcW w:w="3540" w:type="dxa"/>
            <w:vAlign w:val="bottom"/>
            <w:tcBorders>
              <w:top w:val="single" w:sz="8" w:color="CFF0FC"/>
              <w:bottom w:val="single" w:sz="8" w:color="CFF0FC"/>
            </w:tcBorders>
            <w:shd w:val="clear" w:color="auto" w:fill="CFF0FC"/>
          </w:tcPr>
          <w:p>
            <w:pPr>
              <w:spacing w:after="0" w:line="106" w:lineRule="exact"/>
              <w:rPr>
                <w:sz w:val="20"/>
                <w:szCs w:val="20"/>
                <w:color w:val="auto"/>
              </w:rPr>
            </w:pPr>
            <w:r>
              <w:rPr>
                <w:rFonts w:ascii="Times New Roman" w:cs="Times New Roman" w:eastAsia="Times New Roman" w:hAnsi="Times New Roman"/>
                <w:sz w:val="11"/>
                <w:szCs w:val="11"/>
                <w:color w:val="auto"/>
              </w:rPr>
              <w:t>BALANCE — June 30, 2022</w:t>
            </w:r>
          </w:p>
        </w:tc>
        <w:tc>
          <w:tcPr>
            <w:tcW w:w="7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168,782,701</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auto"/>
            </w:tcBorders>
            <w:shd w:val="clear" w:color="auto" w:fill="CFF0FC"/>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1,688</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2,858,422</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(10,488)</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(1,607,057)</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7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(4,549,997)</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220" w:type="dxa"/>
            <w:vAlign w:val="bottom"/>
            <w:tcBorders>
              <w:top w:val="single" w:sz="8" w:color="auto"/>
              <w:bottom w:val="single" w:sz="8" w:color="auto"/>
            </w:tcBorders>
            <w:shd w:val="clear" w:color="auto" w:fill="CFF0FC"/>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(160,241)</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auto"/>
            </w:tcBorders>
            <w:shd w:val="clear" w:color="auto" w:fill="CFF0FC"/>
          </w:tcPr>
          <w:p>
            <w:pPr>
              <w:jc w:val="right"/>
              <w:ind w:right="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1,082,324</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6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540" w:type="dxa"/>
            <w:vAlign w:val="bottom"/>
          </w:tcPr>
          <w:p>
            <w:pPr>
              <w:spacing w:after="0"/>
              <w:rPr>
                <w:sz w:val="10"/>
                <w:szCs w:val="10"/>
                <w:color w:val="auto"/>
              </w:rPr>
            </w:pPr>
          </w:p>
        </w:tc>
        <w:tc>
          <w:tcPr>
            <w:tcW w:w="1960" w:type="dxa"/>
            <w:vAlign w:val="bottom"/>
            <w:gridSpan w:val="5"/>
          </w:tcPr>
          <w:p>
            <w:pPr>
              <w:ind w:left="540"/>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10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2"/>
              </w:rPr>
              <w:t>Paid-In</w:t>
            </w:r>
          </w:p>
        </w:tc>
        <w:tc>
          <w:tcPr>
            <w:tcW w:w="6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80" w:type="dxa"/>
            <w:vAlign w:val="bottom"/>
          </w:tcPr>
          <w:p>
            <w:pPr>
              <w:spacing w:after="0"/>
              <w:rPr>
                <w:sz w:val="10"/>
                <w:szCs w:val="1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540" w:type="dxa"/>
            <w:vAlign w:val="bottom"/>
          </w:tcPr>
          <w:p>
            <w:pPr>
              <w:spacing w:after="0"/>
              <w:rPr>
                <w:sz w:val="8"/>
                <w:szCs w:val="8"/>
                <w:color w:val="auto"/>
              </w:rPr>
            </w:pPr>
          </w:p>
        </w:tc>
        <w:tc>
          <w:tcPr>
            <w:tcW w:w="980" w:type="dxa"/>
            <w:vAlign w:val="bottom"/>
            <w:tcBorders>
              <w:top w:val="single" w:sz="8" w:color="auto"/>
            </w:tcBorders>
            <w:gridSpan w:val="2"/>
          </w:tcPr>
          <w:p>
            <w:pPr>
              <w:ind w:left="26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ind w:right="186"/>
              <w:spacing w:after="0" w:line="97" w:lineRule="exact"/>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320"/>
              <w:spacing w:after="0" w:line="97"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60" w:type="dxa"/>
            <w:vAlign w:val="bottom"/>
          </w:tcPr>
          <w:p>
            <w:pPr>
              <w:spacing w:after="0"/>
              <w:rPr>
                <w:sz w:val="8"/>
                <w:szCs w:val="8"/>
                <w:color w:val="auto"/>
              </w:rPr>
            </w:pPr>
          </w:p>
        </w:tc>
        <w:tc>
          <w:tcPr>
            <w:tcW w:w="920" w:type="dxa"/>
            <w:vAlign w:val="bottom"/>
            <w:gridSpan w:val="2"/>
          </w:tcPr>
          <w:p>
            <w:pPr>
              <w:jc w:val="center"/>
              <w:ind w:right="260"/>
              <w:spacing w:after="0" w:line="97" w:lineRule="exact"/>
              <w:rPr>
                <w:sz w:val="20"/>
                <w:szCs w:val="20"/>
                <w:color w:val="auto"/>
              </w:rPr>
            </w:pPr>
            <w:r>
              <w:rPr>
                <w:rFonts w:ascii="Times New Roman" w:cs="Times New Roman" w:eastAsia="Times New Roman" w:hAnsi="Times New Roman"/>
                <w:sz w:val="10"/>
                <w:szCs w:val="10"/>
                <w:b w:val="1"/>
                <w:bCs w:val="1"/>
                <w:color w:val="auto"/>
                <w:w w:val="92"/>
              </w:rPr>
              <w:t>Loss</w:t>
            </w:r>
          </w:p>
        </w:tc>
        <w:tc>
          <w:tcPr>
            <w:tcW w:w="80" w:type="dxa"/>
            <w:vAlign w:val="bottom"/>
          </w:tcPr>
          <w:p>
            <w:pPr>
              <w:spacing w:after="0"/>
              <w:rPr>
                <w:sz w:val="8"/>
                <w:szCs w:val="8"/>
                <w:color w:val="auto"/>
              </w:rPr>
            </w:pPr>
          </w:p>
        </w:tc>
        <w:tc>
          <w:tcPr>
            <w:tcW w:w="880" w:type="dxa"/>
            <w:vAlign w:val="bottom"/>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980" w:type="dxa"/>
            <w:vAlign w:val="bottom"/>
            <w:tcBorders>
              <w:top w:val="single" w:sz="8" w:color="auto"/>
            </w:tcBorders>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186"/>
              <w:spacing w:after="0" w:line="97"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420"/>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7"/>
        </w:trPr>
        <w:tc>
          <w:tcPr>
            <w:tcW w:w="35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80" w:type="dxa"/>
            <w:vAlign w:val="bottom"/>
            <w:tcBorders>
              <w:top w:val="single" w:sz="8" w:color="auto"/>
            </w:tcBorders>
            <w:gridSpan w:val="5"/>
          </w:tcPr>
          <w:p>
            <w:pPr>
              <w:jc w:val="right"/>
              <w:ind w:right="36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share data)</w:t>
            </w:r>
          </w:p>
        </w:tc>
        <w:tc>
          <w:tcPr>
            <w:tcW w:w="7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5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1"/>
                <w:szCs w:val="11"/>
                <w:color w:val="auto"/>
              </w:rPr>
              <w:t>BALANCE — December 31, 2020</w:t>
            </w:r>
          </w:p>
        </w:tc>
        <w:tc>
          <w:tcPr>
            <w:tcW w:w="7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162,269,220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1,620</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2,685,647</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(1,349)</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(1,492,849)</w:t>
            </w:r>
          </w:p>
        </w:tc>
        <w:tc>
          <w:tcPr>
            <w:tcW w:w="98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(3,108,079)</w:t>
            </w:r>
          </w:p>
        </w:tc>
        <w:tc>
          <w:tcPr>
            <w:tcW w:w="220" w:type="dxa"/>
            <w:vAlign w:val="bottom"/>
            <w:shd w:val="clear" w:color="auto" w:fill="CFF0FC"/>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(126,087)</w:t>
            </w:r>
          </w:p>
        </w:tc>
        <w:tc>
          <w:tcPr>
            <w:tcW w:w="180" w:type="dxa"/>
            <w:vAlign w:val="bottom"/>
            <w:shd w:val="clear" w:color="auto" w:fill="CFF0FC"/>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color w:val="auto"/>
              </w:rPr>
              <w:t>1,066,982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1,566,685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2,035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2,053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11"/>
                <w:szCs w:val="11"/>
                <w:color w:val="auto"/>
              </w:rPr>
              <w:t>Receipt of Alkermes' shares for the exercise of stock options or to satisfy</w:t>
            </w: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(529,817)</w:t>
            </w:r>
          </w:p>
        </w:tc>
        <w:tc>
          <w:tcPr>
            <w:tcW w:w="22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(10,413)</w:t>
            </w:r>
          </w:p>
        </w:tc>
        <w:tc>
          <w:tcPr>
            <w:tcW w:w="18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(10,413)</w:t>
            </w:r>
          </w:p>
        </w:tc>
        <w:tc>
          <w:tcPr>
            <w:tcW w:w="0" w:type="dxa"/>
            <w:vAlign w:val="bottom"/>
          </w:tcPr>
          <w:p>
            <w:pPr>
              <w:spacing w:after="0"/>
              <w:rPr>
                <w:sz w:val="1"/>
                <w:szCs w:val="1"/>
                <w:color w:val="auto"/>
              </w:rPr>
            </w:pPr>
          </w:p>
        </w:tc>
      </w:tr>
      <w:tr>
        <w:trPr>
          <w:trHeight w:val="126"/>
        </w:trPr>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minimum tax withholding obligations related to share-based awards</w:t>
            </w:r>
          </w:p>
        </w:tc>
        <w:tc>
          <w:tcPr>
            <w:tcW w:w="9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98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Share-based compensation</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15,552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15,552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1"/>
                <w:szCs w:val="11"/>
                <w:color w:val="auto"/>
              </w:rPr>
              <w:t>Unrealized loss on marketable securities, net of tax (benefit) of $(174)</w:t>
            </w:r>
          </w:p>
        </w:tc>
        <w:tc>
          <w:tcPr>
            <w:tcW w:w="9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(601)</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(601)</w:t>
            </w: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Net loss</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(22,418)</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(22,418)</w:t>
            </w:r>
          </w:p>
        </w:tc>
        <w:tc>
          <w:tcPr>
            <w:tcW w:w="0" w:type="dxa"/>
            <w:vAlign w:val="bottom"/>
          </w:tcPr>
          <w:p>
            <w:pPr>
              <w:spacing w:after="0"/>
              <w:rPr>
                <w:sz w:val="1"/>
                <w:szCs w:val="1"/>
                <w:color w:val="auto"/>
              </w:rPr>
            </w:pPr>
          </w:p>
        </w:tc>
      </w:tr>
      <w:tr>
        <w:trPr>
          <w:trHeight w:val="126"/>
        </w:trPr>
        <w:tc>
          <w:tcPr>
            <w:tcW w:w="3540" w:type="dxa"/>
            <w:vAlign w:val="bottom"/>
            <w:tcBorders>
              <w:top w:val="single" w:sz="8" w:color="CFF0FC"/>
              <w:bottom w:val="single" w:sz="8" w:color="CFF0FC"/>
            </w:tcBorders>
            <w:shd w:val="clear" w:color="auto" w:fill="CFF0FC"/>
          </w:tcPr>
          <w:p>
            <w:pPr>
              <w:spacing w:after="0" w:line="106" w:lineRule="exact"/>
              <w:rPr>
                <w:sz w:val="20"/>
                <w:szCs w:val="20"/>
                <w:color w:val="auto"/>
              </w:rPr>
            </w:pPr>
            <w:r>
              <w:rPr>
                <w:rFonts w:ascii="Times New Roman" w:cs="Times New Roman" w:eastAsia="Times New Roman" w:hAnsi="Times New Roman"/>
                <w:sz w:val="11"/>
                <w:szCs w:val="11"/>
                <w:color w:val="auto"/>
              </w:rPr>
              <w:t>BALANCE — March 31, 2021</w:t>
            </w:r>
          </w:p>
        </w:tc>
        <w:tc>
          <w:tcPr>
            <w:tcW w:w="7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163,835,905</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auto"/>
            </w:tcBorders>
            <w:shd w:val="clear" w:color="auto" w:fill="CFF0FC"/>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1,638</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2,703,234</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6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(1,950)</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(1,515,267)</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7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(3,637,896)</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(136,500)</w:t>
            </w: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80" w:type="dxa"/>
            <w:vAlign w:val="bottom"/>
            <w:tcBorders>
              <w:top w:val="single" w:sz="8" w:color="auto"/>
              <w:bottom w:val="single" w:sz="8" w:color="auto"/>
            </w:tcBorders>
            <w:shd w:val="clear" w:color="auto" w:fill="CFF0FC"/>
          </w:tcPr>
          <w:p>
            <w:pPr>
              <w:jc w:val="right"/>
              <w:ind w:right="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1,051,155</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540" w:type="dxa"/>
            <w:vAlign w:val="bottom"/>
          </w:tcPr>
          <w:p>
            <w:pPr>
              <w:ind w:left="160"/>
              <w:spacing w:after="0" w:line="104" w:lineRule="exact"/>
              <w:rPr>
                <w:sz w:val="20"/>
                <w:szCs w:val="20"/>
                <w:color w:val="auto"/>
              </w:rPr>
            </w:pPr>
            <w:r>
              <w:rPr>
                <w:rFonts w:ascii="Times New Roman" w:cs="Times New Roman" w:eastAsia="Times New Roman" w:hAnsi="Times New Roman"/>
                <w:sz w:val="11"/>
                <w:szCs w:val="11"/>
                <w:color w:val="auto"/>
              </w:rPr>
              <w:t>Issuance of ordinary shares under employee stock plans</w:t>
            </w:r>
          </w:p>
        </w:tc>
        <w:tc>
          <w:tcPr>
            <w:tcW w:w="78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1,129,869</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18,433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78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color w:val="auto"/>
              </w:rPr>
              <w:t>18,445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540" w:type="dxa"/>
            <w:vAlign w:val="bottom"/>
            <w:shd w:val="clear" w:color="auto" w:fill="CFF0FC"/>
          </w:tcPr>
          <w:p>
            <w:pPr>
              <w:ind w:left="160"/>
              <w:spacing w:after="0" w:line="99" w:lineRule="exact"/>
              <w:rPr>
                <w:sz w:val="20"/>
                <w:szCs w:val="20"/>
                <w:color w:val="auto"/>
              </w:rPr>
            </w:pPr>
            <w:r>
              <w:rPr>
                <w:rFonts w:ascii="Times New Roman" w:cs="Times New Roman" w:eastAsia="Times New Roman" w:hAnsi="Times New Roman"/>
                <w:sz w:val="11"/>
                <w:szCs w:val="11"/>
                <w:color w:val="auto"/>
              </w:rPr>
              <w:t>Receipt of Alkermes' shares for the exercise of stock options or to satisfy</w:t>
            </w:r>
          </w:p>
        </w:tc>
        <w:tc>
          <w:tcPr>
            <w:tcW w:w="9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8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(31,752)</w:t>
            </w:r>
          </w:p>
        </w:tc>
        <w:tc>
          <w:tcPr>
            <w:tcW w:w="220" w:type="dxa"/>
            <w:vAlign w:val="bottom"/>
            <w:shd w:val="clear" w:color="auto" w:fill="CFF0FC"/>
          </w:tcPr>
          <w:p>
            <w:pPr>
              <w:spacing w:after="0"/>
              <w:rPr>
                <w:sz w:val="8"/>
                <w:szCs w:val="8"/>
                <w:color w:val="auto"/>
              </w:rPr>
            </w:pPr>
          </w:p>
        </w:tc>
        <w:tc>
          <w:tcPr>
            <w:tcW w:w="7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(707)</w:t>
            </w:r>
          </w:p>
        </w:tc>
        <w:tc>
          <w:tcPr>
            <w:tcW w:w="180" w:type="dxa"/>
            <w:vAlign w:val="bottom"/>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(707)</w:t>
            </w:r>
          </w:p>
        </w:tc>
        <w:tc>
          <w:tcPr>
            <w:tcW w:w="0" w:type="dxa"/>
            <w:vAlign w:val="bottom"/>
          </w:tcPr>
          <w:p>
            <w:pPr>
              <w:spacing w:after="0"/>
              <w:rPr>
                <w:sz w:val="1"/>
                <w:szCs w:val="1"/>
                <w:color w:val="auto"/>
              </w:rPr>
            </w:pPr>
          </w:p>
        </w:tc>
      </w:tr>
      <w:tr>
        <w:trPr>
          <w:trHeight w:val="126"/>
        </w:trPr>
        <w:tc>
          <w:tcPr>
            <w:tcW w:w="3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minimum tax withholding obligations related to share-based awards</w:t>
            </w:r>
          </w:p>
        </w:tc>
        <w:tc>
          <w:tcPr>
            <w:tcW w:w="9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98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Share-based compensation</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26,917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26,917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shd w:val="clear" w:color="auto" w:fill="CFF0FC"/>
          </w:tcPr>
          <w:p>
            <w:pPr>
              <w:ind w:left="160"/>
              <w:spacing w:after="0" w:line="117" w:lineRule="exact"/>
              <w:rPr>
                <w:sz w:val="20"/>
                <w:szCs w:val="20"/>
                <w:color w:val="auto"/>
              </w:rPr>
            </w:pPr>
            <w:r>
              <w:rPr>
                <w:rFonts w:ascii="Times New Roman" w:cs="Times New Roman" w:eastAsia="Times New Roman" w:hAnsi="Times New Roman"/>
                <w:sz w:val="11"/>
                <w:szCs w:val="11"/>
                <w:color w:val="auto"/>
              </w:rPr>
              <w:t>Unrealized loss on marketable securities, net of tax (benefit) of $(79)</w:t>
            </w:r>
          </w:p>
        </w:tc>
        <w:tc>
          <w:tcPr>
            <w:tcW w:w="9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(272)</w:t>
            </w:r>
          </w:p>
        </w:tc>
        <w:tc>
          <w:tcPr>
            <w:tcW w:w="8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17" w:lineRule="exact"/>
              <w:rPr>
                <w:sz w:val="20"/>
                <w:szCs w:val="20"/>
                <w:color w:val="auto"/>
              </w:rPr>
            </w:pPr>
            <w:r>
              <w:rPr>
                <w:rFonts w:ascii="Times New Roman" w:cs="Times New Roman" w:eastAsia="Times New Roman" w:hAnsi="Times New Roman"/>
                <w:sz w:val="11"/>
                <w:szCs w:val="11"/>
                <w:color w:val="auto"/>
              </w:rPr>
              <w:t>(272)</w:t>
            </w:r>
          </w:p>
        </w:tc>
        <w:tc>
          <w:tcPr>
            <w:tcW w:w="0" w:type="dxa"/>
            <w:vAlign w:val="bottom"/>
          </w:tcPr>
          <w:p>
            <w:pPr>
              <w:spacing w:after="0"/>
              <w:rPr>
                <w:sz w:val="1"/>
                <w:szCs w:val="1"/>
                <w:color w:val="auto"/>
              </w:rPr>
            </w:pPr>
          </w:p>
        </w:tc>
      </w:tr>
      <w:tr>
        <w:trPr>
          <w:trHeight w:val="117"/>
        </w:trPr>
        <w:tc>
          <w:tcPr>
            <w:tcW w:w="3540" w:type="dxa"/>
            <w:vAlign w:val="bottom"/>
          </w:tcPr>
          <w:p>
            <w:pPr>
              <w:ind w:left="160"/>
              <w:spacing w:after="0" w:line="117" w:lineRule="exact"/>
              <w:rPr>
                <w:sz w:val="20"/>
                <w:szCs w:val="20"/>
                <w:color w:val="auto"/>
              </w:rPr>
            </w:pPr>
            <w:r>
              <w:rPr>
                <w:rFonts w:ascii="Times New Roman" w:cs="Times New Roman" w:eastAsia="Times New Roman" w:hAnsi="Times New Roman"/>
                <w:sz w:val="11"/>
                <w:szCs w:val="11"/>
                <w:color w:val="auto"/>
              </w:rPr>
              <w:t>Net income</w:t>
            </w: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6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2,364</w:t>
            </w:r>
          </w:p>
        </w:tc>
        <w:tc>
          <w:tcPr>
            <w:tcW w:w="200" w:type="dxa"/>
            <w:vAlign w:val="bottom"/>
          </w:tcPr>
          <w:p>
            <w:pPr>
              <w:spacing w:after="0"/>
              <w:rPr>
                <w:sz w:val="10"/>
                <w:szCs w:val="10"/>
                <w:color w:val="auto"/>
              </w:rPr>
            </w:pPr>
          </w:p>
        </w:tc>
        <w:tc>
          <w:tcPr>
            <w:tcW w:w="9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2,364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540" w:type="dxa"/>
            <w:vAlign w:val="bottom"/>
            <w:tcBorders>
              <w:top w:val="single" w:sz="8" w:color="CFF0FC"/>
              <w:bottom w:val="single" w:sz="8" w:color="CFF0FC"/>
            </w:tcBorders>
            <w:shd w:val="clear" w:color="auto" w:fill="CFF0FC"/>
          </w:tcPr>
          <w:p>
            <w:pPr>
              <w:spacing w:after="0" w:line="106" w:lineRule="exact"/>
              <w:rPr>
                <w:sz w:val="20"/>
                <w:szCs w:val="20"/>
                <w:color w:val="auto"/>
              </w:rPr>
            </w:pPr>
            <w:r>
              <w:rPr>
                <w:rFonts w:ascii="Times New Roman" w:cs="Times New Roman" w:eastAsia="Times New Roman" w:hAnsi="Times New Roman"/>
                <w:sz w:val="11"/>
                <w:szCs w:val="11"/>
                <w:color w:val="auto"/>
              </w:rPr>
              <w:t>BALANCE — June 30, 2021</w:t>
            </w:r>
          </w:p>
        </w:tc>
        <w:tc>
          <w:tcPr>
            <w:tcW w:w="7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164,965,774</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auto"/>
            </w:tcBorders>
            <w:shd w:val="clear" w:color="auto" w:fill="CFF0FC"/>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1,650</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2,748,584</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(2,222)</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(1,512,903)</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7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(3,669,648)</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220" w:type="dxa"/>
            <w:vAlign w:val="bottom"/>
            <w:tcBorders>
              <w:top w:val="single" w:sz="8" w:color="auto"/>
              <w:bottom w:val="single" w:sz="8" w:color="auto"/>
            </w:tcBorders>
            <w:shd w:val="clear" w:color="auto" w:fill="CFF0FC"/>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(137,207)</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auto"/>
            </w:tcBorders>
            <w:shd w:val="clear" w:color="auto" w:fill="CFF0FC"/>
          </w:tcPr>
          <w:p>
            <w:pPr>
              <w:jc w:val="right"/>
              <w:ind w:right="6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06" w:lineRule="exact"/>
              <w:rPr>
                <w:sz w:val="20"/>
                <w:szCs w:val="20"/>
                <w:color w:val="auto"/>
              </w:rPr>
            </w:pPr>
            <w:r>
              <w:rPr>
                <w:rFonts w:ascii="Times New Roman" w:cs="Times New Roman" w:eastAsia="Times New Roman" w:hAnsi="Times New Roman"/>
                <w:sz w:val="11"/>
                <w:szCs w:val="11"/>
                <w:color w:val="auto"/>
              </w:rPr>
              <w:t>1,097,902</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unaudited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THE COMPANY</w:t>
      </w:r>
    </w:p>
    <w:p>
      <w:pPr>
        <w:spacing w:after="0" w:line="118" w:lineRule="exact"/>
        <w:rPr>
          <w:sz w:val="20"/>
          <w:szCs w:val="20"/>
          <w:color w:val="auto"/>
        </w:rPr>
      </w:pPr>
    </w:p>
    <w:p>
      <w:pPr>
        <w:ind w:right="40" w:firstLine="306"/>
        <w:spacing w:after="0" w:line="260" w:lineRule="auto"/>
        <w:rPr>
          <w:sz w:val="20"/>
          <w:szCs w:val="20"/>
          <w:color w:val="auto"/>
        </w:rPr>
      </w:pPr>
      <w:r>
        <w:rPr>
          <w:rFonts w:ascii="Times New Roman" w:cs="Times New Roman" w:eastAsia="Times New Roman" w:hAnsi="Times New Roman"/>
          <w:sz w:val="12"/>
          <w:szCs w:val="12"/>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the fields of neuroscience and oncology. Alkermes has a portfolio of proprietary commercial products focused on alcohol dependence, opioid dependence, schizophrenia and bipolar I disorder and a pipeline of product candidates in development for neurodegenerative disorders and cancer. Headquartered in Dublin, Ireland, the Company has a research and development (“R&amp;D”) center in Waltham, Massachusetts; an R&amp;D and manufacturing facility in Athlone, Ireland; and a manufacturing facility in Wilmington, Ohio.</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Basis of Presentation</w:t>
      </w:r>
    </w:p>
    <w:p>
      <w:pPr>
        <w:spacing w:after="0" w:line="125" w:lineRule="exact"/>
        <w:rPr>
          <w:sz w:val="20"/>
          <w:szCs w:val="20"/>
          <w:color w:val="auto"/>
        </w:rPr>
      </w:pPr>
    </w:p>
    <w:p>
      <w:pPr>
        <w:ind w:right="100" w:firstLine="306"/>
        <w:spacing w:after="0" w:line="260"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of the Company for the three and six months ended June 30, 2022 and 2021 are unaudited and have been prepared on a basis substantially consistent with the audited financial statements for the year ended December 31, 2021.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95" w:lineRule="exact"/>
        <w:rPr>
          <w:sz w:val="20"/>
          <w:szCs w:val="20"/>
          <w:color w:val="auto"/>
        </w:rPr>
      </w:pPr>
    </w:p>
    <w:p>
      <w:pPr>
        <w:ind w:right="40" w:firstLine="306"/>
        <w:spacing w:after="0" w:line="279" w:lineRule="auto"/>
        <w:rPr>
          <w:sz w:val="20"/>
          <w:szCs w:val="20"/>
          <w:color w:val="auto"/>
        </w:rPr>
      </w:pPr>
      <w:r>
        <w:rPr>
          <w:rFonts w:ascii="Times New Roman" w:cs="Times New Roman" w:eastAsia="Times New Roman" w:hAnsi="Times New Roman"/>
          <w:sz w:val="12"/>
          <w:szCs w:val="12"/>
          <w:color w:val="auto"/>
        </w:rPr>
        <w:t>These financial statements should be read in conjunction with the audited consolidated financial statements and notes thereto of the Company, which are contained in the Company’s Annual Report. The results of the Company’s operations for any interim period are not necessarily indicative of the results of the Company’s operations for any other interim period or for any full fiscal 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Principles of Consolidation</w:t>
      </w:r>
    </w:p>
    <w:p>
      <w:pPr>
        <w:spacing w:after="0" w:line="123" w:lineRule="exact"/>
        <w:rPr>
          <w:sz w:val="20"/>
          <w:szCs w:val="20"/>
          <w:color w:val="auto"/>
        </w:rPr>
      </w:pPr>
    </w:p>
    <w:p>
      <w:pPr>
        <w:ind w:right="320" w:firstLine="306"/>
        <w:spacing w:after="0" w:line="283" w:lineRule="auto"/>
        <w:rPr>
          <w:sz w:val="20"/>
          <w:szCs w:val="20"/>
          <w:color w:val="auto"/>
        </w:rPr>
      </w:pPr>
      <w:r>
        <w:rPr>
          <w:rFonts w:ascii="Times New Roman" w:cs="Times New Roman" w:eastAsia="Times New Roman" w:hAnsi="Times New Roman"/>
          <w:sz w:val="12"/>
          <w:szCs w:val="12"/>
          <w:color w:val="auto"/>
        </w:rPr>
        <w:t xml:space="preserve">The accompanying condensed consolidated financial statements include the accounts of Alkermes plc and its wholly-owned subsidiaries as disclosed in Note 2, </w:t>
      </w:r>
      <w:r>
        <w:rPr>
          <w:rFonts w:ascii="Times New Roman" w:cs="Times New Roman" w:eastAsia="Times New Roman" w:hAnsi="Times New Roman"/>
          <w:sz w:val="12"/>
          <w:szCs w:val="12"/>
          <w:i w:val="1"/>
          <w:iCs w:val="1"/>
          <w:color w:val="auto"/>
        </w:rPr>
        <w:t>Summary of Significant Accounting Policies,</w:t>
      </w:r>
      <w:r>
        <w:rPr>
          <w:rFonts w:ascii="Times New Roman" w:cs="Times New Roman" w:eastAsia="Times New Roman" w:hAnsi="Times New Roman"/>
          <w:sz w:val="12"/>
          <w:szCs w:val="12"/>
          <w:color w:val="auto"/>
        </w:rPr>
        <w:t xml:space="preserve"> in the “Notes to Consolidated Financial Statements” accompanying the Company’s Annual Report. Intercompany accounts and transactions have been eliminated.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Reclassification</w:t>
      </w:r>
    </w:p>
    <w:p>
      <w:pPr>
        <w:spacing w:after="0" w:line="134" w:lineRule="exact"/>
        <w:rPr>
          <w:sz w:val="20"/>
          <w:szCs w:val="20"/>
          <w:color w:val="auto"/>
        </w:rPr>
      </w:pPr>
    </w:p>
    <w:p>
      <w:pPr>
        <w:ind w:right="400" w:firstLine="306"/>
        <w:spacing w:after="0" w:line="279" w:lineRule="auto"/>
        <w:rPr>
          <w:sz w:val="20"/>
          <w:szCs w:val="20"/>
          <w:color w:val="auto"/>
        </w:rPr>
      </w:pPr>
      <w:r>
        <w:rPr>
          <w:rFonts w:ascii="Times New Roman" w:cs="Times New Roman" w:eastAsia="Times New Roman" w:hAnsi="Times New Roman"/>
          <w:sz w:val="12"/>
          <w:szCs w:val="12"/>
          <w:color w:val="auto"/>
        </w:rPr>
        <w:t>The Company reclassified certain prior year amounts on the condensed consolidated balance sheet to conform to the current year presentation. These reclassifications had no impact on the previously reported total assets, liabilities or shareholders’ equity.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25" w:lineRule="exact"/>
        <w:rPr>
          <w:sz w:val="20"/>
          <w:szCs w:val="20"/>
          <w:color w:val="auto"/>
        </w:rPr>
      </w:pPr>
    </w:p>
    <w:p>
      <w:pPr>
        <w:ind w:firstLine="306"/>
        <w:spacing w:after="0" w:line="257" w:lineRule="auto"/>
        <w:rPr>
          <w:sz w:val="20"/>
          <w:szCs w:val="20"/>
          <w:color w:val="auto"/>
        </w:rPr>
      </w:pPr>
      <w:r>
        <w:rPr>
          <w:rFonts w:ascii="Times New Roman" w:cs="Times New Roman" w:eastAsia="Times New Roman" w:hAnsi="Times New Roman"/>
          <w:sz w:val="12"/>
          <w:szCs w:val="12"/>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233"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Segment Information</w:t>
      </w:r>
    </w:p>
    <w:p>
      <w:pPr>
        <w:spacing w:after="0" w:line="134" w:lineRule="exact"/>
        <w:rPr>
          <w:sz w:val="20"/>
          <w:szCs w:val="20"/>
          <w:color w:val="auto"/>
        </w:rPr>
      </w:pPr>
    </w:p>
    <w:p>
      <w:pPr>
        <w:ind w:right="260" w:firstLine="306"/>
        <w:spacing w:after="0" w:line="327" w:lineRule="auto"/>
        <w:rPr>
          <w:sz w:val="20"/>
          <w:szCs w:val="20"/>
          <w:color w:val="auto"/>
        </w:rPr>
      </w:pPr>
      <w:r>
        <w:rPr>
          <w:rFonts w:ascii="Times New Roman" w:cs="Times New Roman" w:eastAsia="Times New Roman" w:hAnsi="Times New Roman"/>
          <w:sz w:val="11"/>
          <w:szCs w:val="11"/>
          <w:color w:val="auto"/>
        </w:rPr>
        <w:t>The Company operates as one business segment, which is the business of developing, manufacturing and commercializing medicines designed to address unmet medical needs of patients in major therapeutic areas. The Company’s chief decision maker, its Chief Executive Officer and chairman of its board of directors, reviews the Company’s operating results on an aggregate basis and manages the Company’s operations as a single operating unit.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and Uncertainties</w:t>
      </w:r>
    </w:p>
    <w:p>
      <w:pPr>
        <w:spacing w:after="0" w:line="125" w:lineRule="exact"/>
        <w:rPr>
          <w:sz w:val="20"/>
          <w:szCs w:val="20"/>
          <w:color w:val="auto"/>
        </w:rPr>
      </w:pPr>
    </w:p>
    <w:p>
      <w:pPr>
        <w:ind w:right="40" w:firstLine="306"/>
        <w:spacing w:after="0" w:line="257" w:lineRule="auto"/>
        <w:rPr>
          <w:sz w:val="20"/>
          <w:szCs w:val="20"/>
          <w:color w:val="auto"/>
        </w:rPr>
      </w:pPr>
      <w:r>
        <w:rPr>
          <w:rFonts w:ascii="Times New Roman" w:cs="Times New Roman" w:eastAsia="Times New Roman" w:hAnsi="Times New Roman"/>
          <w:sz w:val="12"/>
          <w:szCs w:val="12"/>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and implemented quarantines, vaccine and masking mandates, restrictive executive orders and other similar government orders, restrictions, and recommendations for their residents to help control the spread of COVID-19, and may continue to do so while the pandemic persists. Such orders, mandates, restrictions and/or recommendations, and/or the perception that additional orders, mandates, restrictions or recommendations could occur, have, at times during the pandemic, resulted in widespread interruptions and closures of businesses, including healthcare systems that serve people living with addiction and serious mental illness, work stoppages, slowdowns and/or delays, remote work policies and travel restrictions, among other effects.</w:t>
      </w:r>
    </w:p>
    <w:p>
      <w:pPr>
        <w:spacing w:after="0" w:line="107" w:lineRule="exact"/>
        <w:rPr>
          <w:sz w:val="20"/>
          <w:szCs w:val="20"/>
          <w:color w:val="auto"/>
        </w:rPr>
      </w:pPr>
    </w:p>
    <w:p>
      <w:pPr>
        <w:ind w:firstLine="306"/>
        <w:spacing w:after="0" w:line="257" w:lineRule="auto"/>
        <w:rPr>
          <w:sz w:val="20"/>
          <w:szCs w:val="20"/>
          <w:color w:val="auto"/>
        </w:rPr>
      </w:pPr>
      <w:r>
        <w:rPr>
          <w:rFonts w:ascii="Times New Roman" w:cs="Times New Roman" w:eastAsia="Times New Roman" w:hAnsi="Times New Roman"/>
          <w:sz w:val="12"/>
          <w:szCs w:val="12"/>
          <w:color w:val="auto"/>
        </w:rPr>
        <w:t>The COVID-19 pandemic has caused, and the Company expects may continue to cause, varying degrees of disruption to its employees and its business operations. While the Company has continued to operate its manufacturing facilities and supply its medicines throughout the pandemic, it has at times during the pandemic experienced labor or supply chain disruptions at its manufacturing facilities, and may continue to experience such disruptions while the pandemic persists. In addition, while the Company has continued to conduct R&amp;D activities, including its ongoing clinical trials, the COVID-19 pandemic has at times impacted the timelines of certain of its early-stage discovery efforts and clinical trials, and may continue to impact such timelines while the pandemic persists. The Company works with its internal teams, its clinical investigators, R&amp;D vendors and critical supply chain vendors to continually assess, and mitigate, the potential impact of COVID-19 on its manufacturing operations and R&amp;D activities.</w:t>
      </w:r>
    </w:p>
    <w:p>
      <w:pPr>
        <w:spacing w:after="0" w:line="98" w:lineRule="exact"/>
        <w:rPr>
          <w:sz w:val="20"/>
          <w:szCs w:val="20"/>
          <w:color w:val="auto"/>
        </w:rPr>
      </w:pPr>
    </w:p>
    <w:p>
      <w:pPr>
        <w:ind w:right="180" w:firstLine="306"/>
        <w:spacing w:after="0" w:line="265" w:lineRule="auto"/>
        <w:rPr>
          <w:sz w:val="20"/>
          <w:szCs w:val="20"/>
          <w:color w:val="auto"/>
        </w:rPr>
      </w:pPr>
      <w:r>
        <w:rPr>
          <w:rFonts w:ascii="Times New Roman" w:cs="Times New Roman" w:eastAsia="Times New Roman" w:hAnsi="Times New Roman"/>
          <w:sz w:val="12"/>
          <w:szCs w:val="12"/>
          <w:color w:val="auto"/>
        </w:rPr>
        <w:t>A number of the marketed products from which the Company derives revenue, including manufacturing and royalty revenue, are injectable medications administered by healthcare professionals. Given developments that have transpired to date, and may continue to transpire, in response to the pandemic, including business closures, travel restrictions, quarantine, testing and/or vaccine mandates and other protocols, labor shortages, and other restrictive measures, commercial sales of these marketed products have been adversely impacted to varying degrees during the pandemic and may continue to be adversely impacted while the pandemic persists.</w:t>
      </w:r>
    </w:p>
    <w:p>
      <w:pPr>
        <w:spacing w:after="0" w:line="92" w:lineRule="exact"/>
        <w:rPr>
          <w:sz w:val="20"/>
          <w:szCs w:val="20"/>
          <w:color w:val="auto"/>
        </w:rPr>
      </w:pPr>
    </w:p>
    <w:p>
      <w:pPr>
        <w:ind w:right="140" w:firstLine="306"/>
        <w:spacing w:after="0" w:line="260" w:lineRule="auto"/>
        <w:rPr>
          <w:sz w:val="20"/>
          <w:szCs w:val="20"/>
          <w:color w:val="auto"/>
        </w:rPr>
      </w:pPr>
      <w:r>
        <w:rPr>
          <w:rFonts w:ascii="Times New Roman" w:cs="Times New Roman" w:eastAsia="Times New Roman" w:hAnsi="Times New Roman"/>
          <w:sz w:val="12"/>
          <w:szCs w:val="12"/>
          <w:color w:val="auto"/>
        </w:rPr>
        <w:t>In addition, the Company relies upon third parties for many aspects of its business, including the provision of goods and services related to the manufacture of its clinical products and its and its partners’ marketed products, the conduct of its clinical trials, and the sale of its proprietary marketed products and the marketed products of its licensees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04" w:lineRule="exact"/>
        <w:rPr>
          <w:sz w:val="20"/>
          <w:szCs w:val="20"/>
          <w:color w:val="auto"/>
        </w:rPr>
      </w:pPr>
    </w:p>
    <w:p>
      <w:pPr>
        <w:ind w:right="20" w:firstLine="306"/>
        <w:spacing w:after="0" w:line="265" w:lineRule="auto"/>
        <w:rPr>
          <w:sz w:val="20"/>
          <w:szCs w:val="20"/>
          <w:color w:val="auto"/>
        </w:rPr>
      </w:pPr>
      <w:r>
        <w:rPr>
          <w:rFonts w:ascii="Times New Roman" w:cs="Times New Roman" w:eastAsia="Times New Roman" w:hAnsi="Times New Roman"/>
          <w:sz w:val="12"/>
          <w:szCs w:val="12"/>
          <w:color w:val="auto"/>
        </w:rPr>
        <w:t>Due to numerous uncertainties surrounding the ongoing COVID-19 pandemic, the actual impact of the pandemic on the Company’s financial condition and operating results may differ from its current projections. These uncertainties include, among other things, the ultimate severity and duration of the pandemic and the manner in which it continues to evolve, including the emergence, prevalence and severity of new or existing COVID-19 variants, and future developments in response thereto, which are highly uncertain and cannot be predicted as of the date of this Form 10-Q.</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3" w:right="31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New Accounting Pronouncements</w:t>
      </w:r>
    </w:p>
    <w:p>
      <w:pPr>
        <w:spacing w:after="0" w:line="80"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color w:val="auto"/>
        </w:rPr>
        <w:t>From time to time, new accounting pronouncements are issued by the Financial Accounting Standards Board (the “FASB”) or other standard-setting bodies that are adopted by the Company as of the specified effective date.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Unless otherwise discussed, the Company believes that the impact of recently issued accounting pronouncements that are not yet effective will not have a material impact on its financial position or results of operations upon adoption.</w:t>
      </w:r>
    </w:p>
    <w:p>
      <w:pPr>
        <w:spacing w:after="0" w:line="117" w:lineRule="exact"/>
        <w:rPr>
          <w:sz w:val="20"/>
          <w:szCs w:val="20"/>
          <w:color w:val="auto"/>
        </w:rPr>
      </w:pPr>
    </w:p>
    <w:p>
      <w:pPr>
        <w:ind w:left="308" w:right="8260" w:hanging="308"/>
        <w:spacing w:after="0" w:line="412" w:lineRule="auto"/>
        <w:tabs>
          <w:tab w:leader="none" w:pos="122"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REVENUE FROM CONTRACTS WITH CUSTOMERS </w:t>
      </w:r>
      <w:r>
        <w:rPr>
          <w:rFonts w:ascii="Times New Roman" w:cs="Times New Roman" w:eastAsia="Times New Roman" w:hAnsi="Times New Roman"/>
          <w:sz w:val="12"/>
          <w:szCs w:val="12"/>
          <w:u w:val="single" w:color="auto"/>
          <w:color w:val="auto"/>
        </w:rPr>
        <w:t>Product Sales, Net</w:t>
      </w:r>
    </w:p>
    <w:p>
      <w:pPr>
        <w:spacing w:after="0" w:line="7" w:lineRule="exact"/>
        <w:rPr>
          <w:sz w:val="20"/>
          <w:szCs w:val="20"/>
          <w:color w:val="auto"/>
        </w:rPr>
      </w:pPr>
    </w:p>
    <w:p>
      <w:pPr>
        <w:ind w:left="8" w:right="560" w:firstLine="306"/>
        <w:spacing w:after="0" w:line="279" w:lineRule="auto"/>
        <w:rPr>
          <w:sz w:val="20"/>
          <w:szCs w:val="20"/>
          <w:color w:val="auto"/>
        </w:rPr>
      </w:pPr>
      <w:r>
        <w:rPr>
          <w:rFonts w:ascii="Times New Roman" w:cs="Times New Roman" w:eastAsia="Times New Roman" w:hAnsi="Times New Roman"/>
          <w:sz w:val="12"/>
          <w:szCs w:val="12"/>
          <w:color w:val="auto"/>
        </w:rPr>
        <w:t>The Company’s product sales, net consist of sales in the U.S. of VIVITROL, ARISTADA and ARISTADA INITIO and, following its commercial launch in October 2021, LYBALVI, primarily to wholesalers, specialty distributors and pharmacies. During the three and six months ended June 30, 2022 and 2021, the Company recorded product sales, net, as follows:</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60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02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4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6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40" w:type="dxa"/>
            <w:vAlign w:val="bottom"/>
            <w:tcBorders>
              <w:bottom w:val="single" w:sz="8" w:color="CFF0FC"/>
            </w:tcBorders>
            <w:vMerge w:val="continue"/>
          </w:tcPr>
          <w:p>
            <w:pPr>
              <w:spacing w:after="0"/>
              <w:rPr>
                <w:sz w:val="8"/>
                <w:szCs w:val="8"/>
                <w:color w:val="auto"/>
              </w:rPr>
            </w:pPr>
          </w:p>
        </w:tc>
        <w:tc>
          <w:tcPr>
            <w:tcW w:w="6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04"/>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402"/>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2021</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40" w:type="dxa"/>
            <w:vAlign w:val="bottom"/>
            <w:shd w:val="clear" w:color="auto" w:fill="CFF0FC"/>
          </w:tcPr>
          <w:p>
            <w:pPr>
              <w:ind w:left="160"/>
              <w:spacing w:after="0" w:line="115" w:lineRule="exact"/>
              <w:rPr>
                <w:sz w:val="20"/>
                <w:szCs w:val="20"/>
                <w:color w:val="auto"/>
              </w:rPr>
            </w:pPr>
            <w:r>
              <w:rPr>
                <w:rFonts w:ascii="Times New Roman" w:cs="Times New Roman" w:eastAsia="Times New Roman" w:hAnsi="Times New Roman"/>
                <w:sz w:val="12"/>
                <w:szCs w:val="12"/>
                <w:color w:val="auto"/>
              </w:rPr>
              <w:t>VIVITROL</w:t>
            </w:r>
          </w:p>
        </w:tc>
        <w:tc>
          <w:tcPr>
            <w:tcW w:w="680" w:type="dxa"/>
            <w:vAlign w:val="bottom"/>
            <w:shd w:val="clear" w:color="auto" w:fill="CFF0FC"/>
          </w:tcPr>
          <w:p>
            <w:pPr>
              <w:jc w:val="right"/>
              <w:ind w:right="56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96,105</w:t>
            </w: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544"/>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88,417</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180,959</w:t>
            </w:r>
          </w:p>
        </w:tc>
        <w:tc>
          <w:tcPr>
            <w:tcW w:w="240" w:type="dxa"/>
            <w:vAlign w:val="bottom"/>
            <w:shd w:val="clear" w:color="auto" w:fill="CFF0FC"/>
          </w:tcPr>
          <w:p>
            <w:pPr>
              <w:spacing w:after="0"/>
              <w:rPr>
                <w:sz w:val="10"/>
                <w:szCs w:val="10"/>
                <w:color w:val="auto"/>
              </w:rPr>
            </w:pPr>
          </w:p>
        </w:tc>
        <w:tc>
          <w:tcPr>
            <w:tcW w:w="440" w:type="dxa"/>
            <w:vAlign w:val="bottom"/>
            <w:shd w:val="clear" w:color="auto" w:fill="CFF0FC"/>
          </w:tcPr>
          <w:p>
            <w:pPr>
              <w:jc w:val="right"/>
              <w:ind w:right="3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162,951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4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ARISTADA and ARISTADA INITIO</w:t>
            </w:r>
          </w:p>
        </w:tc>
        <w:tc>
          <w:tcPr>
            <w:tcW w:w="680" w:type="dxa"/>
            <w:vAlign w:val="bottom"/>
          </w:tcPr>
          <w:p>
            <w:pPr>
              <w:spacing w:after="0"/>
              <w:rPr>
                <w:sz w:val="10"/>
                <w:szCs w:val="10"/>
                <w:color w:val="auto"/>
              </w:rPr>
            </w:pPr>
          </w:p>
        </w:tc>
        <w:tc>
          <w:tcPr>
            <w:tcW w:w="4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74,622</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72,391</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147,107</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127,820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4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LYBALVI</w:t>
            </w:r>
          </w:p>
        </w:tc>
        <w:tc>
          <w:tcPr>
            <w:tcW w:w="68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20,060</w:t>
            </w:r>
          </w:p>
        </w:tc>
        <w:tc>
          <w:tcPr>
            <w:tcW w:w="2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33,989</w:t>
            </w:r>
          </w:p>
        </w:tc>
        <w:tc>
          <w:tcPr>
            <w:tcW w:w="2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2"/>
        </w:trPr>
        <w:tc>
          <w:tcPr>
            <w:tcW w:w="6040" w:type="dxa"/>
            <w:vAlign w:val="bottom"/>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 product sales, net</w:t>
            </w:r>
          </w:p>
        </w:tc>
        <w:tc>
          <w:tcPr>
            <w:tcW w:w="680" w:type="dxa"/>
            <w:vAlign w:val="bottom"/>
            <w:tcBorders>
              <w:top w:val="single" w:sz="8" w:color="auto"/>
              <w:bottom w:val="single" w:sz="8" w:color="auto"/>
            </w:tcBorders>
          </w:tcPr>
          <w:p>
            <w:pPr>
              <w:jc w:val="right"/>
              <w:ind w:right="56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190,787</w:t>
            </w:r>
          </w:p>
        </w:tc>
        <w:tc>
          <w:tcPr>
            <w:tcW w:w="2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544"/>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160,808</w:t>
            </w:r>
          </w:p>
        </w:tc>
        <w:tc>
          <w:tcPr>
            <w:tcW w:w="24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362,055</w:t>
            </w:r>
          </w:p>
        </w:tc>
        <w:tc>
          <w:tcPr>
            <w:tcW w:w="24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ind w:right="3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290,771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u w:val="single" w:color="auto"/>
          <w:color w:val="auto"/>
        </w:rPr>
        <w:t>Manufacturing and Royalty Revenues</w:t>
      </w:r>
    </w:p>
    <w:p>
      <w:pPr>
        <w:spacing w:after="0" w:line="123"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color w:val="auto"/>
        </w:rPr>
        <w:t>During the three and six months ended June 30, 2022 and 2021, the Company recorded manufacturing and royalty revenues as follows:</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24"/>
        </w:trPr>
        <w:tc>
          <w:tcPr>
            <w:tcW w:w="5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6"/>
          </w:tcPr>
          <w:p>
            <w:pPr>
              <w:jc w:val="center"/>
              <w:ind w:left="545"/>
              <w:spacing w:after="0"/>
              <w:rPr>
                <w:sz w:val="20"/>
                <w:szCs w:val="20"/>
                <w:color w:val="auto"/>
              </w:rPr>
            </w:pPr>
            <w:r>
              <w:rPr>
                <w:rFonts w:ascii="Times New Roman" w:cs="Times New Roman" w:eastAsia="Times New Roman" w:hAnsi="Times New Roman"/>
                <w:sz w:val="10"/>
                <w:szCs w:val="10"/>
                <w:b w:val="1"/>
                <w:bCs w:val="1"/>
                <w:color w:val="auto"/>
                <w:w w:val="96"/>
              </w:rPr>
              <w:t>Three Months Ended June 30, 2022</w:t>
            </w:r>
          </w:p>
        </w:tc>
        <w:tc>
          <w:tcPr>
            <w:tcW w:w="7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Six Months Ended June 30, 2022</w:t>
            </w: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51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6"/>
                <w:szCs w:val="6"/>
                <w:color w:val="auto"/>
              </w:rPr>
            </w:pPr>
          </w:p>
        </w:tc>
        <w:tc>
          <w:tcPr>
            <w:tcW w:w="1040" w:type="dxa"/>
            <w:vAlign w:val="bottom"/>
            <w:gridSpan w:val="2"/>
          </w:tcPr>
          <w:p>
            <w:pPr>
              <w:jc w:val="center"/>
              <w:ind w:right="340"/>
              <w:spacing w:after="0" w:line="72" w:lineRule="exact"/>
              <w:rPr>
                <w:sz w:val="20"/>
                <w:szCs w:val="20"/>
                <w:color w:val="auto"/>
              </w:rPr>
            </w:pPr>
            <w:r>
              <w:rPr>
                <w:rFonts w:ascii="Times New Roman" w:cs="Times New Roman" w:eastAsia="Times New Roman" w:hAnsi="Times New Roman"/>
                <w:sz w:val="8"/>
                <w:szCs w:val="8"/>
                <w:b w:val="1"/>
                <w:bCs w:val="1"/>
                <w:color w:val="auto"/>
              </w:rPr>
              <w:t>Manufacturing</w:t>
            </w:r>
          </w:p>
        </w:tc>
        <w:tc>
          <w:tcPr>
            <w:tcW w:w="80" w:type="dxa"/>
            <w:vAlign w:val="bottom"/>
          </w:tcPr>
          <w:p>
            <w:pPr>
              <w:spacing w:after="0"/>
              <w:rPr>
                <w:sz w:val="6"/>
                <w:szCs w:val="6"/>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Royalty Revenue</w:t>
            </w:r>
          </w:p>
        </w:tc>
        <w:tc>
          <w:tcPr>
            <w:tcW w:w="220" w:type="dxa"/>
            <w:vAlign w:val="bottom"/>
          </w:tcPr>
          <w:p>
            <w:pPr>
              <w:spacing w:after="0"/>
              <w:rPr>
                <w:sz w:val="6"/>
                <w:szCs w:val="6"/>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40" w:type="dxa"/>
            <w:vAlign w:val="bottom"/>
            <w:gridSpan w:val="3"/>
          </w:tcPr>
          <w:p>
            <w:pPr>
              <w:jc w:val="center"/>
              <w:ind w:right="220"/>
              <w:spacing w:after="0" w:line="72" w:lineRule="exact"/>
              <w:rPr>
                <w:sz w:val="20"/>
                <w:szCs w:val="20"/>
                <w:color w:val="auto"/>
              </w:rPr>
            </w:pPr>
            <w:r>
              <w:rPr>
                <w:rFonts w:ascii="Times New Roman" w:cs="Times New Roman" w:eastAsia="Times New Roman" w:hAnsi="Times New Roman"/>
                <w:sz w:val="8"/>
                <w:szCs w:val="8"/>
                <w:b w:val="1"/>
                <w:bCs w:val="1"/>
                <w:color w:val="auto"/>
              </w:rPr>
              <w:t>Manufacturing</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Royalty Revenue</w:t>
            </w:r>
          </w:p>
        </w:tc>
        <w:tc>
          <w:tcPr>
            <w:tcW w:w="180" w:type="dxa"/>
            <w:vAlign w:val="bottom"/>
          </w:tcPr>
          <w:p>
            <w:pPr>
              <w:spacing w:after="0"/>
              <w:rPr>
                <w:sz w:val="6"/>
                <w:szCs w:val="6"/>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5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8"/>
              </w:rPr>
              <w:t>Revenue</w:t>
            </w:r>
          </w:p>
        </w:tc>
        <w:tc>
          <w:tcPr>
            <w:tcW w:w="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16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2"/>
                <w:szCs w:val="12"/>
                <w:color w:val="auto"/>
              </w:rPr>
              <w:t>Long-acting INVEGA products</w:t>
            </w:r>
            <w:r>
              <w:rPr>
                <w:rFonts w:ascii="Times New Roman" w:cs="Times New Roman" w:eastAsia="Times New Roman" w:hAnsi="Times New Roman"/>
                <w:sz w:val="10"/>
                <w:szCs w:val="10"/>
                <w:color w:val="auto"/>
              </w:rPr>
              <w:t>(1)</w:t>
            </w:r>
          </w:p>
        </w:tc>
        <w:tc>
          <w:tcPr>
            <w:tcW w:w="1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26,648</w:t>
            </w: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26,648</w:t>
            </w: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10"/>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63,702</w:t>
            </w:r>
          </w:p>
        </w:tc>
        <w:tc>
          <w:tcPr>
            <w:tcW w:w="2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63,702</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VUMERITY</w:t>
            </w:r>
          </w:p>
        </w:tc>
        <w:tc>
          <w:tcPr>
            <w:tcW w:w="1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5,650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20,520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26,170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17,045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39,720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56,765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RISPERDAL CONSTA</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8,571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1,820</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10,391</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24,149</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3,668</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27,817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60" w:type="dxa"/>
            <w:vAlign w:val="bottom"/>
            <w:tcBorders>
              <w:bottom w:val="single" w:sz="8" w:color="CFF0FC"/>
            </w:tcBorders>
          </w:tcPr>
          <w:p>
            <w:pPr>
              <w:spacing w:after="0" w:line="126" w:lineRule="exact"/>
              <w:rPr>
                <w:sz w:val="20"/>
                <w:szCs w:val="20"/>
                <w:color w:val="auto"/>
              </w:rPr>
            </w:pPr>
            <w:r>
              <w:rPr>
                <w:rFonts w:ascii="Times New Roman" w:cs="Times New Roman" w:eastAsia="Times New Roman" w:hAnsi="Times New Roman"/>
                <w:sz w:val="12"/>
                <w:szCs w:val="12"/>
                <w:color w:val="auto"/>
              </w:rPr>
              <w:t>Other</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11,353</w:t>
            </w:r>
          </w:p>
        </w:tc>
        <w:tc>
          <w:tcPr>
            <w:tcW w:w="22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10,764</w:t>
            </w:r>
          </w:p>
        </w:tc>
        <w:tc>
          <w:tcPr>
            <w:tcW w:w="2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22,117</w:t>
            </w:r>
          </w:p>
        </w:tc>
        <w:tc>
          <w:tcPr>
            <w:tcW w:w="2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23,207</w:t>
            </w:r>
          </w:p>
        </w:tc>
        <w:tc>
          <w:tcPr>
            <w:tcW w:w="22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19,005</w:t>
            </w:r>
          </w:p>
        </w:tc>
        <w:tc>
          <w:tcPr>
            <w:tcW w:w="2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42,212</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25,574</w:t>
            </w: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59,752</w:t>
            </w: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85,326</w:t>
            </w: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1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64,401</w:t>
            </w:r>
          </w:p>
        </w:tc>
        <w:tc>
          <w:tcPr>
            <w:tcW w:w="2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126,095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190,496</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5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center"/>
              <w:ind w:left="545"/>
              <w:spacing w:after="0"/>
              <w:rPr>
                <w:sz w:val="20"/>
                <w:szCs w:val="20"/>
                <w:color w:val="auto"/>
              </w:rPr>
            </w:pPr>
            <w:r>
              <w:rPr>
                <w:rFonts w:ascii="Times New Roman" w:cs="Times New Roman" w:eastAsia="Times New Roman" w:hAnsi="Times New Roman"/>
                <w:sz w:val="10"/>
                <w:szCs w:val="10"/>
                <w:b w:val="1"/>
                <w:bCs w:val="1"/>
                <w:color w:val="auto"/>
                <w:w w:val="96"/>
              </w:rPr>
              <w:t>Three Months Ended June 30, 2021</w:t>
            </w: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Six Months Ended June 30, 2021</w:t>
            </w:r>
          </w:p>
        </w:tc>
        <w:tc>
          <w:tcPr>
            <w:tcW w:w="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51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6"/>
                <w:szCs w:val="6"/>
                <w:color w:val="auto"/>
              </w:rPr>
            </w:pPr>
          </w:p>
        </w:tc>
        <w:tc>
          <w:tcPr>
            <w:tcW w:w="1040" w:type="dxa"/>
            <w:vAlign w:val="bottom"/>
            <w:gridSpan w:val="2"/>
          </w:tcPr>
          <w:p>
            <w:pPr>
              <w:jc w:val="center"/>
              <w:ind w:right="340"/>
              <w:spacing w:after="0" w:line="72" w:lineRule="exact"/>
              <w:rPr>
                <w:sz w:val="20"/>
                <w:szCs w:val="20"/>
                <w:color w:val="auto"/>
              </w:rPr>
            </w:pPr>
            <w:r>
              <w:rPr>
                <w:rFonts w:ascii="Times New Roman" w:cs="Times New Roman" w:eastAsia="Times New Roman" w:hAnsi="Times New Roman"/>
                <w:sz w:val="8"/>
                <w:szCs w:val="8"/>
                <w:b w:val="1"/>
                <w:bCs w:val="1"/>
                <w:color w:val="auto"/>
              </w:rPr>
              <w:t>Manufacturing</w:t>
            </w:r>
          </w:p>
        </w:tc>
        <w:tc>
          <w:tcPr>
            <w:tcW w:w="80" w:type="dxa"/>
            <w:vAlign w:val="bottom"/>
          </w:tcPr>
          <w:p>
            <w:pPr>
              <w:spacing w:after="0"/>
              <w:rPr>
                <w:sz w:val="6"/>
                <w:szCs w:val="6"/>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Royalty Revenue</w:t>
            </w:r>
          </w:p>
        </w:tc>
        <w:tc>
          <w:tcPr>
            <w:tcW w:w="220" w:type="dxa"/>
            <w:vAlign w:val="bottom"/>
          </w:tcPr>
          <w:p>
            <w:pPr>
              <w:spacing w:after="0"/>
              <w:rPr>
                <w:sz w:val="6"/>
                <w:szCs w:val="6"/>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40" w:type="dxa"/>
            <w:vAlign w:val="bottom"/>
            <w:gridSpan w:val="3"/>
          </w:tcPr>
          <w:p>
            <w:pPr>
              <w:jc w:val="center"/>
              <w:ind w:right="220"/>
              <w:spacing w:after="0" w:line="72" w:lineRule="exact"/>
              <w:rPr>
                <w:sz w:val="20"/>
                <w:szCs w:val="20"/>
                <w:color w:val="auto"/>
              </w:rPr>
            </w:pPr>
            <w:r>
              <w:rPr>
                <w:rFonts w:ascii="Times New Roman" w:cs="Times New Roman" w:eastAsia="Times New Roman" w:hAnsi="Times New Roman"/>
                <w:sz w:val="8"/>
                <w:szCs w:val="8"/>
                <w:b w:val="1"/>
                <w:bCs w:val="1"/>
                <w:color w:val="auto"/>
              </w:rPr>
              <w:t>Manufacturing</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Royalty Revenue</w:t>
            </w:r>
          </w:p>
        </w:tc>
        <w:tc>
          <w:tcPr>
            <w:tcW w:w="180" w:type="dxa"/>
            <w:vAlign w:val="bottom"/>
          </w:tcPr>
          <w:p>
            <w:pPr>
              <w:spacing w:after="0"/>
              <w:rPr>
                <w:sz w:val="6"/>
                <w:szCs w:val="6"/>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5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Revenue</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8"/>
              </w:rPr>
              <w:t>Revenue</w:t>
            </w:r>
          </w:p>
        </w:tc>
        <w:tc>
          <w:tcPr>
            <w:tcW w:w="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16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2"/>
                <w:szCs w:val="12"/>
                <w:color w:val="auto"/>
              </w:rPr>
              <w:t>Long-acting INVEGA products</w:t>
            </w:r>
            <w:r>
              <w:rPr>
                <w:rFonts w:ascii="Times New Roman" w:cs="Times New Roman" w:eastAsia="Times New Roman" w:hAnsi="Times New Roman"/>
                <w:sz w:val="10"/>
                <w:szCs w:val="10"/>
                <w:color w:val="auto"/>
              </w:rPr>
              <w:t>(1)</w:t>
            </w:r>
          </w:p>
        </w:tc>
        <w:tc>
          <w:tcPr>
            <w:tcW w:w="1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81,072</w:t>
            </w: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81,072</w:t>
            </w: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10"/>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142,642</w:t>
            </w:r>
          </w:p>
        </w:tc>
        <w:tc>
          <w:tcPr>
            <w:tcW w:w="2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color w:val="auto"/>
              </w:rPr>
              <w:t>142,642</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VUMERITY</w:t>
            </w:r>
          </w:p>
        </w:tc>
        <w:tc>
          <w:tcPr>
            <w:tcW w:w="1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6,724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13,624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20,348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9,172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24,616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33,788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RISPERDAL CONSTA</w:t>
            </w: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12,003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2,448</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14,451</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22,686</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5,927</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28,613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160" w:type="dxa"/>
            <w:vAlign w:val="bottom"/>
            <w:tcBorders>
              <w:bottom w:val="single" w:sz="8" w:color="CFF0FC"/>
            </w:tcBorders>
          </w:tcPr>
          <w:p>
            <w:pPr>
              <w:spacing w:after="0" w:line="126" w:lineRule="exact"/>
              <w:rPr>
                <w:sz w:val="20"/>
                <w:szCs w:val="20"/>
                <w:color w:val="auto"/>
              </w:rPr>
            </w:pPr>
            <w:r>
              <w:rPr>
                <w:rFonts w:ascii="Times New Roman" w:cs="Times New Roman" w:eastAsia="Times New Roman" w:hAnsi="Times New Roman"/>
                <w:sz w:val="12"/>
                <w:szCs w:val="12"/>
                <w:color w:val="auto"/>
              </w:rPr>
              <w:t>Other</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10,566</w:t>
            </w:r>
          </w:p>
        </w:tc>
        <w:tc>
          <w:tcPr>
            <w:tcW w:w="22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15,857</w:t>
            </w:r>
          </w:p>
        </w:tc>
        <w:tc>
          <w:tcPr>
            <w:tcW w:w="2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26,423</w:t>
            </w:r>
          </w:p>
        </w:tc>
        <w:tc>
          <w:tcPr>
            <w:tcW w:w="2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22,520</w:t>
            </w:r>
          </w:p>
        </w:tc>
        <w:tc>
          <w:tcPr>
            <w:tcW w:w="22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34,578</w:t>
            </w:r>
          </w:p>
        </w:tc>
        <w:tc>
          <w:tcPr>
            <w:tcW w:w="20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57,098</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1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29,293</w:t>
            </w:r>
          </w:p>
        </w:tc>
        <w:tc>
          <w:tcPr>
            <w:tcW w:w="2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113,001</w:t>
            </w: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142,294</w:t>
            </w:r>
          </w:p>
        </w:tc>
        <w:tc>
          <w:tcPr>
            <w:tcW w:w="2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10"/>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54,378</w:t>
            </w:r>
          </w:p>
        </w:tc>
        <w:tc>
          <w:tcPr>
            <w:tcW w:w="2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207,763</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262,141</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8" w:hanging="302"/>
        <w:spacing w:after="0"/>
        <w:tabs>
          <w:tab w:leader="none" w:pos="6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23202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0290" cy="5715"/>
                    </a:xfrm>
                    <a:prstGeom prst="rect">
                      <a:avLst/>
                    </a:prstGeom>
                    <a:noFill/>
                  </pic:spPr>
                </pic:pic>
              </a:graphicData>
            </a:graphic>
          </wp:anchor>
        </w:drawing>
      </w:r>
    </w:p>
    <w:p>
      <w:pPr>
        <w:spacing w:after="0" w:line="85" w:lineRule="exact"/>
        <w:rPr>
          <w:sz w:val="20"/>
          <w:szCs w:val="20"/>
          <w:color w:val="auto"/>
        </w:rPr>
      </w:pPr>
    </w:p>
    <w:p>
      <w:pPr>
        <w:ind w:left="8" w:right="20" w:firstLine="306"/>
        <w:spacing w:after="0" w:line="256" w:lineRule="auto"/>
        <w:rPr>
          <w:sz w:val="20"/>
          <w:szCs w:val="20"/>
          <w:color w:val="auto"/>
        </w:rPr>
      </w:pPr>
      <w:r>
        <w:rPr>
          <w:rFonts w:ascii="Times New Roman" w:cs="Times New Roman" w:eastAsia="Times New Roman" w:hAnsi="Times New Roman"/>
          <w:sz w:val="12"/>
          <w:szCs w:val="12"/>
          <w:color w:val="auto"/>
        </w:rPr>
        <w:t xml:space="preserve">In November 2021, the Company received notice of partial termination of its license agreement with Janssen Pharmaceutica N.V., a subsidiary of Johnson &amp; Johnson Corporation (“Janssen Pharmaceutica”) in respect of INVEGA SUSTENNA, INVEGA TRINZA and INVEGA HAFYERA, pursuant to which Janssen Pharmaceutica received access and rights to Alkermes’ small particle pharmaceutical compound technology, known as NanoCrystal Technology. When the partial termination became effective in February 2022, Janssen Pharmaceutica ceased paying royalties related to sales of INVEGA SUSTENNA, INVEGA TRINZA and INVEGA HAFYERA in the U.S. and the Company stopped recognizing royalty revenue related to net sales of these products in the U.S. In April 2022, the Company commenced binding arbitration proceedings related to, among other things, Janssen Pharmaceutica’s partial termination of the license agreement and Janssen Pharmaceutica’s royalty and other obligations under the agreement. Refer to Note 15,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xml:space="preserve"> within the “Notes to Condensed Consolidated Financial Statements” in this Form 10-Q for additional information regarding the arbitration proceedings with Janssen Pharmaceutica.</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33"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u w:val="single" w:color="auto"/>
          <w:color w:val="auto"/>
        </w:rPr>
        <w:t>Contract Assets</w:t>
      </w:r>
    </w:p>
    <w:p>
      <w:pPr>
        <w:spacing w:after="0" w:line="123" w:lineRule="exact"/>
        <w:rPr>
          <w:sz w:val="20"/>
          <w:szCs w:val="20"/>
          <w:color w:val="auto"/>
        </w:rPr>
      </w:pPr>
    </w:p>
    <w:p>
      <w:pPr>
        <w:ind w:right="120" w:firstLine="306"/>
        <w:spacing w:after="0" w:line="265" w:lineRule="auto"/>
        <w:rPr>
          <w:sz w:val="20"/>
          <w:szCs w:val="20"/>
          <w:color w:val="auto"/>
        </w:rPr>
      </w:pPr>
      <w:r>
        <w:rPr>
          <w:rFonts w:ascii="Times New Roman" w:cs="Times New Roman" w:eastAsia="Times New Roman" w:hAnsi="Times New Roman"/>
          <w:sz w:val="12"/>
          <w:szCs w:val="12"/>
          <w:color w:val="auto"/>
        </w:rPr>
        <w:t>Contract assets include unbilled amounts resulting from sales under certain of the Company’s manufacturing contracts where revenue is recognized over time and $5.0 million of expected consideration from the Company’s collaboration with Biogen related to VUMERITY. The amounts included in the contract assets table below are classified as “Current assets” in the accompanying condensed consolidated balance sheets, as they relate to manufacturing processes that are completed in ten days to eight weeks and, in the case of the $5.0 million of consideration, an amount that is expected to be received in November 2022.</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Total contract assets at June 30, 2022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40" w:type="dxa"/>
            <w:vAlign w:val="bottom"/>
          </w:tcPr>
          <w:p>
            <w:pPr>
              <w:spacing w:after="0"/>
              <w:rPr>
                <w:sz w:val="10"/>
                <w:szCs w:val="10"/>
                <w:color w:val="auto"/>
              </w:rPr>
            </w:pPr>
          </w:p>
        </w:tc>
        <w:tc>
          <w:tcPr>
            <w:tcW w:w="166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Contract Assets</w:t>
            </w:r>
          </w:p>
        </w:tc>
      </w:tr>
      <w:tr>
        <w:trPr>
          <w:trHeight w:val="115"/>
        </w:trPr>
        <w:tc>
          <w:tcPr>
            <w:tcW w:w="930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Contract assets at December 31, 2021</w:t>
            </w:r>
          </w:p>
        </w:tc>
        <w:tc>
          <w:tcPr>
            <w:tcW w:w="340" w:type="dxa"/>
            <w:vAlign w:val="bottom"/>
            <w:tcBorders>
              <w:top w:val="single" w:sz="8" w:color="auto"/>
            </w:tcBorders>
            <w:shd w:val="clear" w:color="auto" w:fill="CFF0FC"/>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13,363</w:t>
            </w:r>
          </w:p>
        </w:tc>
        <w:tc>
          <w:tcPr>
            <w:tcW w:w="120" w:type="dxa"/>
            <w:vAlign w:val="bottom"/>
            <w:tcBorders>
              <w:top w:val="single" w:sz="8" w:color="CFF0FC"/>
            </w:tcBorders>
            <w:shd w:val="clear" w:color="auto" w:fill="CFF0FC"/>
          </w:tcPr>
          <w:p>
            <w:pPr>
              <w:spacing w:after="0"/>
              <w:rPr>
                <w:sz w:val="10"/>
                <w:szCs w:val="10"/>
                <w:color w:val="auto"/>
              </w:rPr>
            </w:pPr>
          </w:p>
        </w:tc>
      </w:tr>
      <w:tr>
        <w:trPr>
          <w:trHeight w:val="126"/>
        </w:trPr>
        <w:tc>
          <w:tcPr>
            <w:tcW w:w="93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Additions</w:t>
            </w:r>
          </w:p>
        </w:tc>
        <w:tc>
          <w:tcPr>
            <w:tcW w:w="340" w:type="dxa"/>
            <w:vAlign w:val="bottom"/>
          </w:tcPr>
          <w:p>
            <w:pPr>
              <w:spacing w:after="0"/>
              <w:rPr>
                <w:sz w:val="10"/>
                <w:szCs w:val="10"/>
                <w:color w:val="auto"/>
              </w:rPr>
            </w:pPr>
          </w:p>
        </w:tc>
        <w:tc>
          <w:tcPr>
            <w:tcW w:w="1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21,883</w:t>
            </w:r>
          </w:p>
        </w:tc>
        <w:tc>
          <w:tcPr>
            <w:tcW w:w="120" w:type="dxa"/>
            <w:vAlign w:val="bottom"/>
          </w:tcPr>
          <w:p>
            <w:pPr>
              <w:spacing w:after="0"/>
              <w:rPr>
                <w:sz w:val="10"/>
                <w:szCs w:val="10"/>
                <w:color w:val="auto"/>
              </w:rPr>
            </w:pPr>
          </w:p>
        </w:tc>
      </w:tr>
      <w:tr>
        <w:trPr>
          <w:trHeight w:val="126"/>
        </w:trPr>
        <w:tc>
          <w:tcPr>
            <w:tcW w:w="93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Transferred to receivables, net</w:t>
            </w:r>
          </w:p>
        </w:tc>
        <w:tc>
          <w:tcPr>
            <w:tcW w:w="340" w:type="dxa"/>
            <w:vAlign w:val="bottom"/>
            <w:shd w:val="clear" w:color="auto" w:fill="CFF0FC"/>
          </w:tcPr>
          <w:p>
            <w:pPr>
              <w:spacing w:after="0"/>
              <w:rPr>
                <w:sz w:val="10"/>
                <w:szCs w:val="10"/>
                <w:color w:val="auto"/>
              </w:rPr>
            </w:pPr>
          </w:p>
        </w:tc>
        <w:tc>
          <w:tcPr>
            <w:tcW w:w="166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(18,760)</w:t>
            </w:r>
          </w:p>
        </w:tc>
      </w:tr>
      <w:tr>
        <w:trPr>
          <w:trHeight w:val="122"/>
        </w:trPr>
        <w:tc>
          <w:tcPr>
            <w:tcW w:w="930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Contract assets at June 30, 2022</w:t>
            </w:r>
          </w:p>
        </w:tc>
        <w:tc>
          <w:tcPr>
            <w:tcW w:w="34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16,486</w:t>
            </w:r>
          </w:p>
        </w:tc>
        <w:tc>
          <w:tcPr>
            <w:tcW w:w="120" w:type="dxa"/>
            <w:vAlign w:val="bottom"/>
          </w:tcPr>
          <w:p>
            <w:pPr>
              <w:spacing w:after="0"/>
              <w:rPr>
                <w:sz w:val="10"/>
                <w:szCs w:val="10"/>
                <w:color w:val="auto"/>
              </w:rPr>
            </w:pPr>
          </w:p>
        </w:tc>
      </w:tr>
    </w:tbl>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u w:val="single" w:color="auto"/>
          <w:color w:val="auto"/>
        </w:rPr>
        <w:t>Contract Liabilities</w:t>
      </w:r>
    </w:p>
    <w:p>
      <w:pPr>
        <w:spacing w:after="0" w:line="150" w:lineRule="exact"/>
        <w:rPr>
          <w:sz w:val="20"/>
          <w:szCs w:val="20"/>
          <w:color w:val="auto"/>
        </w:rPr>
      </w:pPr>
    </w:p>
    <w:p>
      <w:pPr>
        <w:jc w:val="both"/>
        <w:ind w:right="420" w:firstLine="306"/>
        <w:spacing w:after="0" w:line="265" w:lineRule="auto"/>
        <w:rPr>
          <w:sz w:val="20"/>
          <w:szCs w:val="20"/>
          <w:color w:val="auto"/>
        </w:rPr>
      </w:pPr>
      <w:r>
        <w:rPr>
          <w:rFonts w:ascii="Times New Roman" w:cs="Times New Roman" w:eastAsia="Times New Roman" w:hAnsi="Times New Roman"/>
          <w:sz w:val="12"/>
          <w:szCs w:val="12"/>
          <w:color w:val="auto"/>
        </w:rPr>
        <w:t>Contract liabilities consist of contractual obligations related to deferred revenue. At June 30, 2022 and December 31, 2021, $3.8 million and $6.3 million of the contract liabilities, respectively, were classified as “Contract liabilities–short-term” in the accompanying condensed consolidated balance sheets and $10.0 million and $11.5 million of the contract liabilities, respectively, were classified as “Other long-term liabilities” in the accompanying condensed consolidated balance sheets.</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Total contract liabilities at June 30, 2022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7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Contract Liabilities</w:t>
            </w:r>
          </w:p>
        </w:tc>
      </w:tr>
      <w:tr>
        <w:trPr>
          <w:trHeight w:val="115"/>
        </w:trPr>
        <w:tc>
          <w:tcPr>
            <w:tcW w:w="378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Contract liabilities at December 31, 2021</w:t>
            </w:r>
          </w:p>
        </w:tc>
        <w:tc>
          <w:tcPr>
            <w:tcW w:w="552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17,830</w:t>
            </w:r>
          </w:p>
        </w:tc>
        <w:tc>
          <w:tcPr>
            <w:tcW w:w="120" w:type="dxa"/>
            <w:vAlign w:val="bottom"/>
            <w:tcBorders>
              <w:top w:val="single" w:sz="8" w:color="CFF0FC"/>
            </w:tcBorders>
            <w:shd w:val="clear" w:color="auto" w:fill="CFF0FC"/>
          </w:tcPr>
          <w:p>
            <w:pPr>
              <w:spacing w:after="0"/>
              <w:rPr>
                <w:sz w:val="10"/>
                <w:szCs w:val="10"/>
                <w:color w:val="auto"/>
              </w:rPr>
            </w:pPr>
          </w:p>
        </w:tc>
      </w:tr>
      <w:tr>
        <w:trPr>
          <w:trHeight w:val="126"/>
        </w:trPr>
        <w:tc>
          <w:tcPr>
            <w:tcW w:w="378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Additions</w:t>
            </w:r>
          </w:p>
        </w:tc>
        <w:tc>
          <w:tcPr>
            <w:tcW w:w="5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829</w:t>
            </w:r>
          </w:p>
        </w:tc>
        <w:tc>
          <w:tcPr>
            <w:tcW w:w="120" w:type="dxa"/>
            <w:vAlign w:val="bottom"/>
          </w:tcPr>
          <w:p>
            <w:pPr>
              <w:spacing w:after="0"/>
              <w:rPr>
                <w:sz w:val="10"/>
                <w:szCs w:val="10"/>
                <w:color w:val="auto"/>
              </w:rPr>
            </w:pPr>
          </w:p>
        </w:tc>
      </w:tr>
      <w:tr>
        <w:trPr>
          <w:trHeight w:val="126"/>
        </w:trPr>
        <w:tc>
          <w:tcPr>
            <w:tcW w:w="378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Amounts recognized into revenue</w:t>
            </w:r>
          </w:p>
        </w:tc>
        <w:tc>
          <w:tcPr>
            <w:tcW w:w="55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70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(4,900)</w:t>
            </w:r>
          </w:p>
        </w:tc>
      </w:tr>
      <w:tr>
        <w:trPr>
          <w:trHeight w:val="122"/>
        </w:trPr>
        <w:tc>
          <w:tcPr>
            <w:tcW w:w="37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Contract liabilities at June 30, 2022</w:t>
            </w:r>
          </w:p>
        </w:tc>
        <w:tc>
          <w:tcPr>
            <w:tcW w:w="552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13,759</w:t>
            </w:r>
          </w:p>
        </w:tc>
        <w:tc>
          <w:tcPr>
            <w:tcW w:w="120" w:type="dxa"/>
            <w:vAlign w:val="bottom"/>
          </w:tcPr>
          <w:p>
            <w:pPr>
              <w:spacing w:after="0"/>
              <w:rPr>
                <w:sz w:val="10"/>
                <w:szCs w:val="10"/>
                <w:color w:val="auto"/>
              </w:rPr>
            </w:pPr>
          </w:p>
        </w:tc>
      </w:tr>
      <w:tr>
        <w:trPr>
          <w:trHeight w:val="432"/>
        </w:trPr>
        <w:tc>
          <w:tcPr>
            <w:tcW w:w="3780" w:type="dxa"/>
            <w:vAlign w:val="bottom"/>
          </w:tcPr>
          <w:p>
            <w:pPr>
              <w:spacing w:after="0"/>
              <w:rPr>
                <w:sz w:val="24"/>
                <w:szCs w:val="24"/>
                <w:color w:val="auto"/>
              </w:rPr>
            </w:pPr>
          </w:p>
        </w:tc>
        <w:tc>
          <w:tcPr>
            <w:tcW w:w="5520" w:type="dxa"/>
            <w:vAlign w:val="bottom"/>
          </w:tcPr>
          <w:p>
            <w:pPr>
              <w:jc w:val="right"/>
              <w:ind w:right="3540"/>
              <w:spacing w:after="0"/>
              <w:rPr>
                <w:sz w:val="20"/>
                <w:szCs w:val="20"/>
                <w:color w:val="auto"/>
              </w:rPr>
            </w:pPr>
            <w:r>
              <w:rPr>
                <w:rFonts w:ascii="Times New Roman" w:cs="Times New Roman" w:eastAsia="Times New Roman" w:hAnsi="Times New Roman"/>
                <w:sz w:val="12"/>
                <w:szCs w:val="12"/>
                <w:color w:val="auto"/>
              </w:rPr>
              <w:t>13</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3780" w:type="dxa"/>
            <w:vAlign w:val="bottom"/>
            <w:tcBorders>
              <w:bottom w:val="single" w:sz="8" w:color="9A9A9A"/>
            </w:tcBorders>
          </w:tcPr>
          <w:p>
            <w:pPr>
              <w:spacing w:after="0"/>
              <w:rPr>
                <w:sz w:val="6"/>
                <w:szCs w:val="6"/>
                <w:color w:val="auto"/>
              </w:rPr>
            </w:pPr>
          </w:p>
        </w:tc>
        <w:tc>
          <w:tcPr>
            <w:tcW w:w="55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INVESTMENTS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Investments consisted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7"/>
              </w:rPr>
              <w:t>Gross Unrealized</w:t>
            </w: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2"/>
              </w:rPr>
              <w:t>Amortized</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3"/>
          </w:tcPr>
          <w:p>
            <w:pPr>
              <w:jc w:val="right"/>
              <w:ind w:right="86"/>
              <w:spacing w:after="0" w:line="97" w:lineRule="exact"/>
              <w:rPr>
                <w:sz w:val="20"/>
                <w:szCs w:val="20"/>
                <w:color w:val="auto"/>
              </w:rPr>
            </w:pPr>
            <w:r>
              <w:rPr>
                <w:rFonts w:ascii="Times New Roman" w:cs="Times New Roman" w:eastAsia="Times New Roman" w:hAnsi="Times New Roman"/>
                <w:sz w:val="10"/>
                <w:szCs w:val="10"/>
                <w:b w:val="1"/>
                <w:bCs w:val="1"/>
                <w:color w:val="auto"/>
              </w:rPr>
              <w:t>Losses</w:t>
            </w: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tcPr>
          <w:p>
            <w:pPr>
              <w:jc w:val="right"/>
              <w:ind w:right="520"/>
              <w:spacing w:after="0" w:line="81" w:lineRule="exact"/>
              <w:rPr>
                <w:sz w:val="20"/>
                <w:szCs w:val="20"/>
                <w:color w:val="auto"/>
              </w:rPr>
            </w:pPr>
            <w:r>
              <w:rPr>
                <w:rFonts w:ascii="Times New Roman" w:cs="Times New Roman" w:eastAsia="Times New Roman" w:hAnsi="Times New Roman"/>
                <w:sz w:val="8"/>
                <w:szCs w:val="8"/>
                <w:b w:val="1"/>
                <w:bCs w:val="1"/>
                <w:color w:val="auto"/>
              </w:rPr>
              <w:t>Less than</w:t>
            </w:r>
          </w:p>
        </w:tc>
        <w:tc>
          <w:tcPr>
            <w:tcW w:w="160" w:type="dxa"/>
            <w:vAlign w:val="bottom"/>
          </w:tcPr>
          <w:p>
            <w:pPr>
              <w:spacing w:after="0"/>
              <w:rPr>
                <w:sz w:val="7"/>
                <w:szCs w:val="7"/>
                <w:color w:val="auto"/>
              </w:rPr>
            </w:pPr>
          </w:p>
        </w:tc>
        <w:tc>
          <w:tcPr>
            <w:tcW w:w="860" w:type="dxa"/>
            <w:vAlign w:val="bottom"/>
          </w:tcPr>
          <w:p>
            <w:pPr>
              <w:jc w:val="right"/>
              <w:ind w:right="181"/>
              <w:spacing w:after="0" w:line="81" w:lineRule="exact"/>
              <w:rPr>
                <w:sz w:val="20"/>
                <w:szCs w:val="20"/>
                <w:color w:val="auto"/>
              </w:rPr>
            </w:pPr>
            <w:r>
              <w:rPr>
                <w:rFonts w:ascii="Times New Roman" w:cs="Times New Roman" w:eastAsia="Times New Roman" w:hAnsi="Times New Roman"/>
                <w:sz w:val="8"/>
                <w:szCs w:val="8"/>
                <w:b w:val="1"/>
                <w:bCs w:val="1"/>
                <w:color w:val="auto"/>
              </w:rPr>
              <w:t>Greater than</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220" w:type="dxa"/>
            <w:vAlign w:val="bottom"/>
            <w:gridSpan w:val="2"/>
          </w:tcPr>
          <w:p>
            <w:pPr>
              <w:ind w:left="2260"/>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180" w:type="dxa"/>
            <w:vAlign w:val="bottom"/>
          </w:tcPr>
          <w:p>
            <w:pPr>
              <w:spacing w:after="0"/>
              <w:rPr>
                <w:sz w:val="10"/>
                <w:szCs w:val="1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22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100" w:type="dxa"/>
            <w:vAlign w:val="bottom"/>
          </w:tcPr>
          <w:p>
            <w:pPr>
              <w:spacing w:after="0"/>
              <w:rPr>
                <w:sz w:val="10"/>
                <w:szCs w:val="1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One Year</w:t>
            </w:r>
          </w:p>
        </w:tc>
        <w:tc>
          <w:tcPr>
            <w:tcW w:w="16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One Year</w:t>
            </w:r>
          </w:p>
        </w:tc>
        <w:tc>
          <w:tcPr>
            <w:tcW w:w="18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15"/>
        </w:trPr>
        <w:tc>
          <w:tcPr>
            <w:tcW w:w="5120" w:type="dxa"/>
            <w:vAlign w:val="bottom"/>
            <w:tcBorders>
              <w:top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Short-term investments:</w:t>
            </w:r>
          </w:p>
        </w:tc>
        <w:tc>
          <w:tcPr>
            <w:tcW w:w="1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Available-for-sale securities:</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Corporate debt securities</w:t>
            </w:r>
          </w:p>
        </w:tc>
        <w:tc>
          <w:tcPr>
            <w:tcW w:w="180" w:type="dxa"/>
            <w:vAlign w:val="bottom"/>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146,785</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(1,744)</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145,045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2"/>
                <w:szCs w:val="12"/>
                <w:color w:val="auto"/>
              </w:rPr>
              <w:t>U.S. government and agency debt securities</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117,944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(909)</w:t>
            </w:r>
          </w:p>
        </w:tc>
        <w:tc>
          <w:tcPr>
            <w:tcW w:w="160" w:type="dxa"/>
            <w:vAlign w:val="bottom"/>
          </w:tcPr>
          <w:p>
            <w:pPr>
              <w:spacing w:after="0"/>
              <w:rPr>
                <w:sz w:val="10"/>
                <w:szCs w:val="10"/>
                <w:color w:val="auto"/>
              </w:rPr>
            </w:pPr>
          </w:p>
        </w:tc>
        <w:tc>
          <w:tcPr>
            <w:tcW w:w="10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117,057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Non-U.S. government debt securities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64,786</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(504)</w:t>
            </w:r>
          </w:p>
        </w:tc>
        <w:tc>
          <w:tcPr>
            <w:tcW w:w="16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(63)</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64,219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CFF0FC"/>
            </w:tcBorders>
            <w:gridSpan w:val="2"/>
          </w:tcPr>
          <w:p>
            <w:pPr>
              <w:ind w:left="320"/>
              <w:spacing w:after="0" w:line="115" w:lineRule="exact"/>
              <w:rPr>
                <w:sz w:val="20"/>
                <w:szCs w:val="20"/>
                <w:color w:val="auto"/>
              </w:rPr>
            </w:pPr>
            <w:r>
              <w:rPr>
                <w:rFonts w:ascii="Times New Roman" w:cs="Times New Roman" w:eastAsia="Times New Roman" w:hAnsi="Times New Roman"/>
                <w:sz w:val="12"/>
                <w:szCs w:val="12"/>
                <w:color w:val="auto"/>
              </w:rPr>
              <w:t>Total short-term investments</w:t>
            </w: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329,515</w:t>
            </w:r>
          </w:p>
        </w:tc>
        <w:tc>
          <w:tcPr>
            <w:tcW w:w="220" w:type="dxa"/>
            <w:vAlign w:val="bottom"/>
            <w:tcBorders>
              <w:bottom w:val="single" w:sz="8" w:color="CFF0FC"/>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26</w:t>
            </w:r>
          </w:p>
        </w:tc>
        <w:tc>
          <w:tcPr>
            <w:tcW w:w="220" w:type="dxa"/>
            <w:vAlign w:val="bottom"/>
            <w:tcBorders>
              <w:bottom w:val="single" w:sz="8" w:color="CFF0FC"/>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(3,157)</w:t>
            </w:r>
          </w:p>
        </w:tc>
        <w:tc>
          <w:tcPr>
            <w:tcW w:w="220" w:type="dxa"/>
            <w:vAlign w:val="bottom"/>
            <w:tcBorders>
              <w:bottom w:val="single" w:sz="8" w:color="CFF0FC"/>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(63)</w:t>
            </w:r>
          </w:p>
        </w:tc>
        <w:tc>
          <w:tcPr>
            <w:tcW w:w="220" w:type="dxa"/>
            <w:vAlign w:val="bottom"/>
            <w:tcBorders>
              <w:bottom w:val="single" w:sz="8" w:color="CFF0FC"/>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326,321</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Long-term investments: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Available-for-sale securities:</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Corporate debt securities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94,346</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(2,806)</w:t>
            </w:r>
          </w:p>
        </w:tc>
        <w:tc>
          <w:tcPr>
            <w:tcW w:w="16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(48)</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91,492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2"/>
                <w:szCs w:val="12"/>
                <w:color w:val="auto"/>
              </w:rPr>
              <w:t>U.S. government and agency debt securities</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73,000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1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(2,364)</w:t>
            </w:r>
          </w:p>
        </w:tc>
        <w:tc>
          <w:tcPr>
            <w:tcW w:w="160" w:type="dxa"/>
            <w:vAlign w:val="bottom"/>
          </w:tcPr>
          <w:p>
            <w:pPr>
              <w:spacing w:after="0"/>
              <w:rPr>
                <w:sz w:val="10"/>
                <w:szCs w:val="10"/>
                <w:color w:val="auto"/>
              </w:rPr>
            </w:pPr>
          </w:p>
        </w:tc>
        <w:tc>
          <w:tcPr>
            <w:tcW w:w="10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(50)</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70,586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Non-U.S. government debt securities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15,679</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(393)</w:t>
            </w:r>
          </w:p>
        </w:tc>
        <w:tc>
          <w:tcPr>
            <w:tcW w:w="16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(174)</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15,112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183,025</w:t>
            </w:r>
          </w:p>
        </w:tc>
        <w:tc>
          <w:tcPr>
            <w:tcW w:w="220" w:type="dxa"/>
            <w:vAlign w:val="bottom"/>
            <w:tcBorders>
              <w:bottom w:val="single" w:sz="8" w:color="CFF0FC"/>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(5,563)</w:t>
            </w:r>
          </w:p>
        </w:tc>
        <w:tc>
          <w:tcPr>
            <w:tcW w:w="220" w:type="dxa"/>
            <w:vAlign w:val="bottom"/>
            <w:tcBorders>
              <w:bottom w:val="single" w:sz="8" w:color="CFF0FC"/>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(272)</w:t>
            </w:r>
          </w:p>
        </w:tc>
        <w:tc>
          <w:tcPr>
            <w:tcW w:w="220" w:type="dxa"/>
            <w:vAlign w:val="bottom"/>
            <w:tcBorders>
              <w:bottom w:val="single" w:sz="8" w:color="CFF0FC"/>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177,190</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20" w:type="dxa"/>
            <w:vAlign w:val="bottom"/>
            <w:gridSpan w:val="2"/>
            <w:shd w:val="clear" w:color="auto" w:fill="CFF0FC"/>
          </w:tcPr>
          <w:p>
            <w:pPr>
              <w:ind w:left="160"/>
              <w:spacing w:after="0" w:line="115" w:lineRule="exact"/>
              <w:rPr>
                <w:sz w:val="20"/>
                <w:szCs w:val="20"/>
                <w:color w:val="auto"/>
              </w:rPr>
            </w:pPr>
            <w:r>
              <w:rPr>
                <w:rFonts w:ascii="Times New Roman" w:cs="Times New Roman" w:eastAsia="Times New Roman" w:hAnsi="Times New Roman"/>
                <w:sz w:val="12"/>
                <w:szCs w:val="12"/>
                <w:color w:val="auto"/>
              </w:rPr>
              <w:t>Held-to-maturity securities: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2"/>
                <w:szCs w:val="12"/>
                <w:color w:val="auto"/>
              </w:rPr>
              <w:t>Certificates of deposit</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1,820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1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0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20" w:type="dxa"/>
            <w:vAlign w:val="bottom"/>
            <w:tcBorders>
              <w:top w:val="single" w:sz="8" w:color="CFF0FC"/>
            </w:tcBorders>
            <w:gridSpan w:val="2"/>
            <w:shd w:val="clear" w:color="auto" w:fill="CFF0FC"/>
          </w:tcPr>
          <w:p>
            <w:pPr>
              <w:ind w:left="320"/>
              <w:spacing w:after="0" w:line="115" w:lineRule="exact"/>
              <w:rPr>
                <w:sz w:val="20"/>
                <w:szCs w:val="20"/>
                <w:color w:val="auto"/>
              </w:rPr>
            </w:pPr>
            <w:r>
              <w:rPr>
                <w:rFonts w:ascii="Times New Roman" w:cs="Times New Roman" w:eastAsia="Times New Roman" w:hAnsi="Times New Roman"/>
                <w:sz w:val="12"/>
                <w:szCs w:val="12"/>
                <w:color w:val="auto"/>
              </w:rPr>
              <w:t>Total long-term investments</w:t>
            </w:r>
          </w:p>
        </w:tc>
        <w:tc>
          <w:tcPr>
            <w:tcW w:w="180" w:type="dxa"/>
            <w:vAlign w:val="bottom"/>
            <w:tcBorders>
              <w:top w:val="single" w:sz="8" w:color="auto"/>
              <w:bottom w:val="single" w:sz="8" w:color="auto"/>
            </w:tcBorders>
            <w:shd w:val="clear" w:color="auto" w:fill="CFF0FC"/>
          </w:tcPr>
          <w:p>
            <w:pPr>
              <w:spacing w:after="0"/>
              <w:rPr>
                <w:sz w:val="10"/>
                <w:szCs w:val="10"/>
                <w:color w:val="auto"/>
              </w:rPr>
            </w:pP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184,845</w:t>
            </w: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spacing w:after="0"/>
              <w:rPr>
                <w:sz w:val="10"/>
                <w:szCs w:val="10"/>
                <w:color w:val="auto"/>
              </w:rPr>
            </w:pP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spacing w:after="0"/>
              <w:rPr>
                <w:sz w:val="10"/>
                <w:szCs w:val="10"/>
                <w:color w:val="auto"/>
              </w:rPr>
            </w:pP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(5,563)</w:t>
            </w: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bottom w:val="single" w:sz="8" w:color="auto"/>
            </w:tcBorders>
            <w:shd w:val="clear" w:color="auto" w:fill="CFF0FC"/>
          </w:tcPr>
          <w:p>
            <w:pPr>
              <w:spacing w:after="0"/>
              <w:rPr>
                <w:sz w:val="10"/>
                <w:szCs w:val="10"/>
                <w:color w:val="auto"/>
              </w:rPr>
            </w:pP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(272)</w:t>
            </w:r>
          </w:p>
        </w:tc>
        <w:tc>
          <w:tcPr>
            <w:tcW w:w="2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bottom w:val="single" w:sz="8" w:color="auto"/>
            </w:tcBorders>
            <w:shd w:val="clear" w:color="auto" w:fill="CFF0FC"/>
          </w:tcPr>
          <w:p>
            <w:pPr>
              <w:spacing w:after="0"/>
              <w:rPr>
                <w:sz w:val="10"/>
                <w:szCs w:val="10"/>
                <w:color w:val="auto"/>
              </w:rPr>
            </w:pP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179,010</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Total investments</w:t>
            </w:r>
          </w:p>
        </w:tc>
        <w:tc>
          <w:tcPr>
            <w:tcW w:w="180" w:type="dxa"/>
            <w:vAlign w:val="bottom"/>
            <w:tcBorders>
              <w:bottom w:val="single" w:sz="8" w:color="auto"/>
            </w:tcBorders>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514,360</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26</w:t>
            </w:r>
          </w:p>
        </w:tc>
        <w:tc>
          <w:tcPr>
            <w:tcW w:w="22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(8,720)</w:t>
            </w:r>
          </w:p>
        </w:tc>
        <w:tc>
          <w:tcPr>
            <w:tcW w:w="220" w:type="dxa"/>
            <w:vAlign w:val="bottom"/>
          </w:tcPr>
          <w:p>
            <w:pPr>
              <w:spacing w:after="0"/>
              <w:rPr>
                <w:sz w:val="10"/>
                <w:szCs w:val="10"/>
                <w:color w:val="auto"/>
              </w:rPr>
            </w:pPr>
          </w:p>
        </w:tc>
        <w:tc>
          <w:tcPr>
            <w:tcW w:w="160" w:type="dxa"/>
            <w:vAlign w:val="bottom"/>
            <w:tcBorders>
              <w:bottom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(335)</w:t>
            </w:r>
          </w:p>
        </w:tc>
        <w:tc>
          <w:tcPr>
            <w:tcW w:w="220" w:type="dxa"/>
            <w:vAlign w:val="bottom"/>
          </w:tcPr>
          <w:p>
            <w:pPr>
              <w:spacing w:after="0"/>
              <w:rPr>
                <w:sz w:val="10"/>
                <w:szCs w:val="10"/>
                <w:color w:val="auto"/>
              </w:rPr>
            </w:pPr>
          </w:p>
        </w:tc>
        <w:tc>
          <w:tcPr>
            <w:tcW w:w="1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505,331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5220" w:type="dxa"/>
            <w:vAlign w:val="bottom"/>
            <w:gridSpan w:val="2"/>
          </w:tcPr>
          <w:p>
            <w:pPr>
              <w:ind w:left="216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5120" w:type="dxa"/>
            <w:vAlign w:val="bottom"/>
            <w:tcBorders>
              <w:top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Short-term investments:</w:t>
            </w:r>
          </w:p>
        </w:tc>
        <w:tc>
          <w:tcPr>
            <w:tcW w:w="10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9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86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Available-for-sale securities:</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Corporate debt securities</w:t>
            </w:r>
          </w:p>
        </w:tc>
        <w:tc>
          <w:tcPr>
            <w:tcW w:w="180" w:type="dxa"/>
            <w:vAlign w:val="bottom"/>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85,201</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177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(39)</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85,339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2"/>
                <w:szCs w:val="12"/>
                <w:color w:val="auto"/>
              </w:rPr>
              <w:t>U.S. government and agency debt securities</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45,349</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(24)</w:t>
            </w:r>
          </w:p>
        </w:tc>
        <w:tc>
          <w:tcPr>
            <w:tcW w:w="160" w:type="dxa"/>
            <w:vAlign w:val="bottom"/>
          </w:tcPr>
          <w:p>
            <w:pPr>
              <w:spacing w:after="0"/>
              <w:rPr>
                <w:sz w:val="10"/>
                <w:szCs w:val="10"/>
                <w:color w:val="auto"/>
              </w:rPr>
            </w:pPr>
          </w:p>
        </w:tc>
        <w:tc>
          <w:tcPr>
            <w:tcW w:w="10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45,360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Non-U.S. government debt securities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68,046</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(53)</w:t>
            </w:r>
          </w:p>
        </w:tc>
        <w:tc>
          <w:tcPr>
            <w:tcW w:w="16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68,068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CFF0FC"/>
            </w:tcBorders>
            <w:gridSpan w:val="2"/>
          </w:tcPr>
          <w:p>
            <w:pPr>
              <w:ind w:left="320"/>
              <w:spacing w:after="0" w:line="115" w:lineRule="exact"/>
              <w:rPr>
                <w:sz w:val="20"/>
                <w:szCs w:val="20"/>
                <w:color w:val="auto"/>
              </w:rPr>
            </w:pPr>
            <w:r>
              <w:rPr>
                <w:rFonts w:ascii="Times New Roman" w:cs="Times New Roman" w:eastAsia="Times New Roman" w:hAnsi="Times New Roman"/>
                <w:sz w:val="12"/>
                <w:szCs w:val="12"/>
                <w:color w:val="auto"/>
              </w:rPr>
              <w:t>Total short-term investments</w:t>
            </w: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198,596</w:t>
            </w:r>
          </w:p>
        </w:tc>
        <w:tc>
          <w:tcPr>
            <w:tcW w:w="220" w:type="dxa"/>
            <w:vAlign w:val="bottom"/>
            <w:tcBorders>
              <w:bottom w:val="single" w:sz="8" w:color="CFF0FC"/>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287</w:t>
            </w:r>
          </w:p>
        </w:tc>
        <w:tc>
          <w:tcPr>
            <w:tcW w:w="220" w:type="dxa"/>
            <w:vAlign w:val="bottom"/>
            <w:tcBorders>
              <w:bottom w:val="single" w:sz="8" w:color="CFF0FC"/>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(116)</w:t>
            </w:r>
          </w:p>
        </w:tc>
        <w:tc>
          <w:tcPr>
            <w:tcW w:w="220" w:type="dxa"/>
            <w:vAlign w:val="bottom"/>
            <w:tcBorders>
              <w:bottom w:val="single" w:sz="8" w:color="CFF0FC"/>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198,767</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2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Long-term investments: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2"/>
                <w:szCs w:val="12"/>
                <w:color w:val="auto"/>
              </w:rPr>
              <w:t>Available-for-sale securities:</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Corporate debt securities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111,793</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(654)</w:t>
            </w:r>
          </w:p>
        </w:tc>
        <w:tc>
          <w:tcPr>
            <w:tcW w:w="16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111,139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2"/>
                <w:szCs w:val="12"/>
                <w:color w:val="auto"/>
              </w:rPr>
              <w:t>U.S. government and agency debt securities</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81,296</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1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(517)</w:t>
            </w:r>
          </w:p>
        </w:tc>
        <w:tc>
          <w:tcPr>
            <w:tcW w:w="160" w:type="dxa"/>
            <w:vAlign w:val="bottom"/>
          </w:tcPr>
          <w:p>
            <w:pPr>
              <w:spacing w:after="0"/>
              <w:rPr>
                <w:sz w:val="10"/>
                <w:szCs w:val="10"/>
                <w:color w:val="auto"/>
              </w:rPr>
            </w:pPr>
          </w:p>
        </w:tc>
        <w:tc>
          <w:tcPr>
            <w:tcW w:w="10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80,779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Non-U.S. government debt securities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35,902</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(210)</w:t>
            </w:r>
          </w:p>
        </w:tc>
        <w:tc>
          <w:tcPr>
            <w:tcW w:w="160" w:type="dxa"/>
            <w:vAlign w:val="bottom"/>
            <w:shd w:val="clear" w:color="auto" w:fill="CFF0FC"/>
          </w:tcPr>
          <w:p>
            <w:pPr>
              <w:spacing w:after="0"/>
              <w:rPr>
                <w:sz w:val="10"/>
                <w:szCs w:val="10"/>
                <w:color w:val="auto"/>
              </w:rPr>
            </w:pPr>
          </w:p>
        </w:tc>
        <w:tc>
          <w:tcPr>
            <w:tcW w:w="108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35,692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228,991</w:t>
            </w:r>
          </w:p>
        </w:tc>
        <w:tc>
          <w:tcPr>
            <w:tcW w:w="220" w:type="dxa"/>
            <w:vAlign w:val="bottom"/>
            <w:tcBorders>
              <w:bottom w:val="single" w:sz="8" w:color="CFF0FC"/>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(1,381)</w:t>
            </w:r>
          </w:p>
        </w:tc>
        <w:tc>
          <w:tcPr>
            <w:tcW w:w="220" w:type="dxa"/>
            <w:vAlign w:val="bottom"/>
            <w:tcBorders>
              <w:bottom w:val="single" w:sz="8" w:color="CFF0FC"/>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227,610</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20" w:type="dxa"/>
            <w:vAlign w:val="bottom"/>
            <w:gridSpan w:val="2"/>
            <w:shd w:val="clear" w:color="auto" w:fill="CFF0FC"/>
          </w:tcPr>
          <w:p>
            <w:pPr>
              <w:ind w:left="160"/>
              <w:spacing w:after="0" w:line="115" w:lineRule="exact"/>
              <w:rPr>
                <w:sz w:val="20"/>
                <w:szCs w:val="20"/>
                <w:color w:val="auto"/>
              </w:rPr>
            </w:pPr>
            <w:r>
              <w:rPr>
                <w:rFonts w:ascii="Times New Roman" w:cs="Times New Roman" w:eastAsia="Times New Roman" w:hAnsi="Times New Roman"/>
                <w:sz w:val="12"/>
                <w:szCs w:val="12"/>
                <w:color w:val="auto"/>
              </w:rPr>
              <w:t>Held-to-maturity securities:</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gridSpan w:val="2"/>
          </w:tcPr>
          <w:p>
            <w:pPr>
              <w:ind w:left="240"/>
              <w:spacing w:after="0" w:line="126" w:lineRule="exact"/>
              <w:rPr>
                <w:sz w:val="20"/>
                <w:szCs w:val="20"/>
                <w:color w:val="auto"/>
              </w:rPr>
            </w:pPr>
            <w:r>
              <w:rPr>
                <w:rFonts w:ascii="Times New Roman" w:cs="Times New Roman" w:eastAsia="Times New Roman" w:hAnsi="Times New Roman"/>
                <w:sz w:val="12"/>
                <w:szCs w:val="12"/>
                <w:color w:val="auto"/>
              </w:rPr>
              <w:t>Certificates of deposit</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1,820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1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108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20" w:type="dxa"/>
            <w:vAlign w:val="bottom"/>
            <w:tcBorders>
              <w:top w:val="single" w:sz="8" w:color="CFF0FC"/>
            </w:tcBorders>
            <w:gridSpan w:val="2"/>
            <w:shd w:val="clear" w:color="auto" w:fill="CFF0FC"/>
          </w:tcPr>
          <w:p>
            <w:pPr>
              <w:ind w:left="320"/>
              <w:spacing w:after="0" w:line="115" w:lineRule="exact"/>
              <w:rPr>
                <w:sz w:val="20"/>
                <w:szCs w:val="20"/>
                <w:color w:val="auto"/>
              </w:rPr>
            </w:pPr>
            <w:r>
              <w:rPr>
                <w:rFonts w:ascii="Times New Roman" w:cs="Times New Roman" w:eastAsia="Times New Roman" w:hAnsi="Times New Roman"/>
                <w:sz w:val="12"/>
                <w:szCs w:val="12"/>
                <w:color w:val="auto"/>
              </w:rPr>
              <w:t>Total long-term investments</w:t>
            </w:r>
          </w:p>
        </w:tc>
        <w:tc>
          <w:tcPr>
            <w:tcW w:w="180" w:type="dxa"/>
            <w:vAlign w:val="bottom"/>
            <w:tcBorders>
              <w:top w:val="single" w:sz="8" w:color="auto"/>
              <w:bottom w:val="single" w:sz="8" w:color="auto"/>
            </w:tcBorders>
            <w:shd w:val="clear" w:color="auto" w:fill="CFF0FC"/>
          </w:tcPr>
          <w:p>
            <w:pPr>
              <w:spacing w:after="0"/>
              <w:rPr>
                <w:sz w:val="10"/>
                <w:szCs w:val="10"/>
                <w:color w:val="auto"/>
              </w:rPr>
            </w:pP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230,811</w:t>
            </w: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spacing w:after="0"/>
              <w:rPr>
                <w:sz w:val="10"/>
                <w:szCs w:val="10"/>
                <w:color w:val="auto"/>
              </w:rPr>
            </w:pP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spacing w:after="0"/>
              <w:rPr>
                <w:sz w:val="10"/>
                <w:szCs w:val="10"/>
                <w:color w:val="auto"/>
              </w:rPr>
            </w:pP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(1,381)</w:t>
            </w: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bottom w:val="single" w:sz="8" w:color="auto"/>
            </w:tcBorders>
            <w:shd w:val="clear" w:color="auto" w:fill="CFF0FC"/>
          </w:tcPr>
          <w:p>
            <w:pPr>
              <w:spacing w:after="0"/>
              <w:rPr>
                <w:sz w:val="10"/>
                <w:szCs w:val="10"/>
                <w:color w:val="auto"/>
              </w:rPr>
            </w:pP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bottom w:val="single" w:sz="8" w:color="auto"/>
            </w:tcBorders>
            <w:shd w:val="clear" w:color="auto" w:fill="CFF0FC"/>
          </w:tcPr>
          <w:p>
            <w:pPr>
              <w:spacing w:after="0"/>
              <w:rPr>
                <w:sz w:val="10"/>
                <w:szCs w:val="10"/>
                <w:color w:val="auto"/>
              </w:rPr>
            </w:pP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229,430</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Total investments</w:t>
            </w:r>
          </w:p>
        </w:tc>
        <w:tc>
          <w:tcPr>
            <w:tcW w:w="180" w:type="dxa"/>
            <w:vAlign w:val="bottom"/>
            <w:tcBorders>
              <w:bottom w:val="single" w:sz="8" w:color="auto"/>
            </w:tcBorders>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429,407</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287</w:t>
            </w:r>
          </w:p>
        </w:tc>
        <w:tc>
          <w:tcPr>
            <w:tcW w:w="22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(1,497)</w:t>
            </w:r>
          </w:p>
        </w:tc>
        <w:tc>
          <w:tcPr>
            <w:tcW w:w="220" w:type="dxa"/>
            <w:vAlign w:val="bottom"/>
          </w:tcPr>
          <w:p>
            <w:pPr>
              <w:spacing w:after="0"/>
              <w:rPr>
                <w:sz w:val="10"/>
                <w:szCs w:val="10"/>
                <w:color w:val="auto"/>
              </w:rPr>
            </w:pPr>
          </w:p>
        </w:tc>
        <w:tc>
          <w:tcPr>
            <w:tcW w:w="160" w:type="dxa"/>
            <w:vAlign w:val="bottom"/>
            <w:tcBorders>
              <w:bottom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1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428,197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20" w:firstLine="306"/>
        <w:spacing w:after="0" w:line="257" w:lineRule="auto"/>
        <w:rPr>
          <w:sz w:val="20"/>
          <w:szCs w:val="20"/>
          <w:color w:val="auto"/>
        </w:rPr>
      </w:pPr>
      <w:r>
        <w:rPr>
          <w:rFonts w:ascii="Times New Roman" w:cs="Times New Roman" w:eastAsia="Times New Roman" w:hAnsi="Times New Roman"/>
          <w:sz w:val="12"/>
          <w:szCs w:val="12"/>
          <w:color w:val="auto"/>
        </w:rPr>
        <w:t>At June 30, 2022, the Company reviewed its investment portfolio to assess whether the unrealized losses on its available-for-sale investments were temporary. Investments with unrealized losses consisted primarily of corporate debt securities and debt securities issued and backed by U.S. agencies and the U.S. government. At June 30, 2022, the aggregate estimated fair value of investments in an unrealized loss position was $492.1 million. The Company has the intent and ability to hold these investments until recovery, which may be at maturity.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During the three months ended June 30, 2021, the Company determined there was an other-than-temporary loss of $0.9 million that was recorded within “Other income (expense), net” in the accompanying condensed consolidated statements of operations and comprehensive (loss) income.</w:t>
      </w:r>
    </w:p>
    <w:p>
      <w:pPr>
        <w:spacing w:after="0" w:line="125" w:lineRule="exact"/>
        <w:rPr>
          <w:sz w:val="20"/>
          <w:szCs w:val="20"/>
          <w:color w:val="auto"/>
        </w:rPr>
      </w:pPr>
    </w:p>
    <w:p>
      <w:pPr>
        <w:ind w:right="260" w:firstLine="306"/>
        <w:spacing w:after="0" w:line="279" w:lineRule="auto"/>
        <w:rPr>
          <w:sz w:val="20"/>
          <w:szCs w:val="20"/>
          <w:color w:val="auto"/>
        </w:rPr>
      </w:pPr>
      <w:r>
        <w:rPr>
          <w:rFonts w:ascii="Times New Roman" w:cs="Times New Roman" w:eastAsia="Times New Roman" w:hAnsi="Times New Roman"/>
          <w:sz w:val="12"/>
          <w:szCs w:val="12"/>
          <w:color w:val="auto"/>
        </w:rPr>
        <w:t>In January 2022, the Company purchased a convertible promissory note in the principal amount of $0.5 million from Synchronicity Pharma, Inc. (“Synchronicity”), a related party, that matures on the earlier of September 30, 2022, the closing of a preferred equity financing, the closing of a merger, business combination or sale of stock resulting 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Synchronicity’s stockholders owning less than 50% of the surviving entity, or an event of default. The convertible promissory note was classified as an available-for-sale corporate debt instrument.</w:t>
      </w:r>
    </w:p>
    <w:p>
      <w:pPr>
        <w:spacing w:after="0" w:line="150" w:lineRule="exact"/>
        <w:rPr>
          <w:sz w:val="20"/>
          <w:szCs w:val="20"/>
          <w:color w:val="auto"/>
        </w:rPr>
      </w:pPr>
    </w:p>
    <w:p>
      <w:pPr>
        <w:ind w:right="80" w:firstLine="306"/>
        <w:spacing w:after="0" w:line="265" w:lineRule="auto"/>
        <w:rPr>
          <w:sz w:val="20"/>
          <w:szCs w:val="20"/>
          <w:color w:val="auto"/>
        </w:rPr>
      </w:pPr>
      <w:r>
        <w:rPr>
          <w:rFonts w:ascii="Times New Roman" w:cs="Times New Roman" w:eastAsia="Times New Roman" w:hAnsi="Times New Roman"/>
          <w:sz w:val="12"/>
          <w:szCs w:val="12"/>
          <w:color w:val="auto"/>
        </w:rPr>
        <w:t>In May 2014, the Company entered into an agreement to invest in a partnership, Fountain Healthcare Partners II, L.P. of Ireland (“Fountain”), which was created to carry on the business of investing exclusively in companies and businesses engaged in the healthcare, pharmaceutical and life sciences sectors. As of June 30, 2022, the Company’s total contribution in Fountain was equal to €8.0 million, and its commitment represented approximately 7% of the partnership’s total funding. The Company is accounting for its investment in Fountain under the equity method.</w:t>
      </w:r>
    </w:p>
    <w:p>
      <w:pPr>
        <w:spacing w:after="0" w:line="119" w:lineRule="exact"/>
        <w:rPr>
          <w:sz w:val="20"/>
          <w:szCs w:val="20"/>
          <w:color w:val="auto"/>
        </w:rPr>
      </w:pPr>
    </w:p>
    <w:p>
      <w:pPr>
        <w:ind w:right="40" w:firstLine="306"/>
        <w:spacing w:after="0" w:line="257" w:lineRule="auto"/>
        <w:rPr>
          <w:sz w:val="20"/>
          <w:szCs w:val="20"/>
          <w:color w:val="auto"/>
        </w:rPr>
      </w:pPr>
      <w:r>
        <w:rPr>
          <w:rFonts w:ascii="Times New Roman" w:cs="Times New Roman" w:eastAsia="Times New Roman" w:hAnsi="Times New Roman"/>
          <w:sz w:val="12"/>
          <w:szCs w:val="12"/>
          <w:color w:val="auto"/>
        </w:rPr>
        <w:t>During the three months ended March 31, 2022, one of the companies within the Fountain portfolio was acquired by a third party. The Company’s proportional share of the proceeds from this transaction was $1.1 million, of which $1.0 million was received during the three months ended March 31, 2022 and the remaining $0.1 million is being held in escrow until May 2023. The transaction was accounted for under the cumulative earnings approach whereby the return on investment of $0.6 million was recorded as a gain within “Other income (expense), net” in the accompanying condensed consolidated statements of operations and comprehensive (loss) income and the return of investment of $0.5 million was recorded as a reduction in the Company’s net investment in Fountain. The Company’s net investment in Fountain was $6.7 million and $6.1 million at June 30, 2022 and December 31, 2021, respectively, and was included within “Other assets” in the accompanying condensed consolidated balance sheets.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During the three and six months ended June 30, 2022, the Company recorded an increase of $1.1 million in its investment in Fountain, which represented the Company’s proportional share of Fountain’s net gains.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Realized gains and losses on the sales and maturities of investments, which were identified using the specific identification method,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7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2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0" w:type="dxa"/>
            <w:vAlign w:val="bottom"/>
          </w:tcPr>
          <w:p>
            <w:pPr>
              <w:spacing w:after="0"/>
              <w:rPr>
                <w:sz w:val="1"/>
                <w:szCs w:val="1"/>
                <w:color w:val="auto"/>
              </w:rPr>
            </w:pPr>
          </w:p>
        </w:tc>
      </w:tr>
      <w:tr>
        <w:trPr>
          <w:trHeight w:val="97"/>
        </w:trPr>
        <w:tc>
          <w:tcPr>
            <w:tcW w:w="7760" w:type="dxa"/>
            <w:vAlign w:val="bottom"/>
            <w:vMerge w:val="continue"/>
          </w:tcPr>
          <w:p>
            <w:pPr>
              <w:spacing w:after="0"/>
              <w:rPr>
                <w:sz w:val="8"/>
                <w:szCs w:val="8"/>
                <w:color w:val="auto"/>
              </w:rPr>
            </w:pPr>
          </w:p>
        </w:tc>
        <w:tc>
          <w:tcPr>
            <w:tcW w:w="1020" w:type="dxa"/>
            <w:vAlign w:val="bottom"/>
          </w:tcPr>
          <w:p>
            <w:pPr>
              <w:jc w:val="right"/>
              <w:ind w:right="92"/>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0" w:type="dxa"/>
            <w:vAlign w:val="bottom"/>
          </w:tcPr>
          <w:p>
            <w:pPr>
              <w:jc w:val="right"/>
              <w:ind w:right="65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Proceeds from the sales and maturities of investments</w:t>
            </w:r>
          </w:p>
        </w:tc>
        <w:tc>
          <w:tcPr>
            <w:tcW w:w="620" w:type="dxa"/>
            <w:vAlign w:val="bottom"/>
            <w:tcBorders>
              <w:top w:val="single" w:sz="8" w:color="auto"/>
            </w:tcBorders>
            <w:shd w:val="clear" w:color="auto" w:fill="CFF0FC"/>
          </w:tcPr>
          <w:p>
            <w:pPr>
              <w:jc w:val="right"/>
              <w:ind w:right="5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109,925</w:t>
            </w:r>
          </w:p>
        </w:tc>
        <w:tc>
          <w:tcPr>
            <w:tcW w:w="30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ind w:right="4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175,499</w:t>
            </w:r>
          </w:p>
        </w:tc>
        <w:tc>
          <w:tcPr>
            <w:tcW w:w="120" w:type="dxa"/>
            <w:vAlign w:val="bottom"/>
            <w:tcBorders>
              <w:top w:val="single" w:sz="8" w:color="CFF0FC"/>
            </w:tcBorders>
            <w:shd w:val="clear" w:color="auto" w:fill="CFF0FC"/>
          </w:tcPr>
          <w:p>
            <w:pPr>
              <w:spacing w:after="0"/>
              <w:rPr>
                <w:sz w:val="10"/>
                <w:szCs w:val="10"/>
                <w:color w:val="auto"/>
              </w:rPr>
            </w:pPr>
          </w:p>
        </w:tc>
      </w:tr>
      <w:tr>
        <w:trPr>
          <w:trHeight w:val="126"/>
        </w:trPr>
        <w:tc>
          <w:tcPr>
            <w:tcW w:w="77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Realized gains</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3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7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Realized losses</w:t>
            </w:r>
          </w:p>
        </w:tc>
        <w:tc>
          <w:tcPr>
            <w:tcW w:w="620" w:type="dxa"/>
            <w:vAlign w:val="bottom"/>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3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977</w:t>
            </w:r>
          </w:p>
        </w:tc>
        <w:tc>
          <w:tcPr>
            <w:tcW w:w="120" w:type="dxa"/>
            <w:vAlign w:val="bottom"/>
            <w:shd w:val="clear" w:color="auto" w:fill="CFF0FC"/>
          </w:tcPr>
          <w:p>
            <w:pPr>
              <w:spacing w:after="0"/>
              <w:rPr>
                <w:sz w:val="10"/>
                <w:szCs w:val="10"/>
                <w:color w:val="auto"/>
              </w:rPr>
            </w:pPr>
          </w:p>
        </w:tc>
      </w:tr>
    </w:tbl>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Company’s available-for-sale and held-to-maturity securities at June 30, 2022 had contractual maturities in the following periods: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8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Available-for-sale</w:t>
            </w:r>
          </w:p>
        </w:tc>
        <w:tc>
          <w:tcPr>
            <w:tcW w:w="8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Held-to-maturity</w:t>
            </w: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1"/>
        </w:trPr>
        <w:tc>
          <w:tcPr>
            <w:tcW w:w="5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tcPr>
          <w:p>
            <w:pPr>
              <w:jc w:val="center"/>
              <w:ind w:right="460"/>
              <w:spacing w:after="0" w:line="81" w:lineRule="exact"/>
              <w:rPr>
                <w:sz w:val="20"/>
                <w:szCs w:val="20"/>
                <w:color w:val="auto"/>
              </w:rPr>
            </w:pPr>
            <w:r>
              <w:rPr>
                <w:rFonts w:ascii="Times New Roman" w:cs="Times New Roman" w:eastAsia="Times New Roman" w:hAnsi="Times New Roman"/>
                <w:sz w:val="8"/>
                <w:szCs w:val="8"/>
                <w:b w:val="1"/>
                <w:bCs w:val="1"/>
                <w:color w:val="auto"/>
              </w:rPr>
              <w:t>Amortized</w:t>
            </w:r>
          </w:p>
        </w:tc>
        <w:tc>
          <w:tcPr>
            <w:tcW w:w="300" w:type="dxa"/>
            <w:vAlign w:val="bottom"/>
          </w:tcPr>
          <w:p>
            <w:pPr>
              <w:spacing w:after="0"/>
              <w:rPr>
                <w:sz w:val="7"/>
                <w:szCs w:val="7"/>
                <w:color w:val="auto"/>
              </w:rPr>
            </w:pPr>
          </w:p>
        </w:tc>
        <w:tc>
          <w:tcPr>
            <w:tcW w:w="860" w:type="dxa"/>
            <w:vAlign w:val="bottom"/>
          </w:tcPr>
          <w:p>
            <w:pPr>
              <w:ind w:left="60"/>
              <w:spacing w:after="0" w:line="81" w:lineRule="exact"/>
              <w:rPr>
                <w:sz w:val="20"/>
                <w:szCs w:val="20"/>
                <w:color w:val="auto"/>
              </w:rPr>
            </w:pPr>
            <w:r>
              <w:rPr>
                <w:rFonts w:ascii="Times New Roman" w:cs="Times New Roman" w:eastAsia="Times New Roman" w:hAnsi="Times New Roman"/>
                <w:sz w:val="8"/>
                <w:szCs w:val="8"/>
                <w:b w:val="1"/>
                <w:bCs w:val="1"/>
                <w:color w:val="auto"/>
              </w:rPr>
              <w:t>Estimated</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tcPr>
          <w:p>
            <w:pPr>
              <w:jc w:val="center"/>
              <w:ind w:right="440"/>
              <w:spacing w:after="0" w:line="81" w:lineRule="exact"/>
              <w:rPr>
                <w:sz w:val="20"/>
                <w:szCs w:val="20"/>
                <w:color w:val="auto"/>
              </w:rPr>
            </w:pPr>
            <w:r>
              <w:rPr>
                <w:rFonts w:ascii="Times New Roman" w:cs="Times New Roman" w:eastAsia="Times New Roman" w:hAnsi="Times New Roman"/>
                <w:sz w:val="8"/>
                <w:szCs w:val="8"/>
                <w:b w:val="1"/>
                <w:bCs w:val="1"/>
                <w:color w:val="auto"/>
              </w:rPr>
              <w:t>Amortized</w:t>
            </w:r>
          </w:p>
        </w:tc>
        <w:tc>
          <w:tcPr>
            <w:tcW w:w="280" w:type="dxa"/>
            <w:vAlign w:val="bottom"/>
          </w:tcPr>
          <w:p>
            <w:pPr>
              <w:spacing w:after="0"/>
              <w:rPr>
                <w:sz w:val="7"/>
                <w:szCs w:val="7"/>
                <w:color w:val="auto"/>
              </w:rPr>
            </w:pPr>
          </w:p>
        </w:tc>
        <w:tc>
          <w:tcPr>
            <w:tcW w:w="860" w:type="dxa"/>
            <w:vAlign w:val="bottom"/>
          </w:tcPr>
          <w:p>
            <w:pPr>
              <w:ind w:left="80"/>
              <w:spacing w:after="0" w:line="81" w:lineRule="exact"/>
              <w:rPr>
                <w:sz w:val="20"/>
                <w:szCs w:val="20"/>
                <w:color w:val="auto"/>
              </w:rPr>
            </w:pPr>
            <w:r>
              <w:rPr>
                <w:rFonts w:ascii="Times New Roman" w:cs="Times New Roman" w:eastAsia="Times New Roman" w:hAnsi="Times New Roman"/>
                <w:sz w:val="8"/>
                <w:szCs w:val="8"/>
                <w:b w:val="1"/>
                <w:bCs w:val="1"/>
                <w:color w:val="auto"/>
              </w:rPr>
              <w:t>Estimated</w:t>
            </w:r>
          </w:p>
        </w:tc>
        <w:tc>
          <w:tcPr>
            <w:tcW w:w="120" w:type="dxa"/>
            <w:vAlign w:val="bottom"/>
          </w:tcPr>
          <w:p>
            <w:pPr>
              <w:spacing w:after="0"/>
              <w:rPr>
                <w:sz w:val="7"/>
                <w:szCs w:val="7"/>
                <w:color w:val="auto"/>
              </w:rPr>
            </w:pPr>
          </w:p>
        </w:tc>
      </w:tr>
      <w:tr>
        <w:trPr>
          <w:trHeight w:val="124"/>
        </w:trPr>
        <w:tc>
          <w:tcPr>
            <w:tcW w:w="5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30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200" w:type="dxa"/>
            <w:vAlign w:val="bottom"/>
          </w:tcPr>
          <w:p>
            <w:pPr>
              <w:spacing w:after="0"/>
              <w:rPr>
                <w:sz w:val="10"/>
                <w:szCs w:val="10"/>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280" w:type="dxa"/>
            <w:vAlign w:val="bottom"/>
          </w:tcPr>
          <w:p>
            <w:pPr>
              <w:spacing w:after="0"/>
              <w:rPr>
                <w:sz w:val="10"/>
                <w:szCs w:val="1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Fair Value</w:t>
            </w:r>
          </w:p>
        </w:tc>
      </w:tr>
      <w:tr>
        <w:trPr>
          <w:trHeight w:val="115"/>
        </w:trPr>
        <w:tc>
          <w:tcPr>
            <w:tcW w:w="586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Within 1 year</w:t>
            </w:r>
          </w:p>
        </w:tc>
        <w:tc>
          <w:tcPr>
            <w:tcW w:w="200" w:type="dxa"/>
            <w:vAlign w:val="bottom"/>
            <w:tcBorders>
              <w:top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326,560</w:t>
            </w:r>
          </w:p>
        </w:tc>
        <w:tc>
          <w:tcPr>
            <w:tcW w:w="24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323,341</w:t>
            </w:r>
          </w:p>
        </w:tc>
        <w:tc>
          <w:tcPr>
            <w:tcW w:w="24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1,820</w:t>
            </w:r>
          </w:p>
        </w:tc>
        <w:tc>
          <w:tcPr>
            <w:tcW w:w="24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1,820</w:t>
            </w:r>
          </w:p>
        </w:tc>
        <w:tc>
          <w:tcPr>
            <w:tcW w:w="120" w:type="dxa"/>
            <w:vAlign w:val="bottom"/>
            <w:tcBorders>
              <w:top w:val="single" w:sz="8" w:color="CFF0FC"/>
            </w:tcBorders>
            <w:shd w:val="clear" w:color="auto" w:fill="CFF0FC"/>
          </w:tcPr>
          <w:p>
            <w:pPr>
              <w:spacing w:after="0"/>
              <w:rPr>
                <w:sz w:val="10"/>
                <w:szCs w:val="10"/>
                <w:color w:val="auto"/>
              </w:rPr>
            </w:pPr>
          </w:p>
        </w:tc>
      </w:tr>
      <w:tr>
        <w:trPr>
          <w:trHeight w:val="126"/>
        </w:trPr>
        <w:tc>
          <w:tcPr>
            <w:tcW w:w="58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After 1 year through 5 years</w:t>
            </w:r>
          </w:p>
        </w:tc>
        <w:tc>
          <w:tcPr>
            <w:tcW w:w="20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185,980</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180,170</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0"/>
                <w:szCs w:val="10"/>
                <w:color w:val="auto"/>
              </w:rPr>
            </w:pPr>
          </w:p>
        </w:tc>
        <w:tc>
          <w:tcPr>
            <w:tcW w:w="9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2"/>
        </w:trPr>
        <w:tc>
          <w:tcPr>
            <w:tcW w:w="5860" w:type="dxa"/>
            <w:vAlign w:val="bottom"/>
            <w:tcBorders>
              <w:top w:val="single" w:sz="8" w:color="CFF0FC"/>
              <w:bottom w:val="single" w:sz="8" w:color="CFF0FC"/>
            </w:tcBorders>
            <w:shd w:val="clear" w:color="auto" w:fill="CFF0FC"/>
          </w:tcPr>
          <w:p>
            <w:pPr>
              <w:ind w:left="16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top w:val="single" w:sz="8" w:color="auto"/>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512,540</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300" w:type="dxa"/>
            <w:vAlign w:val="bottom"/>
            <w:tcBorders>
              <w:top w:val="single" w:sz="8" w:color="auto"/>
              <w:bottom w:val="single" w:sz="8" w:color="auto"/>
            </w:tcBorders>
            <w:shd w:val="clear" w:color="auto" w:fill="CFF0FC"/>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503,511</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1,820</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280" w:type="dxa"/>
            <w:vAlign w:val="bottom"/>
            <w:tcBorders>
              <w:top w:val="single" w:sz="8" w:color="auto"/>
              <w:bottom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1,820</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FAIR VALUE</w:t>
      </w:r>
    </w:p>
    <w:p>
      <w:pPr>
        <w:spacing w:after="0" w:line="127" w:lineRule="exact"/>
        <w:rPr>
          <w:sz w:val="20"/>
          <w:szCs w:val="20"/>
          <w:color w:val="auto"/>
        </w:rPr>
      </w:pPr>
    </w:p>
    <w:p>
      <w:pPr>
        <w:ind w:right="60" w:firstLine="306"/>
        <w:spacing w:after="0" w:line="279" w:lineRule="auto"/>
        <w:rPr>
          <w:sz w:val="20"/>
          <w:szCs w:val="20"/>
          <w:color w:val="auto"/>
        </w:rPr>
      </w:pPr>
      <w:r>
        <w:rPr>
          <w:rFonts w:ascii="Times New Roman" w:cs="Times New Roman" w:eastAsia="Times New Roman" w:hAnsi="Times New Roman"/>
          <w:sz w:val="12"/>
          <w:szCs w:val="12"/>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9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40" w:type="dxa"/>
            <w:vAlign w:val="bottom"/>
          </w:tcPr>
          <w:p>
            <w:pPr>
              <w:spacing w:after="0"/>
              <w:rPr>
                <w:sz w:val="10"/>
                <w:szCs w:val="10"/>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240" w:type="dxa"/>
            <w:vAlign w:val="bottom"/>
          </w:tcPr>
          <w:p>
            <w:pPr>
              <w:spacing w:after="0"/>
              <w:rPr>
                <w:sz w:val="10"/>
                <w:szCs w:val="1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Level 3</w:t>
            </w:r>
          </w:p>
        </w:tc>
      </w:tr>
      <w:tr>
        <w:trPr>
          <w:trHeight w:val="115"/>
        </w:trPr>
        <w:tc>
          <w:tcPr>
            <w:tcW w:w="392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Assets:</w:t>
            </w:r>
          </w:p>
        </w:tc>
        <w:tc>
          <w:tcPr>
            <w:tcW w:w="194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26"/>
        </w:trPr>
        <w:tc>
          <w:tcPr>
            <w:tcW w:w="39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Cash equivalents</w:t>
            </w:r>
          </w:p>
        </w:tc>
        <w:tc>
          <w:tcPr>
            <w:tcW w:w="2160" w:type="dxa"/>
            <w:vAlign w:val="bottom"/>
            <w:gridSpan w:val="2"/>
          </w:tcPr>
          <w:p>
            <w:pPr>
              <w:jc w:val="right"/>
              <w:ind w:right="106"/>
              <w:spacing w:after="0" w:line="126"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14,980</w:t>
            </w:r>
          </w:p>
        </w:tc>
        <w:tc>
          <w:tcPr>
            <w:tcW w:w="240" w:type="dxa"/>
            <w:vAlign w:val="bottom"/>
          </w:tcPr>
          <w:p>
            <w:pPr>
              <w:spacing w:after="0"/>
              <w:rPr>
                <w:sz w:val="10"/>
                <w:szCs w:val="10"/>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14,980</w:t>
            </w:r>
          </w:p>
        </w:tc>
        <w:tc>
          <w:tcPr>
            <w:tcW w:w="240" w:type="dxa"/>
            <w:vAlign w:val="bottom"/>
          </w:tcPr>
          <w:p>
            <w:pPr>
              <w:spacing w:after="0"/>
              <w:rPr>
                <w:sz w:val="10"/>
                <w:szCs w:val="10"/>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39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U.S. government and agency debt securities</w:t>
            </w:r>
          </w:p>
        </w:tc>
        <w:tc>
          <w:tcPr>
            <w:tcW w:w="1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187,643</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153,482</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34,161</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39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Corporate debt securities</w:t>
            </w: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236,537</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236,037</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spacing w:after="0"/>
              <w:rPr>
                <w:sz w:val="10"/>
                <w:szCs w:val="10"/>
                <w:color w:val="auto"/>
              </w:rPr>
            </w:pPr>
          </w:p>
        </w:tc>
      </w:tr>
      <w:tr>
        <w:trPr>
          <w:trHeight w:val="126"/>
        </w:trPr>
        <w:tc>
          <w:tcPr>
            <w:tcW w:w="392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Non-U.S. government debt securities</w:t>
            </w:r>
          </w:p>
        </w:tc>
        <w:tc>
          <w:tcPr>
            <w:tcW w:w="1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79,331</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79,331</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39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Contingent consideration</w:t>
            </w: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3,779</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11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3,779</w:t>
            </w:r>
          </w:p>
        </w:tc>
        <w:tc>
          <w:tcPr>
            <w:tcW w:w="120" w:type="dxa"/>
            <w:vAlign w:val="bottom"/>
          </w:tcPr>
          <w:p>
            <w:pPr>
              <w:spacing w:after="0"/>
              <w:rPr>
                <w:sz w:val="10"/>
                <w:szCs w:val="10"/>
                <w:color w:val="auto"/>
              </w:rPr>
            </w:pPr>
          </w:p>
        </w:tc>
      </w:tr>
      <w:tr>
        <w:trPr>
          <w:trHeight w:val="135"/>
        </w:trPr>
        <w:tc>
          <w:tcPr>
            <w:tcW w:w="3920" w:type="dxa"/>
            <w:vAlign w:val="bottom"/>
            <w:tcBorders>
              <w:top w:val="single" w:sz="8" w:color="CFF0FC"/>
              <w:bottom w:val="single" w:sz="8" w:color="CFF0FC"/>
            </w:tcBorders>
            <w:shd w:val="clear" w:color="auto" w:fill="CFF0FC"/>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1940" w:type="dxa"/>
            <w:vAlign w:val="bottom"/>
            <w:tcBorders>
              <w:top w:val="single" w:sz="8" w:color="CFF0FC"/>
              <w:bottom w:val="single" w:sz="8" w:color="CFF0FC"/>
            </w:tcBorders>
            <w:shd w:val="clear" w:color="auto" w:fill="CFF0FC"/>
          </w:tcPr>
          <w:p>
            <w:pPr>
              <w:spacing w:after="0"/>
              <w:rPr>
                <w:sz w:val="11"/>
                <w:szCs w:val="11"/>
                <w:color w:val="auto"/>
              </w:rPr>
            </w:pPr>
          </w:p>
        </w:tc>
        <w:tc>
          <w:tcPr>
            <w:tcW w:w="220" w:type="dxa"/>
            <w:vAlign w:val="bottom"/>
            <w:tcBorders>
              <w:top w:val="single" w:sz="8" w:color="auto"/>
              <w:bottom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522,270</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168,462</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349,529</w:t>
            </w:r>
          </w:p>
        </w:tc>
        <w:tc>
          <w:tcPr>
            <w:tcW w:w="240" w:type="dxa"/>
            <w:vAlign w:val="bottom"/>
            <w:tcBorders>
              <w:top w:val="single" w:sz="8" w:color="CFF0FC"/>
              <w:bottom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4,279</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r>
      <w:tr>
        <w:trPr>
          <w:trHeight w:val="419"/>
        </w:trPr>
        <w:tc>
          <w:tcPr>
            <w:tcW w:w="3920" w:type="dxa"/>
            <w:vAlign w:val="bottom"/>
          </w:tcPr>
          <w:p>
            <w:pPr>
              <w:spacing w:after="0"/>
              <w:rPr>
                <w:sz w:val="24"/>
                <w:szCs w:val="24"/>
                <w:color w:val="auto"/>
              </w:rPr>
            </w:pPr>
          </w:p>
        </w:tc>
        <w:tc>
          <w:tcPr>
            <w:tcW w:w="19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392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5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40" w:type="dxa"/>
            <w:vAlign w:val="bottom"/>
          </w:tcPr>
          <w:p>
            <w:pPr>
              <w:spacing w:after="0"/>
              <w:rPr>
                <w:sz w:val="10"/>
                <w:szCs w:val="10"/>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240" w:type="dxa"/>
            <w:vAlign w:val="bottom"/>
          </w:tcPr>
          <w:p>
            <w:pPr>
              <w:spacing w:after="0"/>
              <w:rPr>
                <w:sz w:val="10"/>
                <w:szCs w:val="1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Level 3</w:t>
            </w:r>
          </w:p>
        </w:tc>
      </w:tr>
      <w:tr>
        <w:trPr>
          <w:trHeight w:val="115"/>
        </w:trPr>
        <w:tc>
          <w:tcPr>
            <w:tcW w:w="586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Assets:</w:t>
            </w:r>
          </w:p>
        </w:tc>
        <w:tc>
          <w:tcPr>
            <w:tcW w:w="180" w:type="dxa"/>
            <w:vAlign w:val="bottom"/>
            <w:tcBorders>
              <w:top w:val="single" w:sz="8" w:color="auto"/>
            </w:tcBorders>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26"/>
        </w:trPr>
        <w:tc>
          <w:tcPr>
            <w:tcW w:w="58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U.S. government and agency debt securities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126,139</w:t>
            </w:r>
          </w:p>
        </w:tc>
        <w:tc>
          <w:tcPr>
            <w:tcW w:w="240" w:type="dxa"/>
            <w:vAlign w:val="bottom"/>
          </w:tcPr>
          <w:p>
            <w:pPr>
              <w:spacing w:after="0"/>
              <w:rPr>
                <w:sz w:val="10"/>
                <w:szCs w:val="10"/>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96,597</w:t>
            </w:r>
          </w:p>
        </w:tc>
        <w:tc>
          <w:tcPr>
            <w:tcW w:w="240" w:type="dxa"/>
            <w:vAlign w:val="bottom"/>
          </w:tcPr>
          <w:p>
            <w:pPr>
              <w:spacing w:after="0"/>
              <w:rPr>
                <w:sz w:val="10"/>
                <w:szCs w:val="10"/>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29,542</w:t>
            </w:r>
          </w:p>
        </w:tc>
        <w:tc>
          <w:tcPr>
            <w:tcW w:w="240" w:type="dxa"/>
            <w:vAlign w:val="bottom"/>
          </w:tcPr>
          <w:p>
            <w:pPr>
              <w:spacing w:after="0"/>
              <w:rPr>
                <w:sz w:val="10"/>
                <w:szCs w:val="10"/>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58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Corporate debt securities</w:t>
            </w: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196,478</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0"/>
                <w:szCs w:val="10"/>
                <w:color w:val="auto"/>
              </w:rPr>
            </w:pPr>
          </w:p>
        </w:tc>
        <w:tc>
          <w:tcPr>
            <w:tcW w:w="9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196,478</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58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Non-U.S. government debt securities</w:t>
            </w:r>
          </w:p>
        </w:tc>
        <w:tc>
          <w:tcPr>
            <w:tcW w:w="18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103,760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103,760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58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Contingent consideration</w:t>
            </w: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23,048</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23,048</w:t>
            </w:r>
          </w:p>
        </w:tc>
        <w:tc>
          <w:tcPr>
            <w:tcW w:w="120" w:type="dxa"/>
            <w:vAlign w:val="bottom"/>
            <w:shd w:val="clear" w:color="auto" w:fill="CFF0FC"/>
          </w:tcPr>
          <w:p>
            <w:pPr>
              <w:spacing w:after="0"/>
              <w:rPr>
                <w:sz w:val="10"/>
                <w:szCs w:val="10"/>
                <w:color w:val="auto"/>
              </w:rPr>
            </w:pPr>
          </w:p>
        </w:tc>
      </w:tr>
      <w:tr>
        <w:trPr>
          <w:trHeight w:val="122"/>
        </w:trPr>
        <w:tc>
          <w:tcPr>
            <w:tcW w:w="5860" w:type="dxa"/>
            <w:vAlign w:val="bottom"/>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top w:val="single" w:sz="8" w:color="auto"/>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449,425</w:t>
            </w:r>
          </w:p>
        </w:tc>
        <w:tc>
          <w:tcPr>
            <w:tcW w:w="24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96,597</w:t>
            </w:r>
          </w:p>
        </w:tc>
        <w:tc>
          <w:tcPr>
            <w:tcW w:w="24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329,780</w:t>
            </w:r>
          </w:p>
        </w:tc>
        <w:tc>
          <w:tcPr>
            <w:tcW w:w="24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23,048</w:t>
            </w:r>
          </w:p>
        </w:tc>
        <w:tc>
          <w:tcPr>
            <w:tcW w:w="120" w:type="dxa"/>
            <w:vAlign w:val="bottom"/>
          </w:tcPr>
          <w:p>
            <w:pPr>
              <w:spacing w:after="0"/>
              <w:rPr>
                <w:sz w:val="10"/>
                <w:szCs w:val="10"/>
                <w:color w:val="auto"/>
              </w:rPr>
            </w:pPr>
          </w:p>
        </w:tc>
      </w:tr>
    </w:tbl>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transfers its financial assets and liabilities, measured at fair value on a recurring basis, between the fair value hierarchies at the end of each reporting period.</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There were no transfers of any securities between levels during the six months ended June 30, 2022. The following table is a rollforward of the fair value of the Company’s investments with fair values that were determined using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 3 inputs at June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4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Pr>
          <w:p>
            <w:pPr>
              <w:spacing w:after="0"/>
              <w:rPr>
                <w:sz w:val="10"/>
                <w:szCs w:val="10"/>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Fair Value</w:t>
            </w:r>
          </w:p>
        </w:tc>
      </w:tr>
      <w:tr>
        <w:trPr>
          <w:trHeight w:val="115"/>
        </w:trPr>
        <w:tc>
          <w:tcPr>
            <w:tcW w:w="940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Balance, January 1, 2022</w:t>
            </w:r>
          </w:p>
        </w:tc>
        <w:tc>
          <w:tcPr>
            <w:tcW w:w="360" w:type="dxa"/>
            <w:vAlign w:val="bottom"/>
            <w:tcBorders>
              <w:top w:val="single" w:sz="8" w:color="auto"/>
            </w:tcBorders>
            <w:shd w:val="clear" w:color="auto" w:fill="CFF0FC"/>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23,048</w:t>
            </w:r>
          </w:p>
        </w:tc>
        <w:tc>
          <w:tcPr>
            <w:tcW w:w="120" w:type="dxa"/>
            <w:vAlign w:val="bottom"/>
            <w:tcBorders>
              <w:top w:val="single" w:sz="8" w:color="CFF0FC"/>
            </w:tcBorders>
            <w:shd w:val="clear" w:color="auto" w:fill="CFF0FC"/>
          </w:tcPr>
          <w:p>
            <w:pPr>
              <w:spacing w:after="0"/>
              <w:rPr>
                <w:sz w:val="10"/>
                <w:szCs w:val="10"/>
                <w:color w:val="auto"/>
              </w:rPr>
            </w:pPr>
          </w:p>
        </w:tc>
      </w:tr>
      <w:tr>
        <w:trPr>
          <w:trHeight w:val="126"/>
        </w:trPr>
        <w:tc>
          <w:tcPr>
            <w:tcW w:w="94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Purchase of corporate debt security</w:t>
            </w:r>
          </w:p>
        </w:tc>
        <w:tc>
          <w:tcPr>
            <w:tcW w:w="360" w:type="dxa"/>
            <w:vAlign w:val="bottom"/>
          </w:tcPr>
          <w:p>
            <w:pPr>
              <w:spacing w:after="0"/>
              <w:rPr>
                <w:sz w:val="10"/>
                <w:szCs w:val="10"/>
                <w:color w:val="auto"/>
              </w:rPr>
            </w:pPr>
          </w:p>
        </w:tc>
        <w:tc>
          <w:tcPr>
            <w:tcW w:w="14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spacing w:after="0"/>
              <w:rPr>
                <w:sz w:val="10"/>
                <w:szCs w:val="10"/>
                <w:color w:val="auto"/>
              </w:rPr>
            </w:pPr>
          </w:p>
        </w:tc>
      </w:tr>
      <w:tr>
        <w:trPr>
          <w:trHeight w:val="126"/>
        </w:trPr>
        <w:tc>
          <w:tcPr>
            <w:tcW w:w="94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Change in the fair value of contingent consideration</w:t>
            </w:r>
          </w:p>
        </w:tc>
        <w:tc>
          <w:tcPr>
            <w:tcW w:w="360" w:type="dxa"/>
            <w:vAlign w:val="bottom"/>
            <w:shd w:val="clear" w:color="auto" w:fill="CFF0FC"/>
          </w:tcPr>
          <w:p>
            <w:pPr>
              <w:spacing w:after="0"/>
              <w:rPr>
                <w:sz w:val="10"/>
                <w:szCs w:val="10"/>
                <w:color w:val="auto"/>
              </w:rPr>
            </w:pPr>
          </w:p>
        </w:tc>
        <w:tc>
          <w:tcPr>
            <w:tcW w:w="154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(18,197)</w:t>
            </w:r>
          </w:p>
        </w:tc>
      </w:tr>
      <w:tr>
        <w:trPr>
          <w:trHeight w:val="126"/>
        </w:trPr>
        <w:tc>
          <w:tcPr>
            <w:tcW w:w="94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Milestone and royalty payments received by the Company related to contingent consideration</w:t>
            </w:r>
          </w:p>
        </w:tc>
        <w:tc>
          <w:tcPr>
            <w:tcW w:w="360" w:type="dxa"/>
            <w:vAlign w:val="bottom"/>
          </w:tcPr>
          <w:p>
            <w:pPr>
              <w:spacing w:after="0"/>
              <w:rPr>
                <w:sz w:val="10"/>
                <w:szCs w:val="10"/>
                <w:color w:val="auto"/>
              </w:rPr>
            </w:pPr>
          </w:p>
        </w:tc>
        <w:tc>
          <w:tcPr>
            <w:tcW w:w="15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(1,043)</w:t>
            </w:r>
          </w:p>
        </w:tc>
      </w:tr>
      <w:tr>
        <w:trPr>
          <w:trHeight w:val="126"/>
        </w:trPr>
        <w:tc>
          <w:tcPr>
            <w:tcW w:w="94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Royalty payments due to the Company related to contingent consideration</w:t>
            </w:r>
          </w:p>
        </w:tc>
        <w:tc>
          <w:tcPr>
            <w:tcW w:w="360" w:type="dxa"/>
            <w:vAlign w:val="bottom"/>
            <w:shd w:val="clear" w:color="auto" w:fill="CFF0FC"/>
          </w:tcPr>
          <w:p>
            <w:pPr>
              <w:spacing w:after="0"/>
              <w:rPr>
                <w:sz w:val="10"/>
                <w:szCs w:val="10"/>
                <w:color w:val="auto"/>
              </w:rPr>
            </w:pPr>
          </w:p>
        </w:tc>
        <w:tc>
          <w:tcPr>
            <w:tcW w:w="154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(29)</w:t>
            </w:r>
          </w:p>
        </w:tc>
      </w:tr>
      <w:tr>
        <w:trPr>
          <w:trHeight w:val="122"/>
        </w:trPr>
        <w:tc>
          <w:tcPr>
            <w:tcW w:w="940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Balance, June 30, 2022</w:t>
            </w:r>
          </w:p>
        </w:tc>
        <w:tc>
          <w:tcPr>
            <w:tcW w:w="360" w:type="dxa"/>
            <w:vAlign w:val="bottom"/>
            <w:tcBorders>
              <w:top w:val="single" w:sz="8" w:color="auto"/>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4,279</w:t>
            </w:r>
          </w:p>
        </w:tc>
        <w:tc>
          <w:tcPr>
            <w:tcW w:w="120" w:type="dxa"/>
            <w:vAlign w:val="bottom"/>
          </w:tcPr>
          <w:p>
            <w:pPr>
              <w:spacing w:after="0"/>
              <w:rPr>
                <w:sz w:val="10"/>
                <w:szCs w:val="10"/>
                <w:color w:val="auto"/>
              </w:rPr>
            </w:pPr>
          </w:p>
        </w:tc>
      </w:tr>
    </w:tbl>
    <w:p>
      <w:pPr>
        <w:spacing w:after="0" w:line="133" w:lineRule="exact"/>
        <w:rPr>
          <w:sz w:val="20"/>
          <w:szCs w:val="20"/>
          <w:color w:val="auto"/>
        </w:rPr>
      </w:pPr>
    </w:p>
    <w:p>
      <w:pPr>
        <w:jc w:val="both"/>
        <w:ind w:right="120" w:firstLine="306"/>
        <w:spacing w:after="0" w:line="260" w:lineRule="auto"/>
        <w:rPr>
          <w:sz w:val="20"/>
          <w:szCs w:val="20"/>
          <w:color w:val="auto"/>
        </w:rPr>
      </w:pPr>
      <w:r>
        <w:rPr>
          <w:rFonts w:ascii="Times New Roman" w:cs="Times New Roman" w:eastAsia="Times New Roman" w:hAnsi="Times New Roman"/>
          <w:sz w:val="12"/>
          <w:szCs w:val="12"/>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04" w:lineRule="exact"/>
        <w:rPr>
          <w:sz w:val="20"/>
          <w:szCs w:val="20"/>
          <w:color w:val="auto"/>
        </w:rPr>
      </w:pPr>
    </w:p>
    <w:p>
      <w:pPr>
        <w:ind w:right="20" w:firstLine="306"/>
        <w:spacing w:after="0" w:line="257" w:lineRule="auto"/>
        <w:rPr>
          <w:sz w:val="20"/>
          <w:szCs w:val="20"/>
          <w:color w:val="auto"/>
        </w:rPr>
      </w:pPr>
      <w:r>
        <w:rPr>
          <w:rFonts w:ascii="Times New Roman" w:cs="Times New Roman" w:eastAsia="Times New Roman" w:hAnsi="Times New Roman"/>
          <w:sz w:val="12"/>
          <w:szCs w:val="12"/>
          <w:color w:val="auto"/>
        </w:rPr>
        <w:t>In April 2015, the Company sold its Gainesville, GA manufacturing facility, the related manufacturing and royalty revenue associated with certain products manufactured at the facility, and the rights to intravenous/intramuscular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98" w:lineRule="exact"/>
        <w:rPr>
          <w:sz w:val="20"/>
          <w:szCs w:val="20"/>
          <w:color w:val="auto"/>
        </w:rPr>
      </w:pPr>
    </w:p>
    <w:p>
      <w:pPr>
        <w:ind w:right="120" w:firstLine="306"/>
        <w:spacing w:after="0" w:line="279" w:lineRule="auto"/>
        <w:rPr>
          <w:sz w:val="20"/>
          <w:szCs w:val="20"/>
          <w:color w:val="auto"/>
        </w:rPr>
      </w:pPr>
      <w:r>
        <w:rPr>
          <w:rFonts w:ascii="Times New Roman" w:cs="Times New Roman" w:eastAsia="Times New Roman" w:hAnsi="Times New Roman"/>
          <w:sz w:val="12"/>
          <w:szCs w:val="12"/>
          <w:color w:val="auto"/>
        </w:rPr>
        <w:t>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At June 30, 2022, the Company determined the fair value of the contingent consideration to be received as follows:</w:t>
      </w:r>
    </w:p>
    <w:p>
      <w:pPr>
        <w:spacing w:after="0" w:line="78" w:lineRule="exact"/>
        <w:rPr>
          <w:sz w:val="20"/>
          <w:szCs w:val="20"/>
          <w:color w:val="auto"/>
        </w:rPr>
      </w:pPr>
    </w:p>
    <w:p>
      <w:pPr>
        <w:ind w:left="820" w:right="100" w:hanging="297"/>
        <w:spacing w:after="0" w:line="265" w:lineRule="auto"/>
        <w:tabs>
          <w:tab w:leader="none" w:pos="8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the Company had received $7.8 million in milestone payments and was due to receive an additional $38.6 million related to the U.S. Food and Drug Administration (“FDA”) approval of the New Drug Application (“NDA”) for ANJESO. This amount is due in six equal, annual installments from March 2022 through March 2027. At June 30, 2022, Baudax had paid the Company $1.0 million of the $6.4 million payment that was due in March 2022;</w:t>
      </w:r>
    </w:p>
    <w:p>
      <w:pPr>
        <w:spacing w:after="0" w:line="46" w:lineRule="exact"/>
        <w:rPr>
          <w:rFonts w:ascii="Times New Roman" w:cs="Times New Roman" w:eastAsia="Times New Roman" w:hAnsi="Times New Roman"/>
          <w:sz w:val="12"/>
          <w:szCs w:val="12"/>
          <w:color w:val="auto"/>
        </w:rPr>
      </w:pPr>
    </w:p>
    <w:p>
      <w:pPr>
        <w:ind w:left="820" w:hanging="297"/>
        <w:spacing w:after="0"/>
        <w:tabs>
          <w:tab w:leader="none" w:pos="8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entitled to receive future royalties on net sales of Meloxicam Products; and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355" w:lineRule="exact"/>
        <w:rPr>
          <w:sz w:val="20"/>
          <w:szCs w:val="20"/>
          <w:color w:val="auto"/>
        </w:rPr>
      </w:pPr>
    </w:p>
    <w:p>
      <w:pPr>
        <w:ind w:left="820" w:right="160" w:hanging="297"/>
        <w:spacing w:after="0" w:line="279" w:lineRule="auto"/>
        <w:tabs>
          <w:tab w:leader="none" w:pos="8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entitled to receive payments of up to $80.0 million related to the achievement of certain sales milestones on future sales of the Meloxicam Products. At June 30, 2022, the Company did not believe it was probable that any of the sales milestones would be achieved.</w:t>
      </w:r>
    </w:p>
    <w:p>
      <w:pPr>
        <w:spacing w:after="0" w:line="84" w:lineRule="exact"/>
        <w:rPr>
          <w:sz w:val="20"/>
          <w:szCs w:val="20"/>
          <w:color w:val="auto"/>
        </w:rPr>
      </w:pPr>
    </w:p>
    <w:p>
      <w:pPr>
        <w:ind w:right="60" w:firstLine="306"/>
        <w:spacing w:after="0" w:line="257" w:lineRule="auto"/>
        <w:rPr>
          <w:sz w:val="20"/>
          <w:szCs w:val="20"/>
          <w:color w:val="auto"/>
        </w:rPr>
      </w:pPr>
      <w:r>
        <w:rPr>
          <w:rFonts w:ascii="Times New Roman" w:cs="Times New Roman" w:eastAsia="Times New Roman" w:hAnsi="Times New Roman"/>
          <w:sz w:val="12"/>
          <w:szCs w:val="12"/>
          <w:color w:val="auto"/>
        </w:rPr>
        <w:t xml:space="preserve">In Baudax’s Quarterly Report on Form 10-Q for the three months ended March 31, 2022, Baudax included disclosures regarding its ability to continue as a going concern and its March 2022 reduction in workforce by approximately 80%, which was designed to reduce its operational expenses and conserve its cash resources. In light of Baudax’s disclosures regarding its ability to continue as a going concern and the fact that, as of June 30, 2022, Baudax had paid $1.0 million of the $6.4 million that was due in March 2022, the Company has applied a 100% likelihood that Baudax would default on its obligations and applied a recovery rate of 9% based on an analysis performed by Standard and Poor’s regarding post-default recoveries. However, for avoidance of doubt, the Company has not waived its right to receive any portion of the payments owing by Baudax. For discussion on the calculation of the fair value of the contingent consideration at December 31, 2021, refer to Note 5, </w:t>
      </w:r>
      <w:r>
        <w:rPr>
          <w:rFonts w:ascii="Times New Roman" w:cs="Times New Roman" w:eastAsia="Times New Roman" w:hAnsi="Times New Roman"/>
          <w:sz w:val="12"/>
          <w:szCs w:val="12"/>
          <w:i w:val="1"/>
          <w:iCs w:val="1"/>
          <w:color w:val="auto"/>
        </w:rPr>
        <w:t>Fair Value</w:t>
      </w:r>
      <w:r>
        <w:rPr>
          <w:rFonts w:ascii="Times New Roman" w:cs="Times New Roman" w:eastAsia="Times New Roman" w:hAnsi="Times New Roman"/>
          <w:sz w:val="12"/>
          <w:szCs w:val="12"/>
          <w:color w:val="auto"/>
        </w:rPr>
        <w:t xml:space="preserve"> within the “Notes to Consolidated Financial Statements” in the Annual Report.</w:t>
      </w:r>
    </w:p>
    <w:p>
      <w:pPr>
        <w:spacing w:after="0" w:line="107" w:lineRule="exact"/>
        <w:rPr>
          <w:sz w:val="20"/>
          <w:szCs w:val="20"/>
          <w:color w:val="auto"/>
        </w:rPr>
      </w:pPr>
    </w:p>
    <w:p>
      <w:pPr>
        <w:ind w:right="20" w:firstLine="306"/>
        <w:spacing w:after="0" w:line="260" w:lineRule="auto"/>
        <w:rPr>
          <w:sz w:val="20"/>
          <w:szCs w:val="20"/>
          <w:color w:val="auto"/>
        </w:rPr>
      </w:pPr>
      <w:r>
        <w:rPr>
          <w:rFonts w:ascii="Times New Roman" w:cs="Times New Roman" w:eastAsia="Times New Roman" w:hAnsi="Times New Roman"/>
          <w:sz w:val="12"/>
          <w:szCs w:val="12"/>
          <w:color w:val="auto"/>
        </w:rPr>
        <w:t>At June 30, 2022 and December 31, 2021, the Company determined that the fair value of the contingent consideration was $3.8 million and $23.0 million, respectively. At June 30, 2022 and December 31, 2021, $3.8 million and $6.4 million, respectively, of the fair value of the contingent consideration was included within “Prepaid expenses and other current assets” in the accompanying condensed consolidated balance sheets, and none and $16.6 million, respectively, of the fair value of the contingent consideration was included within “Other assets” in the accompanying condensed consolidated balance sheets. Changes in the fair value of the contingent consideration are recorded within “Change in the fair value of contingent consideration” in the accompanying condensed consolidated statements of operations and comprehensive (loss) income.</w:t>
      </w:r>
    </w:p>
    <w:p>
      <w:pPr>
        <w:spacing w:after="0" w:line="95" w:lineRule="exact"/>
        <w:rPr>
          <w:sz w:val="20"/>
          <w:szCs w:val="20"/>
          <w:color w:val="auto"/>
        </w:rPr>
      </w:pPr>
    </w:p>
    <w:p>
      <w:pPr>
        <w:ind w:right="440" w:firstLine="306"/>
        <w:spacing w:after="0" w:line="279" w:lineRule="auto"/>
        <w:rPr>
          <w:sz w:val="20"/>
          <w:szCs w:val="20"/>
          <w:color w:val="auto"/>
        </w:rPr>
      </w:pPr>
      <w:r>
        <w:rPr>
          <w:rFonts w:ascii="Times New Roman" w:cs="Times New Roman" w:eastAsia="Times New Roman" w:hAnsi="Times New Roman"/>
          <w:sz w:val="12"/>
          <w:szCs w:val="12"/>
          <w:color w:val="auto"/>
        </w:rPr>
        <w:t>The carrying amounts reflected in the accompanying condensed consolidated balance sheets for cash and cash equivalents, accounts receivable, contract assets, other current assets, accounts payable and accrued expenses approximate fair value due to their short-term nature.</w:t>
      </w:r>
    </w:p>
    <w:p>
      <w:pPr>
        <w:spacing w:after="0" w:line="84" w:lineRule="exact"/>
        <w:rPr>
          <w:sz w:val="20"/>
          <w:szCs w:val="20"/>
          <w:color w:val="auto"/>
        </w:rPr>
      </w:pPr>
    </w:p>
    <w:p>
      <w:pPr>
        <w:ind w:right="320" w:firstLine="306"/>
        <w:spacing w:after="0" w:line="279" w:lineRule="auto"/>
        <w:rPr>
          <w:sz w:val="20"/>
          <w:szCs w:val="20"/>
          <w:color w:val="auto"/>
        </w:rPr>
      </w:pPr>
      <w:r>
        <w:rPr>
          <w:rFonts w:ascii="Times New Roman" w:cs="Times New Roman" w:eastAsia="Times New Roman" w:hAnsi="Times New Roman"/>
          <w:sz w:val="12"/>
          <w:szCs w:val="12"/>
          <w:color w:val="auto"/>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$277.7 million and $285.8 million at June 30, 2022 and December 31, 2021, respectively.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INVENTORY</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Inventory is stated at the lower of cost and net realizable value. Cost is determined using the first-in, first-out method. Inventory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4"/>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2022</w:t>
            </w: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FF0FC"/>
            </w:tcBorders>
          </w:tcPr>
          <w:p>
            <w:pPr>
              <w:spacing w:after="0"/>
              <w:rPr>
                <w:sz w:val="10"/>
                <w:szCs w:val="10"/>
                <w:color w:val="auto"/>
              </w:rPr>
            </w:pPr>
          </w:p>
        </w:tc>
      </w:tr>
      <w:tr>
        <w:trPr>
          <w:trHeight w:val="115"/>
        </w:trPr>
        <w:tc>
          <w:tcPr>
            <w:tcW w:w="77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Raw materials</w:t>
            </w:r>
          </w:p>
        </w:tc>
        <w:tc>
          <w:tcPr>
            <w:tcW w:w="1060" w:type="dxa"/>
            <w:vAlign w:val="bottom"/>
            <w:shd w:val="clear" w:color="auto" w:fill="CFF0FC"/>
          </w:tcPr>
          <w:p>
            <w:pPr>
              <w:jc w:val="right"/>
              <w:ind w:right="9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52,870</w:t>
            </w: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56,125</w:t>
            </w:r>
          </w:p>
        </w:tc>
        <w:tc>
          <w:tcPr>
            <w:tcW w:w="120" w:type="dxa"/>
            <w:vAlign w:val="bottom"/>
            <w:shd w:val="clear" w:color="auto" w:fill="CFF0FC"/>
          </w:tcPr>
          <w:p>
            <w:pPr>
              <w:spacing w:after="0"/>
              <w:rPr>
                <w:sz w:val="10"/>
                <w:szCs w:val="10"/>
                <w:color w:val="auto"/>
              </w:rPr>
            </w:pPr>
          </w:p>
        </w:tc>
      </w:tr>
      <w:tr>
        <w:trPr>
          <w:trHeight w:val="126"/>
        </w:trPr>
        <w:tc>
          <w:tcPr>
            <w:tcW w:w="77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Work in process</w:t>
            </w:r>
          </w:p>
        </w:tc>
        <w:tc>
          <w:tcPr>
            <w:tcW w:w="106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70,437</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59,105</w:t>
            </w:r>
          </w:p>
        </w:tc>
        <w:tc>
          <w:tcPr>
            <w:tcW w:w="120" w:type="dxa"/>
            <w:vAlign w:val="bottom"/>
          </w:tcPr>
          <w:p>
            <w:pPr>
              <w:spacing w:after="0"/>
              <w:rPr>
                <w:sz w:val="10"/>
                <w:szCs w:val="10"/>
                <w:color w:val="auto"/>
              </w:rPr>
            </w:pPr>
          </w:p>
        </w:tc>
      </w:tr>
      <w:tr>
        <w:trPr>
          <w:trHeight w:val="135"/>
        </w:trPr>
        <w:tc>
          <w:tcPr>
            <w:tcW w:w="77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Finished goods</w:t>
            </w:r>
            <w:r>
              <w:rPr>
                <w:rFonts w:ascii="Times New Roman" w:cs="Times New Roman" w:eastAsia="Times New Roman" w:hAnsi="Times New Roman"/>
                <w:sz w:val="10"/>
                <w:szCs w:val="10"/>
                <w:color w:val="auto"/>
              </w:rPr>
              <w:t>(1)</w:t>
            </w:r>
          </w:p>
        </w:tc>
        <w:tc>
          <w:tcPr>
            <w:tcW w:w="10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32,301</w:t>
            </w:r>
          </w:p>
        </w:tc>
        <w:tc>
          <w:tcPr>
            <w:tcW w:w="300" w:type="dxa"/>
            <w:vAlign w:val="bottom"/>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35,105</w:t>
            </w:r>
          </w:p>
        </w:tc>
        <w:tc>
          <w:tcPr>
            <w:tcW w:w="120" w:type="dxa"/>
            <w:vAlign w:val="bottom"/>
            <w:shd w:val="clear" w:color="auto" w:fill="CFF0FC"/>
          </w:tcPr>
          <w:p>
            <w:pPr>
              <w:spacing w:after="0"/>
              <w:rPr>
                <w:sz w:val="11"/>
                <w:szCs w:val="11"/>
                <w:color w:val="auto"/>
              </w:rPr>
            </w:pPr>
          </w:p>
        </w:tc>
      </w:tr>
      <w:tr>
        <w:trPr>
          <w:trHeight w:val="122"/>
        </w:trPr>
        <w:tc>
          <w:tcPr>
            <w:tcW w:w="7760" w:type="dxa"/>
            <w:vAlign w:val="bottom"/>
          </w:tcPr>
          <w:p>
            <w:pPr>
              <w:ind w:left="160"/>
              <w:spacing w:after="0" w:line="115" w:lineRule="exact"/>
              <w:rPr>
                <w:sz w:val="20"/>
                <w:szCs w:val="20"/>
                <w:color w:val="auto"/>
              </w:rPr>
            </w:pPr>
            <w:r>
              <w:rPr>
                <w:rFonts w:ascii="Times New Roman" w:cs="Times New Roman" w:eastAsia="Times New Roman" w:hAnsi="Times New Roman"/>
                <w:sz w:val="12"/>
                <w:szCs w:val="12"/>
                <w:color w:val="auto"/>
              </w:rPr>
              <w:t>Total inventory</w:t>
            </w:r>
          </w:p>
        </w:tc>
        <w:tc>
          <w:tcPr>
            <w:tcW w:w="1060" w:type="dxa"/>
            <w:vAlign w:val="bottom"/>
            <w:tcBorders>
              <w:bottom w:val="single" w:sz="8" w:color="auto"/>
            </w:tcBorders>
          </w:tcPr>
          <w:p>
            <w:pPr>
              <w:jc w:val="right"/>
              <w:ind w:right="9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155,608</w:t>
            </w:r>
          </w:p>
        </w:tc>
        <w:tc>
          <w:tcPr>
            <w:tcW w:w="300" w:type="dxa"/>
            <w:vAlign w:val="bottom"/>
          </w:tcPr>
          <w:p>
            <w:pPr>
              <w:spacing w:after="0"/>
              <w:rPr>
                <w:sz w:val="10"/>
                <w:szCs w:val="10"/>
                <w:color w:val="auto"/>
              </w:rPr>
            </w:pPr>
          </w:p>
        </w:tc>
        <w:tc>
          <w:tcPr>
            <w:tcW w:w="280" w:type="dxa"/>
            <w:vAlign w:val="bottom"/>
            <w:tcBorders>
              <w:bottom w:val="single" w:sz="8" w:color="auto"/>
            </w:tcBorders>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150,335</w:t>
            </w:r>
          </w:p>
        </w:tc>
        <w:tc>
          <w:tcPr>
            <w:tcW w:w="120" w:type="dxa"/>
            <w:vAlign w:val="bottom"/>
          </w:tcPr>
          <w:p>
            <w:pPr>
              <w:spacing w:after="0"/>
              <w:rPr>
                <w:sz w:val="10"/>
                <w:szCs w:val="10"/>
                <w:color w:val="auto"/>
              </w:rPr>
            </w:pPr>
          </w:p>
        </w:tc>
      </w:tr>
    </w:tbl>
    <w:p>
      <w:pPr>
        <w:spacing w:after="0" w:line="79" w:lineRule="exact"/>
        <w:rPr>
          <w:sz w:val="20"/>
          <w:szCs w:val="20"/>
          <w:color w:val="auto"/>
        </w:rPr>
      </w:pPr>
    </w:p>
    <w:p>
      <w:pPr>
        <w:jc w:val="center"/>
        <w:ind w:left="5580" w:right="1020" w:hanging="5282"/>
        <w:spacing w:after="0" w:line="530" w:lineRule="auto"/>
        <w:tabs>
          <w:tab w:leader="none" w:pos="60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June 30, 2022 and December 31, 2021, the Company had $25.7 million and $25.1 million, respectively, of finished goods inventory located at its third-party warehouse and shipping service provider.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-385445</wp:posOffset>
            </wp:positionV>
            <wp:extent cx="232029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20290" cy="571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PROPERTY, PLANT AND EQUIPMENT</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Property, plant and equipment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jc w:val="right"/>
              <w:ind w:right="9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4"/>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60" w:type="dxa"/>
            <w:vAlign w:val="bottom"/>
            <w:tcBorders>
              <w:bottom w:val="single" w:sz="8" w:color="CFF0FC"/>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108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9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Land</w:t>
            </w:r>
          </w:p>
        </w:tc>
        <w:tc>
          <w:tcPr>
            <w:tcW w:w="1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63"/>
              <w:spacing w:after="0" w:line="115" w:lineRule="exact"/>
              <w:rPr>
                <w:sz w:val="20"/>
                <w:szCs w:val="20"/>
                <w:color w:val="auto"/>
              </w:rPr>
            </w:pPr>
            <w:r>
              <w:rPr>
                <w:rFonts w:ascii="Times New Roman" w:cs="Times New Roman" w:eastAsia="Times New Roman" w:hAnsi="Times New Roman"/>
                <w:sz w:val="12"/>
                <w:szCs w:val="12"/>
                <w:color w:val="auto"/>
              </w:rPr>
              <w:t>6,560</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6,560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9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Building and improvements</w:t>
            </w: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2"/>
                <w:szCs w:val="12"/>
                <w:color w:val="auto"/>
              </w:rPr>
              <w:t>193,914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192,920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Furniture, fixtures and equipment</w:t>
            </w:r>
          </w:p>
        </w:tc>
        <w:tc>
          <w:tcPr>
            <w:tcW w:w="1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63"/>
              <w:spacing w:after="0" w:line="126" w:lineRule="exact"/>
              <w:rPr>
                <w:sz w:val="20"/>
                <w:szCs w:val="20"/>
                <w:color w:val="auto"/>
              </w:rPr>
            </w:pPr>
            <w:r>
              <w:rPr>
                <w:rFonts w:ascii="Times New Roman" w:cs="Times New Roman" w:eastAsia="Times New Roman" w:hAnsi="Times New Roman"/>
                <w:sz w:val="12"/>
                <w:szCs w:val="12"/>
                <w:color w:val="auto"/>
              </w:rPr>
              <w:t>406,868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398,099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9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Leasehold improvements</w:t>
            </w: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2"/>
                <w:szCs w:val="12"/>
                <w:color w:val="auto"/>
              </w:rPr>
              <w:t>52,526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52,526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Construction in progress</w:t>
            </w:r>
          </w:p>
        </w:tc>
        <w:tc>
          <w:tcPr>
            <w:tcW w:w="1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63"/>
              <w:spacing w:after="0" w:line="126" w:lineRule="exact"/>
              <w:rPr>
                <w:sz w:val="20"/>
                <w:szCs w:val="20"/>
                <w:color w:val="auto"/>
              </w:rPr>
            </w:pPr>
            <w:r>
              <w:rPr>
                <w:rFonts w:ascii="Times New Roman" w:cs="Times New Roman" w:eastAsia="Times New Roman" w:hAnsi="Times New Roman"/>
                <w:sz w:val="12"/>
                <w:szCs w:val="12"/>
                <w:color w:val="auto"/>
              </w:rPr>
              <w:t>92,839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86,512</w:t>
            </w:r>
          </w:p>
        </w:tc>
        <w:tc>
          <w:tcPr>
            <w:tcW w:w="120" w:type="dxa"/>
            <w:vAlign w:val="bottom"/>
            <w:tcBorders>
              <w:bottom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940" w:type="dxa"/>
            <w:vAlign w:val="bottom"/>
          </w:tcPr>
          <w:p>
            <w:pPr>
              <w:ind w:left="160"/>
              <w:spacing w:after="0" w:line="115" w:lineRule="exact"/>
              <w:rPr>
                <w:sz w:val="20"/>
                <w:szCs w:val="20"/>
                <w:color w:val="auto"/>
              </w:rPr>
            </w:pPr>
            <w:r>
              <w:rPr>
                <w:rFonts w:ascii="Times New Roman" w:cs="Times New Roman" w:eastAsia="Times New Roman" w:hAnsi="Times New Roman"/>
                <w:sz w:val="12"/>
                <w:szCs w:val="12"/>
                <w:color w:val="auto"/>
              </w:rPr>
              <w:t>Subtotal</w:t>
            </w: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63"/>
              <w:spacing w:after="0" w:line="115" w:lineRule="exact"/>
              <w:rPr>
                <w:sz w:val="20"/>
                <w:szCs w:val="20"/>
                <w:color w:val="auto"/>
              </w:rPr>
            </w:pPr>
            <w:r>
              <w:rPr>
                <w:rFonts w:ascii="Times New Roman" w:cs="Times New Roman" w:eastAsia="Times New Roman" w:hAnsi="Times New Roman"/>
                <w:sz w:val="12"/>
                <w:szCs w:val="12"/>
                <w:color w:val="auto"/>
              </w:rPr>
              <w:t>752,707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736,617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Less: accumulated depreciation</w:t>
            </w:r>
          </w:p>
        </w:tc>
        <w:tc>
          <w:tcPr>
            <w:tcW w:w="14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23"/>
              <w:spacing w:after="0" w:line="126" w:lineRule="exact"/>
              <w:rPr>
                <w:sz w:val="20"/>
                <w:szCs w:val="20"/>
                <w:color w:val="auto"/>
              </w:rPr>
            </w:pPr>
            <w:r>
              <w:rPr>
                <w:rFonts w:ascii="Times New Roman" w:cs="Times New Roman" w:eastAsia="Times New Roman" w:hAnsi="Times New Roman"/>
                <w:sz w:val="12"/>
                <w:szCs w:val="12"/>
                <w:color w:val="auto"/>
              </w:rPr>
              <w:t>(415,561)</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340" w:type="dxa"/>
            <w:vAlign w:val="bottom"/>
            <w:tcBorders>
              <w:bottom w:val="single" w:sz="8" w:color="auto"/>
            </w:tcBorders>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(395,563)</w:t>
            </w:r>
          </w:p>
        </w:tc>
        <w:tc>
          <w:tcPr>
            <w:tcW w:w="0" w:type="dxa"/>
            <w:vAlign w:val="bottom"/>
          </w:tcPr>
          <w:p>
            <w:pPr>
              <w:spacing w:after="0"/>
              <w:rPr>
                <w:sz w:val="1"/>
                <w:szCs w:val="1"/>
                <w:color w:val="auto"/>
              </w:rPr>
            </w:pPr>
          </w:p>
        </w:tc>
      </w:tr>
      <w:tr>
        <w:trPr>
          <w:trHeight w:val="122"/>
        </w:trPr>
        <w:tc>
          <w:tcPr>
            <w:tcW w:w="4940" w:type="dxa"/>
            <w:vAlign w:val="bottom"/>
          </w:tcPr>
          <w:p>
            <w:pPr>
              <w:ind w:left="160"/>
              <w:spacing w:after="0" w:line="115" w:lineRule="exact"/>
              <w:rPr>
                <w:sz w:val="20"/>
                <w:szCs w:val="20"/>
                <w:color w:val="auto"/>
              </w:rPr>
            </w:pPr>
            <w:r>
              <w:rPr>
                <w:rFonts w:ascii="Times New Roman" w:cs="Times New Roman" w:eastAsia="Times New Roman" w:hAnsi="Times New Roman"/>
                <w:sz w:val="12"/>
                <w:szCs w:val="12"/>
                <w:color w:val="auto"/>
              </w:rPr>
              <w:t>Total property, plant and equipment, net</w:t>
            </w: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Borders>
              <w:bottom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2"/>
                <w:szCs w:val="12"/>
                <w:color w:val="auto"/>
              </w:rPr>
              <w:t>337,146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jc w:val="right"/>
              <w:ind w:right="8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341,054</w:t>
            </w: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4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GOODWILL AND INTANGIBLE ASSETS</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Goodwill and intangible assets consisted of the following:</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Weighted Amortizable Life (Years)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94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gridSpan w:val="3"/>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Gross Carrying Amount</w:t>
            </w:r>
          </w:p>
        </w:tc>
        <w:tc>
          <w:tcPr>
            <w:tcW w:w="100" w:type="dxa"/>
            <w:vAlign w:val="bottom"/>
          </w:tcPr>
          <w:p>
            <w:pPr>
              <w:spacing w:after="0"/>
              <w:rPr>
                <w:sz w:val="8"/>
                <w:szCs w:val="8"/>
                <w:color w:val="auto"/>
              </w:rPr>
            </w:pPr>
          </w:p>
        </w:tc>
        <w:tc>
          <w:tcPr>
            <w:tcW w:w="1340" w:type="dxa"/>
            <w:vAlign w:val="bottom"/>
            <w:gridSpan w:val="3"/>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w w:val="96"/>
              </w:rPr>
              <w:t>Accumulated Amortization</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jc w:val="right"/>
              <w:ind w:right="182"/>
              <w:spacing w:after="0" w:line="97" w:lineRule="exact"/>
              <w:rPr>
                <w:sz w:val="20"/>
                <w:szCs w:val="20"/>
                <w:color w:val="auto"/>
              </w:rPr>
            </w:pPr>
            <w:r>
              <w:rPr>
                <w:rFonts w:ascii="Times New Roman" w:cs="Times New Roman" w:eastAsia="Times New Roman" w:hAnsi="Times New Roman"/>
                <w:sz w:val="10"/>
                <w:szCs w:val="10"/>
                <w:b w:val="1"/>
                <w:bCs w:val="1"/>
                <w:color w:val="auto"/>
              </w:rPr>
              <w:t>Net Carrying Amount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940" w:type="dxa"/>
            <w:vAlign w:val="bottom"/>
            <w:tcBorders>
              <w:top w:val="single" w:sz="8" w:color="CFF0FC"/>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Goodwill</w:t>
            </w:r>
          </w:p>
        </w:tc>
        <w:tc>
          <w:tcPr>
            <w:tcW w:w="1460" w:type="dxa"/>
            <w:vAlign w:val="bottom"/>
            <w:tcBorders>
              <w:top w:val="single" w:sz="8" w:color="auto"/>
              <w:bottom w:val="single" w:sz="8" w:color="CFF0FC"/>
            </w:tcBorders>
            <w:shd w:val="clear" w:color="auto" w:fill="CFF0FC"/>
          </w:tcPr>
          <w:p>
            <w:pPr>
              <w:spacing w:after="0"/>
              <w:rPr>
                <w:sz w:val="11"/>
                <w:szCs w:val="11"/>
                <w:color w:val="auto"/>
              </w:rPr>
            </w:pP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92,873</w:t>
            </w:r>
          </w:p>
        </w:tc>
        <w:tc>
          <w:tcPr>
            <w:tcW w:w="26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92,873</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94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Finite-lived intangible assets:</w:t>
            </w: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94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Collaboration agreements</w:t>
            </w:r>
          </w:p>
        </w:tc>
        <w:tc>
          <w:tcPr>
            <w:tcW w:w="1460" w:type="dxa"/>
            <w:vAlign w:val="bottom"/>
            <w:shd w:val="clear" w:color="auto" w:fill="CFF0FC"/>
          </w:tcPr>
          <w:p>
            <w:pPr>
              <w:jc w:val="right"/>
              <w:ind w:right="624"/>
              <w:spacing w:after="0" w:line="126" w:lineRule="exact"/>
              <w:rPr>
                <w:sz w:val="20"/>
                <w:szCs w:val="20"/>
                <w:color w:val="auto"/>
              </w:rPr>
            </w:pPr>
            <w:r>
              <w:rPr>
                <w:rFonts w:ascii="Times New Roman" w:cs="Times New Roman" w:eastAsia="Times New Roman" w:hAnsi="Times New Roman"/>
                <w:sz w:val="12"/>
                <w:szCs w:val="12"/>
                <w:color w:val="auto"/>
              </w:rPr>
              <w:t>12</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465,590</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3"/>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(421,331)</w:t>
            </w:r>
          </w:p>
        </w:tc>
        <w:tc>
          <w:tcPr>
            <w:tcW w:w="340" w:type="dxa"/>
            <w:vAlign w:val="bottom"/>
            <w:gridSpan w:val="2"/>
            <w:shd w:val="clear" w:color="auto" w:fill="CFF0FC"/>
          </w:tcPr>
          <w:p>
            <w:pPr>
              <w:jc w:val="right"/>
              <w:ind w:right="26"/>
              <w:spacing w:after="0" w:line="126"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44,259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94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Capitalized IP</w:t>
            </w:r>
          </w:p>
        </w:tc>
        <w:tc>
          <w:tcPr>
            <w:tcW w:w="1460" w:type="dxa"/>
            <w:vAlign w:val="bottom"/>
          </w:tcPr>
          <w:p>
            <w:pPr>
              <w:jc w:val="right"/>
              <w:ind w:right="544"/>
              <w:spacing w:after="0" w:line="126" w:lineRule="exact"/>
              <w:rPr>
                <w:sz w:val="20"/>
                <w:szCs w:val="20"/>
                <w:color w:val="auto"/>
              </w:rPr>
            </w:pPr>
            <w:r>
              <w:rPr>
                <w:rFonts w:ascii="Times New Roman" w:cs="Times New Roman" w:eastAsia="Times New Roman" w:hAnsi="Times New Roman"/>
                <w:sz w:val="12"/>
                <w:szCs w:val="12"/>
                <w:color w:val="auto"/>
              </w:rPr>
              <w:t>11-13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118,160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(106,408)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11,752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940" w:type="dxa"/>
            <w:vAlign w:val="bottom"/>
            <w:tcBorders>
              <w:top w:val="single" w:sz="8" w:color="CFF0FC"/>
              <w:bottom w:val="single" w:sz="8" w:color="CFF0FC"/>
            </w:tcBorders>
            <w:shd w:val="clear" w:color="auto" w:fill="CFF0FC"/>
          </w:tcPr>
          <w:p>
            <w:pPr>
              <w:ind w:left="24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1460" w:type="dxa"/>
            <w:vAlign w:val="bottom"/>
            <w:tcBorders>
              <w:top w:val="single" w:sz="8" w:color="CFF0FC"/>
              <w:bottom w:val="single" w:sz="8" w:color="CFF0FC"/>
            </w:tcBorders>
            <w:shd w:val="clear" w:color="auto" w:fill="CFF0FC"/>
          </w:tcPr>
          <w:p>
            <w:pPr>
              <w:spacing w:after="0"/>
              <w:rPr>
                <w:sz w:val="10"/>
                <w:szCs w:val="10"/>
                <w:color w:val="auto"/>
              </w:rPr>
            </w:pPr>
          </w:p>
        </w:tc>
        <w:tc>
          <w:tcPr>
            <w:tcW w:w="16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583,750</w:t>
            </w:r>
          </w:p>
        </w:tc>
        <w:tc>
          <w:tcPr>
            <w:tcW w:w="26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(527,739)</w:t>
            </w:r>
          </w:p>
        </w:tc>
        <w:tc>
          <w:tcPr>
            <w:tcW w:w="80" w:type="dxa"/>
            <w:vAlign w:val="bottom"/>
            <w:tcBorders>
              <w:top w:val="single" w:sz="8" w:color="CFF0FC"/>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auto"/>
            </w:tcBorders>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56,011</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60" w:firstLine="306"/>
        <w:spacing w:after="0" w:line="260" w:lineRule="auto"/>
        <w:rPr>
          <w:sz w:val="20"/>
          <w:szCs w:val="20"/>
          <w:color w:val="auto"/>
        </w:rPr>
      </w:pPr>
      <w:r>
        <w:rPr>
          <w:rFonts w:ascii="Times New Roman" w:cs="Times New Roman" w:eastAsia="Times New Roman" w:hAnsi="Times New Roman"/>
          <w:sz w:val="12"/>
          <w:szCs w:val="12"/>
          <w:color w:val="auto"/>
        </w:rPr>
        <w:t>Based on the Company’s most recent analysis, amortization of intangible assets included in the accompanying condensed consolidated balance sheet at June 30, 2022 is expected to be approximately $35.0 million, $35.0 million and $1.0 million in the years ending December 31, 2022 through 2024, respectively. Although the Company believes that such analysis, and the available information and assumptions underlying such analysis, are reasonable, given the inherent risks and uncertainties underlying its expectations regarding such future revenues, there is the potential for the Company’s actual results to vary significantly from such expectations. If revenues are projected to change, the related amortization of the intangible assets will change in proportion to the change in revenues.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LEASES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Future lease payments under non-cancelable leases at June 30, 2022 and December 31, 2021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4"/>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2022</w:t>
            </w: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FF0FC"/>
            </w:tcBorders>
          </w:tcPr>
          <w:p>
            <w:pPr>
              <w:spacing w:after="0"/>
              <w:rPr>
                <w:sz w:val="10"/>
                <w:szCs w:val="10"/>
                <w:color w:val="auto"/>
              </w:rPr>
            </w:pPr>
          </w:p>
        </w:tc>
      </w:tr>
      <w:tr>
        <w:trPr>
          <w:trHeight w:val="115"/>
        </w:trPr>
        <w:tc>
          <w:tcPr>
            <w:tcW w:w="7760" w:type="dxa"/>
            <w:vAlign w:val="bottom"/>
            <w:shd w:val="clear" w:color="auto" w:fill="CFF0FC"/>
          </w:tcPr>
          <w:p>
            <w:pPr>
              <w:ind w:left="160"/>
              <w:spacing w:after="0" w:line="115" w:lineRule="exact"/>
              <w:rPr>
                <w:sz w:val="20"/>
                <w:szCs w:val="20"/>
                <w:color w:val="auto"/>
              </w:rPr>
            </w:pPr>
            <w:r>
              <w:rPr>
                <w:rFonts w:ascii="Times New Roman" w:cs="Times New Roman" w:eastAsia="Times New Roman" w:hAnsi="Times New Roman"/>
                <w:sz w:val="12"/>
                <w:szCs w:val="12"/>
                <w:color w:val="auto"/>
              </w:rPr>
              <w:t>2022</w:t>
            </w:r>
          </w:p>
        </w:tc>
        <w:tc>
          <w:tcPr>
            <w:tcW w:w="1060" w:type="dxa"/>
            <w:vAlign w:val="bottom"/>
            <w:shd w:val="clear" w:color="auto" w:fill="CFF0FC"/>
          </w:tcPr>
          <w:p>
            <w:pPr>
              <w:jc w:val="right"/>
              <w:ind w:right="94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9,012</w:t>
            </w: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17,991</w:t>
            </w:r>
          </w:p>
        </w:tc>
        <w:tc>
          <w:tcPr>
            <w:tcW w:w="120" w:type="dxa"/>
            <w:vAlign w:val="bottom"/>
            <w:shd w:val="clear" w:color="auto" w:fill="CFF0FC"/>
          </w:tcPr>
          <w:p>
            <w:pPr>
              <w:spacing w:after="0"/>
              <w:rPr>
                <w:sz w:val="10"/>
                <w:szCs w:val="10"/>
                <w:color w:val="auto"/>
              </w:rPr>
            </w:pPr>
          </w:p>
        </w:tc>
      </w:tr>
      <w:tr>
        <w:trPr>
          <w:trHeight w:val="126"/>
        </w:trPr>
        <w:tc>
          <w:tcPr>
            <w:tcW w:w="77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2023</w:t>
            </w:r>
          </w:p>
        </w:tc>
        <w:tc>
          <w:tcPr>
            <w:tcW w:w="106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18,206</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17,329</w:t>
            </w:r>
          </w:p>
        </w:tc>
        <w:tc>
          <w:tcPr>
            <w:tcW w:w="120" w:type="dxa"/>
            <w:vAlign w:val="bottom"/>
          </w:tcPr>
          <w:p>
            <w:pPr>
              <w:spacing w:after="0"/>
              <w:rPr>
                <w:sz w:val="10"/>
                <w:szCs w:val="10"/>
                <w:color w:val="auto"/>
              </w:rPr>
            </w:pPr>
          </w:p>
        </w:tc>
      </w:tr>
      <w:tr>
        <w:trPr>
          <w:trHeight w:val="126"/>
        </w:trPr>
        <w:tc>
          <w:tcPr>
            <w:tcW w:w="77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2024</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18,476</w:t>
            </w: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17,535</w:t>
            </w:r>
          </w:p>
        </w:tc>
        <w:tc>
          <w:tcPr>
            <w:tcW w:w="120" w:type="dxa"/>
            <w:vAlign w:val="bottom"/>
            <w:shd w:val="clear" w:color="auto" w:fill="CFF0FC"/>
          </w:tcPr>
          <w:p>
            <w:pPr>
              <w:spacing w:after="0"/>
              <w:rPr>
                <w:sz w:val="10"/>
                <w:szCs w:val="10"/>
                <w:color w:val="auto"/>
              </w:rPr>
            </w:pPr>
          </w:p>
        </w:tc>
      </w:tr>
      <w:tr>
        <w:trPr>
          <w:trHeight w:val="126"/>
        </w:trPr>
        <w:tc>
          <w:tcPr>
            <w:tcW w:w="77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2025</w:t>
            </w:r>
          </w:p>
        </w:tc>
        <w:tc>
          <w:tcPr>
            <w:tcW w:w="106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18,750</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17,808</w:t>
            </w:r>
          </w:p>
        </w:tc>
        <w:tc>
          <w:tcPr>
            <w:tcW w:w="120" w:type="dxa"/>
            <w:vAlign w:val="bottom"/>
          </w:tcPr>
          <w:p>
            <w:pPr>
              <w:spacing w:after="0"/>
              <w:rPr>
                <w:sz w:val="10"/>
                <w:szCs w:val="10"/>
                <w:color w:val="auto"/>
              </w:rPr>
            </w:pPr>
          </w:p>
        </w:tc>
      </w:tr>
      <w:tr>
        <w:trPr>
          <w:trHeight w:val="126"/>
        </w:trPr>
        <w:tc>
          <w:tcPr>
            <w:tcW w:w="77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2026</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14,719</w:t>
            </w: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13,777</w:t>
            </w:r>
          </w:p>
        </w:tc>
        <w:tc>
          <w:tcPr>
            <w:tcW w:w="120" w:type="dxa"/>
            <w:vAlign w:val="bottom"/>
            <w:shd w:val="clear" w:color="auto" w:fill="CFF0FC"/>
          </w:tcPr>
          <w:p>
            <w:pPr>
              <w:spacing w:after="0"/>
              <w:rPr>
                <w:sz w:val="10"/>
                <w:szCs w:val="10"/>
                <w:color w:val="auto"/>
              </w:rPr>
            </w:pPr>
          </w:p>
        </w:tc>
      </w:tr>
      <w:tr>
        <w:trPr>
          <w:trHeight w:val="126"/>
        </w:trPr>
        <w:tc>
          <w:tcPr>
            <w:tcW w:w="7760" w:type="dxa"/>
            <w:vAlign w:val="bottom"/>
            <w:tcBorders>
              <w:bottom w:val="single" w:sz="8" w:color="CFF0FC"/>
            </w:tcBorders>
          </w:tcPr>
          <w:p>
            <w:pPr>
              <w:ind w:left="160"/>
              <w:spacing w:after="0" w:line="126" w:lineRule="exact"/>
              <w:rPr>
                <w:sz w:val="20"/>
                <w:szCs w:val="20"/>
                <w:color w:val="auto"/>
              </w:rPr>
            </w:pPr>
            <w:r>
              <w:rPr>
                <w:rFonts w:ascii="Times New Roman" w:cs="Times New Roman" w:eastAsia="Times New Roman" w:hAnsi="Times New Roman"/>
                <w:sz w:val="12"/>
                <w:szCs w:val="12"/>
                <w:color w:val="auto"/>
              </w:rPr>
              <w:t>Thereafter</w:t>
            </w: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95,289</w:t>
            </w: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95,229</w:t>
            </w:r>
          </w:p>
        </w:tc>
        <w:tc>
          <w:tcPr>
            <w:tcW w:w="120" w:type="dxa"/>
            <w:vAlign w:val="bottom"/>
            <w:tcBorders>
              <w:bottom w:val="single" w:sz="8" w:color="CFF0FC"/>
            </w:tcBorders>
          </w:tcPr>
          <w:p>
            <w:pPr>
              <w:spacing w:after="0"/>
              <w:rPr>
                <w:sz w:val="10"/>
                <w:szCs w:val="10"/>
                <w:color w:val="auto"/>
              </w:rPr>
            </w:pPr>
          </w:p>
        </w:tc>
      </w:tr>
      <w:tr>
        <w:trPr>
          <w:trHeight w:val="115"/>
        </w:trPr>
        <w:tc>
          <w:tcPr>
            <w:tcW w:w="7760" w:type="dxa"/>
            <w:vAlign w:val="bottom"/>
            <w:shd w:val="clear" w:color="auto" w:fill="CFF0FC"/>
          </w:tcPr>
          <w:p>
            <w:pPr>
              <w:ind w:left="320"/>
              <w:spacing w:after="0" w:line="115" w:lineRule="exact"/>
              <w:rPr>
                <w:sz w:val="20"/>
                <w:szCs w:val="20"/>
                <w:color w:val="auto"/>
              </w:rPr>
            </w:pPr>
            <w:r>
              <w:rPr>
                <w:rFonts w:ascii="Times New Roman" w:cs="Times New Roman" w:eastAsia="Times New Roman" w:hAnsi="Times New Roman"/>
                <w:sz w:val="12"/>
                <w:szCs w:val="12"/>
                <w:color w:val="auto"/>
              </w:rPr>
              <w:t>Total operating lease payments</w:t>
            </w:r>
          </w:p>
        </w:tc>
        <w:tc>
          <w:tcPr>
            <w:tcW w:w="1060" w:type="dxa"/>
            <w:vAlign w:val="bottom"/>
            <w:tcBorders>
              <w:bottom w:val="single" w:sz="8" w:color="auto"/>
            </w:tcBorders>
            <w:shd w:val="clear" w:color="auto" w:fill="CFF0FC"/>
          </w:tcPr>
          <w:p>
            <w:pPr>
              <w:jc w:val="right"/>
              <w:ind w:right="94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174,452</w:t>
            </w:r>
          </w:p>
        </w:tc>
        <w:tc>
          <w:tcPr>
            <w:tcW w:w="30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179,669</w:t>
            </w:r>
          </w:p>
        </w:tc>
        <w:tc>
          <w:tcPr>
            <w:tcW w:w="120" w:type="dxa"/>
            <w:vAlign w:val="bottom"/>
            <w:shd w:val="clear" w:color="auto" w:fill="CFF0FC"/>
          </w:tcPr>
          <w:p>
            <w:pPr>
              <w:spacing w:after="0"/>
              <w:rPr>
                <w:sz w:val="10"/>
                <w:szCs w:val="10"/>
                <w:color w:val="auto"/>
              </w:rPr>
            </w:pPr>
          </w:p>
        </w:tc>
      </w:tr>
      <w:tr>
        <w:trPr>
          <w:trHeight w:val="115"/>
        </w:trPr>
        <w:tc>
          <w:tcPr>
            <w:tcW w:w="7760" w:type="dxa"/>
            <w:vAlign w:val="bottom"/>
            <w:tcBorders>
              <w:bottom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color w:val="auto"/>
              </w:rPr>
              <w:t>Less: imputed interest</w:t>
            </w: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(58,676)</w:t>
            </w: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(59,267)</w:t>
            </w:r>
          </w:p>
        </w:tc>
        <w:tc>
          <w:tcPr>
            <w:tcW w:w="120" w:type="dxa"/>
            <w:vAlign w:val="bottom"/>
            <w:tcBorders>
              <w:bottom w:val="single" w:sz="8" w:color="CFF0FC"/>
            </w:tcBorders>
          </w:tcPr>
          <w:p>
            <w:pPr>
              <w:spacing w:after="0"/>
              <w:rPr>
                <w:sz w:val="10"/>
                <w:szCs w:val="10"/>
                <w:color w:val="auto"/>
              </w:rPr>
            </w:pPr>
          </w:p>
        </w:tc>
      </w:tr>
      <w:tr>
        <w:trPr>
          <w:trHeight w:val="122"/>
        </w:trPr>
        <w:tc>
          <w:tcPr>
            <w:tcW w:w="776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Total operating lease liabilities</w:t>
            </w:r>
          </w:p>
        </w:tc>
        <w:tc>
          <w:tcPr>
            <w:tcW w:w="1060" w:type="dxa"/>
            <w:vAlign w:val="bottom"/>
            <w:tcBorders>
              <w:bottom w:val="single" w:sz="8" w:color="auto"/>
            </w:tcBorders>
            <w:shd w:val="clear" w:color="auto" w:fill="CFF0FC"/>
          </w:tcPr>
          <w:p>
            <w:pPr>
              <w:jc w:val="right"/>
              <w:ind w:right="94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115,776</w:t>
            </w:r>
          </w:p>
        </w:tc>
        <w:tc>
          <w:tcPr>
            <w:tcW w:w="3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120,402</w:t>
            </w:r>
          </w:p>
        </w:tc>
        <w:tc>
          <w:tcPr>
            <w:tcW w:w="120" w:type="dxa"/>
            <w:vAlign w:val="bottom"/>
            <w:tcBorders>
              <w:bottom w:val="single" w:sz="8" w:color="CFF0FC"/>
            </w:tcBorders>
            <w:shd w:val="clear" w:color="auto" w:fill="CFF0FC"/>
          </w:tcPr>
          <w:p>
            <w:pPr>
              <w:spacing w:after="0"/>
              <w:rPr>
                <w:sz w:val="10"/>
                <w:szCs w:val="10"/>
                <w:color w:val="auto"/>
              </w:rPr>
            </w:pPr>
          </w:p>
        </w:tc>
      </w:tr>
    </w:tbl>
    <w:p>
      <w:pPr>
        <w:spacing w:after="0" w:line="133" w:lineRule="exact"/>
        <w:rPr>
          <w:sz w:val="20"/>
          <w:szCs w:val="20"/>
          <w:color w:val="auto"/>
        </w:rPr>
      </w:pPr>
    </w:p>
    <w:p>
      <w:pPr>
        <w:ind w:right="120" w:firstLine="306"/>
        <w:spacing w:after="0" w:line="260" w:lineRule="auto"/>
        <w:rPr>
          <w:sz w:val="20"/>
          <w:szCs w:val="20"/>
          <w:color w:val="auto"/>
        </w:rPr>
      </w:pPr>
      <w:r>
        <w:rPr>
          <w:rFonts w:ascii="Times New Roman" w:cs="Times New Roman" w:eastAsia="Times New Roman" w:hAnsi="Times New Roman"/>
          <w:sz w:val="12"/>
          <w:szCs w:val="12"/>
          <w:color w:val="auto"/>
        </w:rPr>
        <w:t>At June 30, 2022, the weighted average incremental borrowing rate and the weighted average remaining lease term for all operating leases held by the Company were 5.21% and 11.1 years, respectively. Cash paid for lease liabilities was $4.5 million and $8.9 million during the three and six months ended June 30, 2022, respectively, compared to $4.4 million and $8.1 million during the three and six months ended June 30, 2021, respectively. The Company recorded operating lease expense of $4.2 million and $8.3 million during the three and six months ended June 30, 2022, respectively, as compared to $4.4 million and $8.6 million during the three and six months ended June 30, 2021, respectively.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ACCOUNTS PAYABLE AND ACCRUED EXPENSES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Accounts payable and accrued expenses consisted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760" w:type="dxa"/>
            <w:vAlign w:val="bottom"/>
          </w:tcPr>
          <w:p>
            <w:pPr>
              <w:spacing w:after="0"/>
              <w:rPr>
                <w:sz w:val="10"/>
                <w:szCs w:val="10"/>
                <w:color w:val="auto"/>
              </w:rPr>
            </w:pPr>
          </w:p>
        </w:tc>
        <w:tc>
          <w:tcPr>
            <w:tcW w:w="1060" w:type="dxa"/>
            <w:vAlign w:val="bottom"/>
          </w:tcPr>
          <w:p>
            <w:pPr>
              <w:jc w:val="center"/>
              <w:ind w:left="469"/>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25"/>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60" w:type="dxa"/>
            <w:vAlign w:val="bottom"/>
            <w:tcBorders>
              <w:bottom w:val="single" w:sz="8" w:color="auto"/>
            </w:tcBorders>
          </w:tcPr>
          <w:p>
            <w:pPr>
              <w:jc w:val="center"/>
              <w:ind w:left="449"/>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120" w:type="dxa"/>
            <w:vAlign w:val="bottom"/>
            <w:tcBorders>
              <w:bottom w:val="single" w:sz="8" w:color="CFF0FC"/>
            </w:tcBorders>
          </w:tcPr>
          <w:p>
            <w:pPr>
              <w:spacing w:after="0"/>
              <w:rPr>
                <w:sz w:val="10"/>
                <w:szCs w:val="10"/>
                <w:color w:val="auto"/>
              </w:rPr>
            </w:pPr>
          </w:p>
        </w:tc>
      </w:tr>
      <w:tr>
        <w:trPr>
          <w:trHeight w:val="115"/>
        </w:trPr>
        <w:tc>
          <w:tcPr>
            <w:tcW w:w="77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Accounts payable</w:t>
            </w:r>
          </w:p>
        </w:tc>
        <w:tc>
          <w:tcPr>
            <w:tcW w:w="1060" w:type="dxa"/>
            <w:vAlign w:val="bottom"/>
            <w:shd w:val="clear" w:color="auto" w:fill="CFF0FC"/>
          </w:tcPr>
          <w:p>
            <w:pPr>
              <w:jc w:val="right"/>
              <w:ind w:right="9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40,047</w:t>
            </w: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55,721</w:t>
            </w:r>
          </w:p>
        </w:tc>
        <w:tc>
          <w:tcPr>
            <w:tcW w:w="120" w:type="dxa"/>
            <w:vAlign w:val="bottom"/>
            <w:shd w:val="clear" w:color="auto" w:fill="CFF0FC"/>
          </w:tcPr>
          <w:p>
            <w:pPr>
              <w:spacing w:after="0"/>
              <w:rPr>
                <w:sz w:val="10"/>
                <w:szCs w:val="10"/>
                <w:color w:val="auto"/>
              </w:rPr>
            </w:pPr>
          </w:p>
        </w:tc>
      </w:tr>
      <w:tr>
        <w:trPr>
          <w:trHeight w:val="126"/>
        </w:trPr>
        <w:tc>
          <w:tcPr>
            <w:tcW w:w="77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Accrued compensation</w:t>
            </w:r>
          </w:p>
        </w:tc>
        <w:tc>
          <w:tcPr>
            <w:tcW w:w="106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52,865</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77,256</w:t>
            </w:r>
          </w:p>
        </w:tc>
        <w:tc>
          <w:tcPr>
            <w:tcW w:w="120" w:type="dxa"/>
            <w:vAlign w:val="bottom"/>
          </w:tcPr>
          <w:p>
            <w:pPr>
              <w:spacing w:after="0"/>
              <w:rPr>
                <w:sz w:val="10"/>
                <w:szCs w:val="10"/>
                <w:color w:val="auto"/>
              </w:rPr>
            </w:pPr>
          </w:p>
        </w:tc>
      </w:tr>
      <w:tr>
        <w:trPr>
          <w:trHeight w:val="126"/>
        </w:trPr>
        <w:tc>
          <w:tcPr>
            <w:tcW w:w="7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Accrued other</w:t>
            </w:r>
          </w:p>
        </w:tc>
        <w:tc>
          <w:tcPr>
            <w:tcW w:w="106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93,902</w:t>
            </w:r>
          </w:p>
        </w:tc>
        <w:tc>
          <w:tcPr>
            <w:tcW w:w="30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2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75,514</w:t>
            </w:r>
          </w:p>
        </w:tc>
        <w:tc>
          <w:tcPr>
            <w:tcW w:w="120" w:type="dxa"/>
            <w:vAlign w:val="bottom"/>
            <w:shd w:val="clear" w:color="auto" w:fill="CFF0FC"/>
          </w:tcPr>
          <w:p>
            <w:pPr>
              <w:spacing w:after="0"/>
              <w:rPr>
                <w:sz w:val="10"/>
                <w:szCs w:val="10"/>
                <w:color w:val="auto"/>
              </w:rPr>
            </w:pPr>
          </w:p>
        </w:tc>
      </w:tr>
      <w:tr>
        <w:trPr>
          <w:trHeight w:val="122"/>
        </w:trPr>
        <w:tc>
          <w:tcPr>
            <w:tcW w:w="7760" w:type="dxa"/>
            <w:vAlign w:val="bottom"/>
          </w:tcPr>
          <w:p>
            <w:pPr>
              <w:ind w:left="160"/>
              <w:spacing w:after="0" w:line="115" w:lineRule="exact"/>
              <w:rPr>
                <w:sz w:val="20"/>
                <w:szCs w:val="20"/>
                <w:color w:val="auto"/>
              </w:rPr>
            </w:pPr>
            <w:r>
              <w:rPr>
                <w:rFonts w:ascii="Times New Roman" w:cs="Times New Roman" w:eastAsia="Times New Roman" w:hAnsi="Times New Roman"/>
                <w:sz w:val="12"/>
                <w:szCs w:val="12"/>
                <w:color w:val="auto"/>
              </w:rPr>
              <w:t>Total accounts payable and accrued expenses</w:t>
            </w:r>
          </w:p>
        </w:tc>
        <w:tc>
          <w:tcPr>
            <w:tcW w:w="1060" w:type="dxa"/>
            <w:vAlign w:val="bottom"/>
            <w:tcBorders>
              <w:bottom w:val="single" w:sz="8" w:color="auto"/>
            </w:tcBorders>
          </w:tcPr>
          <w:p>
            <w:pPr>
              <w:jc w:val="right"/>
              <w:ind w:right="9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186,814</w:t>
            </w:r>
          </w:p>
        </w:tc>
        <w:tc>
          <w:tcPr>
            <w:tcW w:w="300" w:type="dxa"/>
            <w:vAlign w:val="bottom"/>
          </w:tcPr>
          <w:p>
            <w:pPr>
              <w:spacing w:after="0"/>
              <w:rPr>
                <w:sz w:val="10"/>
                <w:szCs w:val="10"/>
                <w:color w:val="auto"/>
              </w:rPr>
            </w:pPr>
          </w:p>
        </w:tc>
        <w:tc>
          <w:tcPr>
            <w:tcW w:w="280" w:type="dxa"/>
            <w:vAlign w:val="bottom"/>
            <w:tcBorders>
              <w:bottom w:val="single" w:sz="8" w:color="auto"/>
            </w:tcBorders>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208,491</w:t>
            </w:r>
          </w:p>
        </w:tc>
        <w:tc>
          <w:tcPr>
            <w:tcW w:w="120" w:type="dxa"/>
            <w:vAlign w:val="bottom"/>
          </w:tcPr>
          <w:p>
            <w:pPr>
              <w:spacing w:after="0"/>
              <w:rPr>
                <w:sz w:val="10"/>
                <w:szCs w:val="10"/>
                <w:color w:val="auto"/>
              </w:rPr>
            </w:pPr>
          </w:p>
        </w:tc>
      </w:tr>
      <w:tr>
        <w:trPr>
          <w:trHeight w:val="261"/>
        </w:trPr>
        <w:tc>
          <w:tcPr>
            <w:tcW w:w="77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 summary of the Company’s current provision for sales discounts, allowances and reserves is as follows:</w:t>
            </w: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6"/>
        </w:trPr>
        <w:tc>
          <w:tcPr>
            <w:tcW w:w="7760" w:type="dxa"/>
            <w:vAlign w:val="bottom"/>
          </w:tcPr>
          <w:p>
            <w:pPr>
              <w:spacing w:after="0"/>
              <w:rPr>
                <w:sz w:val="20"/>
                <w:szCs w:val="20"/>
                <w:color w:val="auto"/>
              </w:rPr>
            </w:pPr>
          </w:p>
        </w:tc>
        <w:tc>
          <w:tcPr>
            <w:tcW w:w="1060" w:type="dxa"/>
            <w:vAlign w:val="bottom"/>
          </w:tcPr>
          <w:p>
            <w:pPr>
              <w:jc w:val="center"/>
              <w:ind w:left="469"/>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24"/>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60" w:type="dxa"/>
            <w:vAlign w:val="bottom"/>
            <w:tcBorders>
              <w:bottom w:val="single" w:sz="8" w:color="auto"/>
            </w:tcBorders>
          </w:tcPr>
          <w:p>
            <w:pPr>
              <w:jc w:val="center"/>
              <w:ind w:left="449"/>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120" w:type="dxa"/>
            <w:vAlign w:val="bottom"/>
            <w:tcBorders>
              <w:bottom w:val="single" w:sz="8" w:color="CFF0FC"/>
            </w:tcBorders>
          </w:tcPr>
          <w:p>
            <w:pPr>
              <w:spacing w:after="0"/>
              <w:rPr>
                <w:sz w:val="10"/>
                <w:szCs w:val="10"/>
                <w:color w:val="auto"/>
              </w:rPr>
            </w:pPr>
          </w:p>
        </w:tc>
      </w:tr>
      <w:tr>
        <w:trPr>
          <w:trHeight w:val="115"/>
        </w:trPr>
        <w:tc>
          <w:tcPr>
            <w:tcW w:w="77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Medicaid rebates</w:t>
            </w:r>
          </w:p>
        </w:tc>
        <w:tc>
          <w:tcPr>
            <w:tcW w:w="1060" w:type="dxa"/>
            <w:vAlign w:val="bottom"/>
            <w:shd w:val="clear" w:color="auto" w:fill="CFF0FC"/>
          </w:tcPr>
          <w:p>
            <w:pPr>
              <w:jc w:val="right"/>
              <w:ind w:right="9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191,458</w:t>
            </w: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195,413</w:t>
            </w:r>
          </w:p>
        </w:tc>
        <w:tc>
          <w:tcPr>
            <w:tcW w:w="120" w:type="dxa"/>
            <w:vAlign w:val="bottom"/>
            <w:shd w:val="clear" w:color="auto" w:fill="CFF0FC"/>
          </w:tcPr>
          <w:p>
            <w:pPr>
              <w:spacing w:after="0"/>
              <w:rPr>
                <w:sz w:val="10"/>
                <w:szCs w:val="10"/>
                <w:color w:val="auto"/>
              </w:rPr>
            </w:pPr>
          </w:p>
        </w:tc>
      </w:tr>
      <w:tr>
        <w:trPr>
          <w:trHeight w:val="126"/>
        </w:trPr>
        <w:tc>
          <w:tcPr>
            <w:tcW w:w="77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Product discounts</w:t>
            </w:r>
          </w:p>
        </w:tc>
        <w:tc>
          <w:tcPr>
            <w:tcW w:w="106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13,956</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14,951</w:t>
            </w:r>
          </w:p>
        </w:tc>
        <w:tc>
          <w:tcPr>
            <w:tcW w:w="120" w:type="dxa"/>
            <w:vAlign w:val="bottom"/>
          </w:tcPr>
          <w:p>
            <w:pPr>
              <w:spacing w:after="0"/>
              <w:rPr>
                <w:sz w:val="10"/>
                <w:szCs w:val="10"/>
                <w:color w:val="auto"/>
              </w:rPr>
            </w:pPr>
          </w:p>
        </w:tc>
      </w:tr>
      <w:tr>
        <w:trPr>
          <w:trHeight w:val="126"/>
        </w:trPr>
        <w:tc>
          <w:tcPr>
            <w:tcW w:w="77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Medicare Part D</w:t>
            </w:r>
          </w:p>
        </w:tc>
        <w:tc>
          <w:tcPr>
            <w:tcW w:w="106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13,087</w:t>
            </w:r>
          </w:p>
        </w:tc>
        <w:tc>
          <w:tcPr>
            <w:tcW w:w="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14,348</w:t>
            </w:r>
          </w:p>
        </w:tc>
        <w:tc>
          <w:tcPr>
            <w:tcW w:w="120" w:type="dxa"/>
            <w:vAlign w:val="bottom"/>
            <w:shd w:val="clear" w:color="auto" w:fill="CFF0FC"/>
          </w:tcPr>
          <w:p>
            <w:pPr>
              <w:spacing w:after="0"/>
              <w:rPr>
                <w:sz w:val="10"/>
                <w:szCs w:val="10"/>
                <w:color w:val="auto"/>
              </w:rPr>
            </w:pPr>
          </w:p>
        </w:tc>
      </w:tr>
      <w:tr>
        <w:trPr>
          <w:trHeight w:val="126"/>
        </w:trPr>
        <w:tc>
          <w:tcPr>
            <w:tcW w:w="7760" w:type="dxa"/>
            <w:vAlign w:val="bottom"/>
            <w:tcBorders>
              <w:bottom w:val="single" w:sz="8" w:color="CFF0FC"/>
            </w:tcBorders>
          </w:tcPr>
          <w:p>
            <w:pPr>
              <w:spacing w:after="0" w:line="126" w:lineRule="exact"/>
              <w:rPr>
                <w:sz w:val="20"/>
                <w:szCs w:val="20"/>
                <w:color w:val="auto"/>
              </w:rPr>
            </w:pPr>
            <w:r>
              <w:rPr>
                <w:rFonts w:ascii="Times New Roman" w:cs="Times New Roman" w:eastAsia="Times New Roman" w:hAnsi="Times New Roman"/>
                <w:sz w:val="12"/>
                <w:szCs w:val="12"/>
                <w:color w:val="auto"/>
              </w:rPr>
              <w:t>Other</w:t>
            </w: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10,472</w:t>
            </w: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12,504</w:t>
            </w:r>
          </w:p>
        </w:tc>
        <w:tc>
          <w:tcPr>
            <w:tcW w:w="120" w:type="dxa"/>
            <w:vAlign w:val="bottom"/>
            <w:tcBorders>
              <w:bottom w:val="single" w:sz="8" w:color="CFF0FC"/>
            </w:tcBorders>
          </w:tcPr>
          <w:p>
            <w:pPr>
              <w:spacing w:after="0"/>
              <w:rPr>
                <w:sz w:val="10"/>
                <w:szCs w:val="10"/>
                <w:color w:val="auto"/>
              </w:rPr>
            </w:pPr>
          </w:p>
        </w:tc>
      </w:tr>
      <w:tr>
        <w:trPr>
          <w:trHeight w:val="135"/>
        </w:trPr>
        <w:tc>
          <w:tcPr>
            <w:tcW w:w="7760" w:type="dxa"/>
            <w:vAlign w:val="bottom"/>
            <w:tcBorders>
              <w:bottom w:val="single" w:sz="8" w:color="CFF0FC"/>
            </w:tcBorders>
            <w:shd w:val="clear" w:color="auto" w:fill="CFF0FC"/>
          </w:tcPr>
          <w:p>
            <w:pPr>
              <w:ind w:left="160"/>
              <w:spacing w:after="0" w:line="115" w:lineRule="exact"/>
              <w:rPr>
                <w:sz w:val="20"/>
                <w:szCs w:val="20"/>
                <w:color w:val="auto"/>
              </w:rPr>
            </w:pPr>
            <w:r>
              <w:rPr>
                <w:rFonts w:ascii="Times New Roman" w:cs="Times New Roman" w:eastAsia="Times New Roman" w:hAnsi="Times New Roman"/>
                <w:sz w:val="12"/>
                <w:szCs w:val="12"/>
                <w:color w:val="auto"/>
              </w:rPr>
              <w:t>Total accrued sales discounts, allowances and reserves</w:t>
            </w:r>
          </w:p>
        </w:tc>
        <w:tc>
          <w:tcPr>
            <w:tcW w:w="1060" w:type="dxa"/>
            <w:vAlign w:val="bottom"/>
            <w:tcBorders>
              <w:bottom w:val="single" w:sz="8" w:color="auto"/>
            </w:tcBorders>
            <w:shd w:val="clear" w:color="auto" w:fill="CFF0FC"/>
          </w:tcPr>
          <w:p>
            <w:pPr>
              <w:jc w:val="right"/>
              <w:ind w:right="9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228,973</w:t>
            </w:r>
          </w:p>
        </w:tc>
        <w:tc>
          <w:tcPr>
            <w:tcW w:w="3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237,216</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248"/>
        </w:trPr>
        <w:tc>
          <w:tcPr>
            <w:tcW w:w="7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11. LONG-TERM DEBT</w:t>
            </w: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77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Long-term debt consisted of the following:</w:t>
            </w: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36"/>
        </w:trPr>
        <w:tc>
          <w:tcPr>
            <w:tcW w:w="7760" w:type="dxa"/>
            <w:vAlign w:val="bottom"/>
          </w:tcPr>
          <w:p>
            <w:pPr>
              <w:spacing w:after="0"/>
              <w:rPr>
                <w:sz w:val="20"/>
                <w:szCs w:val="20"/>
                <w:color w:val="auto"/>
              </w:rPr>
            </w:pPr>
          </w:p>
        </w:tc>
        <w:tc>
          <w:tcPr>
            <w:tcW w:w="1060" w:type="dxa"/>
            <w:vAlign w:val="bottom"/>
          </w:tcPr>
          <w:p>
            <w:pPr>
              <w:jc w:val="center"/>
              <w:ind w:left="469"/>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24"/>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60" w:type="dxa"/>
            <w:vAlign w:val="bottom"/>
            <w:tcBorders>
              <w:bottom w:val="single" w:sz="8" w:color="auto"/>
            </w:tcBorders>
          </w:tcPr>
          <w:p>
            <w:pPr>
              <w:jc w:val="center"/>
              <w:ind w:left="449"/>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120" w:type="dxa"/>
            <w:vAlign w:val="bottom"/>
            <w:tcBorders>
              <w:bottom w:val="single" w:sz="8" w:color="CFF0FC"/>
            </w:tcBorders>
          </w:tcPr>
          <w:p>
            <w:pPr>
              <w:spacing w:after="0"/>
              <w:rPr>
                <w:sz w:val="10"/>
                <w:szCs w:val="10"/>
                <w:color w:val="auto"/>
              </w:rPr>
            </w:pPr>
          </w:p>
        </w:tc>
      </w:tr>
      <w:tr>
        <w:trPr>
          <w:trHeight w:val="115"/>
        </w:trPr>
        <w:tc>
          <w:tcPr>
            <w:tcW w:w="77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2026 Term Loans, due March 12, 2026</w:t>
            </w:r>
          </w:p>
        </w:tc>
        <w:tc>
          <w:tcPr>
            <w:tcW w:w="1060" w:type="dxa"/>
            <w:vAlign w:val="bottom"/>
            <w:tcBorders>
              <w:bottom w:val="single" w:sz="8" w:color="auto"/>
            </w:tcBorders>
            <w:shd w:val="clear" w:color="auto" w:fill="CFF0FC"/>
          </w:tcPr>
          <w:p>
            <w:pPr>
              <w:jc w:val="right"/>
              <w:ind w:right="9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294,537</w:t>
            </w:r>
          </w:p>
        </w:tc>
        <w:tc>
          <w:tcPr>
            <w:tcW w:w="30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295,804</w:t>
            </w:r>
          </w:p>
        </w:tc>
        <w:tc>
          <w:tcPr>
            <w:tcW w:w="120" w:type="dxa"/>
            <w:vAlign w:val="bottom"/>
            <w:shd w:val="clear" w:color="auto" w:fill="CFF0FC"/>
          </w:tcPr>
          <w:p>
            <w:pPr>
              <w:spacing w:after="0"/>
              <w:rPr>
                <w:sz w:val="10"/>
                <w:szCs w:val="10"/>
                <w:color w:val="auto"/>
              </w:rPr>
            </w:pPr>
          </w:p>
        </w:tc>
      </w:tr>
      <w:tr>
        <w:trPr>
          <w:trHeight w:val="115"/>
        </w:trPr>
        <w:tc>
          <w:tcPr>
            <w:tcW w:w="7760" w:type="dxa"/>
            <w:vAlign w:val="bottom"/>
            <w:tcBorders>
              <w:bottom w:val="single" w:sz="8" w:color="CFF0FC"/>
            </w:tcBorders>
          </w:tcPr>
          <w:p>
            <w:pPr>
              <w:ind w:left="160"/>
              <w:spacing w:after="0" w:line="115" w:lineRule="exact"/>
              <w:rPr>
                <w:sz w:val="20"/>
                <w:szCs w:val="20"/>
                <w:color w:val="auto"/>
              </w:rPr>
            </w:pPr>
            <w:r>
              <w:rPr>
                <w:rFonts w:ascii="Times New Roman" w:cs="Times New Roman" w:eastAsia="Times New Roman" w:hAnsi="Times New Roman"/>
                <w:sz w:val="12"/>
                <w:szCs w:val="12"/>
                <w:color w:val="auto"/>
              </w:rPr>
              <w:t>Less: current portion</w:t>
            </w:r>
          </w:p>
        </w:tc>
        <w:tc>
          <w:tcPr>
            <w:tcW w:w="1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(3,000)</w:t>
            </w:r>
          </w:p>
        </w:tc>
        <w:tc>
          <w:tcPr>
            <w:tcW w:w="30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(3,000)</w:t>
            </w:r>
          </w:p>
        </w:tc>
        <w:tc>
          <w:tcPr>
            <w:tcW w:w="120" w:type="dxa"/>
            <w:vAlign w:val="bottom"/>
            <w:tcBorders>
              <w:bottom w:val="single" w:sz="8" w:color="CFF0FC"/>
            </w:tcBorders>
          </w:tcPr>
          <w:p>
            <w:pPr>
              <w:spacing w:after="0"/>
              <w:rPr>
                <w:sz w:val="10"/>
                <w:szCs w:val="10"/>
                <w:color w:val="auto"/>
              </w:rPr>
            </w:pPr>
          </w:p>
        </w:tc>
      </w:tr>
      <w:tr>
        <w:trPr>
          <w:trHeight w:val="122"/>
        </w:trPr>
        <w:tc>
          <w:tcPr>
            <w:tcW w:w="7760" w:type="dxa"/>
            <w:vAlign w:val="bottom"/>
            <w:tcBorders>
              <w:bottom w:val="single" w:sz="8" w:color="CFF0FC"/>
            </w:tcBorders>
            <w:shd w:val="clear" w:color="auto" w:fill="CFF0FC"/>
          </w:tcPr>
          <w:p>
            <w:pPr>
              <w:ind w:left="240"/>
              <w:spacing w:after="0" w:line="115" w:lineRule="exact"/>
              <w:rPr>
                <w:sz w:val="20"/>
                <w:szCs w:val="20"/>
                <w:color w:val="auto"/>
              </w:rPr>
            </w:pPr>
            <w:r>
              <w:rPr>
                <w:rFonts w:ascii="Times New Roman" w:cs="Times New Roman" w:eastAsia="Times New Roman" w:hAnsi="Times New Roman"/>
                <w:sz w:val="12"/>
                <w:szCs w:val="12"/>
                <w:color w:val="auto"/>
              </w:rPr>
              <w:t>Long-term debt</w:t>
            </w:r>
          </w:p>
        </w:tc>
        <w:tc>
          <w:tcPr>
            <w:tcW w:w="1060" w:type="dxa"/>
            <w:vAlign w:val="bottom"/>
            <w:tcBorders>
              <w:bottom w:val="single" w:sz="8" w:color="auto"/>
            </w:tcBorders>
            <w:shd w:val="clear" w:color="auto" w:fill="CFF0FC"/>
          </w:tcPr>
          <w:p>
            <w:pPr>
              <w:jc w:val="right"/>
              <w:ind w:right="9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291,537</w:t>
            </w:r>
          </w:p>
        </w:tc>
        <w:tc>
          <w:tcPr>
            <w:tcW w:w="3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292,804</w:t>
            </w:r>
          </w:p>
        </w:tc>
        <w:tc>
          <w:tcPr>
            <w:tcW w:w="120" w:type="dxa"/>
            <w:vAlign w:val="bottom"/>
            <w:tcBorders>
              <w:bottom w:val="single" w:sz="8" w:color="CFF0FC"/>
            </w:tcBorders>
            <w:shd w:val="clear" w:color="auto" w:fill="CFF0FC"/>
          </w:tcPr>
          <w:p>
            <w:pPr>
              <w:spacing w:after="0"/>
              <w:rPr>
                <w:sz w:val="10"/>
                <w:szCs w:val="10"/>
                <w:color w:val="auto"/>
              </w:rPr>
            </w:pPr>
          </w:p>
        </w:tc>
      </w:tr>
    </w:tbl>
    <w:p>
      <w:pPr>
        <w:spacing w:after="0" w:line="97" w:lineRule="exact"/>
        <w:rPr>
          <w:sz w:val="20"/>
          <w:szCs w:val="20"/>
          <w:color w:val="auto"/>
        </w:rPr>
      </w:pPr>
    </w:p>
    <w:p>
      <w:pPr>
        <w:jc w:val="both"/>
        <w:ind w:right="380" w:firstLine="306"/>
        <w:spacing w:after="0" w:line="241" w:lineRule="auto"/>
        <w:rPr>
          <w:sz w:val="20"/>
          <w:szCs w:val="20"/>
          <w:color w:val="auto"/>
        </w:rPr>
      </w:pPr>
      <w:r>
        <w:rPr>
          <w:rFonts w:ascii="Times New Roman" w:cs="Times New Roman" w:eastAsia="Times New Roman" w:hAnsi="Times New Roman"/>
          <w:sz w:val="12"/>
          <w:szCs w:val="12"/>
          <w:color w:val="auto"/>
        </w:rPr>
        <w:t>In March 2021, the Company amended and refinanced its existing term loans, resulting in the 2026 Term Loans (such refinancing, the “Term Loan Refinancing”). The 2026 Term Loans mature on March 12, 2026 and bear interest payable at LIBOR plus 2.50% with a LIBOR floor of 0.5%. The 2026 Term Loans have an incremental facility capacity in the amount of $175.0 million plus additional amounts, provided that the Company meets certain conditions, including a specified leverage ratio. The Company was in compliance with its debt covenants at June 30, 2022.</w:t>
      </w:r>
    </w:p>
    <w:p>
      <w:pPr>
        <w:spacing w:after="0" w:line="115" w:lineRule="exact"/>
        <w:rPr>
          <w:sz w:val="20"/>
          <w:szCs w:val="20"/>
          <w:color w:val="auto"/>
        </w:rPr>
      </w:pPr>
    </w:p>
    <w:p>
      <w:pPr>
        <w:ind w:right="640" w:firstLine="306"/>
        <w:spacing w:after="0" w:line="248" w:lineRule="auto"/>
        <w:rPr>
          <w:sz w:val="20"/>
          <w:szCs w:val="20"/>
          <w:color w:val="auto"/>
        </w:rPr>
      </w:pPr>
      <w:r>
        <w:rPr>
          <w:rFonts w:ascii="Times New Roman" w:cs="Times New Roman" w:eastAsia="Times New Roman" w:hAnsi="Times New Roman"/>
          <w:sz w:val="12"/>
          <w:szCs w:val="12"/>
          <w:color w:val="auto"/>
        </w:rPr>
        <w:t xml:space="preserve">Included in “Interest expense” in the accompanying condensed consolidated statement of operations and comprehensive (loss) income in the six months ended June 30, 2021 was $2.1 million related to the Term Loan Refinancing. Refer to Note 11, </w:t>
      </w:r>
      <w:r>
        <w:rPr>
          <w:rFonts w:ascii="Times New Roman" w:cs="Times New Roman" w:eastAsia="Times New Roman" w:hAnsi="Times New Roman"/>
          <w:sz w:val="12"/>
          <w:szCs w:val="12"/>
          <w:i w:val="1"/>
          <w:iCs w:val="1"/>
          <w:color w:val="auto"/>
        </w:rPr>
        <w:t>Long-Term Debt</w:t>
      </w:r>
      <w:r>
        <w:rPr>
          <w:rFonts w:ascii="Times New Roman" w:cs="Times New Roman" w:eastAsia="Times New Roman" w:hAnsi="Times New Roman"/>
          <w:sz w:val="12"/>
          <w:szCs w:val="12"/>
          <w:color w:val="auto"/>
        </w:rPr>
        <w:t xml:space="preserve"> within the “Notes to Consolidated Financial Statements” in the Annual Report for a discussion on accounting for the Term Loan Refinancing.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SHARE-BASED COMPENSATION</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following table presents share-based compensation expense included in the accompanying condensed consolidated statements of operations and comprehensive (loss) income: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0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7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840" w:type="dxa"/>
            <w:vAlign w:val="bottom"/>
            <w:tcBorders>
              <w:bottom w:val="single" w:sz="8" w:color="CFF0FC"/>
            </w:tcBorders>
            <w:vMerge w:val="continue"/>
          </w:tcPr>
          <w:p>
            <w:pPr>
              <w:spacing w:after="0"/>
              <w:rPr>
                <w:sz w:val="8"/>
                <w:szCs w:val="8"/>
                <w:color w:val="auto"/>
              </w:rPr>
            </w:pPr>
          </w:p>
        </w:tc>
        <w:tc>
          <w:tcPr>
            <w:tcW w:w="202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5"/>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45"/>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2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8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Cost of goods manufactured and sold</w:t>
            </w:r>
          </w:p>
        </w:tc>
        <w:tc>
          <w:tcPr>
            <w:tcW w:w="2020" w:type="dxa"/>
            <w:vAlign w:val="bottom"/>
            <w:shd w:val="clear" w:color="auto" w:fill="CFF0FC"/>
          </w:tcPr>
          <w:p>
            <w:pPr>
              <w:spacing w:after="0"/>
              <w:rPr>
                <w:sz w:val="10"/>
                <w:szCs w:val="10"/>
                <w:color w:val="auto"/>
              </w:rPr>
            </w:pPr>
          </w:p>
        </w:tc>
        <w:tc>
          <w:tcPr>
            <w:tcW w:w="260" w:type="dxa"/>
            <w:vAlign w:val="bottom"/>
            <w:shd w:val="clear" w:color="auto" w:fill="CFF0FC"/>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2,401</w:t>
            </w: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jc w:val="right"/>
              <w:ind w:right="2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2,683</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4,783</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4,861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Research and development</w:t>
            </w:r>
          </w:p>
        </w:tc>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7,222</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7,131</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12,830</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11,194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Selling, general and administrative</w:t>
            </w:r>
          </w:p>
        </w:tc>
        <w:tc>
          <w:tcPr>
            <w:tcW w:w="2020" w:type="dxa"/>
            <w:vAlign w:val="bottom"/>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13,754</w:t>
            </w:r>
          </w:p>
        </w:tc>
        <w:tc>
          <w:tcPr>
            <w:tcW w:w="240" w:type="dxa"/>
            <w:vAlign w:val="bottom"/>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17,738</w:t>
            </w:r>
          </w:p>
        </w:tc>
        <w:tc>
          <w:tcPr>
            <w:tcW w:w="240" w:type="dxa"/>
            <w:vAlign w:val="bottom"/>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24,107</w:t>
            </w:r>
          </w:p>
        </w:tc>
        <w:tc>
          <w:tcPr>
            <w:tcW w:w="240" w:type="dxa"/>
            <w:vAlign w:val="bottom"/>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26,948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Pr>
          <w:p>
            <w:pPr>
              <w:ind w:left="160"/>
              <w:spacing w:after="0" w:line="115" w:lineRule="exact"/>
              <w:rPr>
                <w:sz w:val="20"/>
                <w:szCs w:val="20"/>
                <w:color w:val="auto"/>
              </w:rPr>
            </w:pPr>
            <w:r>
              <w:rPr>
                <w:rFonts w:ascii="Times New Roman" w:cs="Times New Roman" w:eastAsia="Times New Roman" w:hAnsi="Times New Roman"/>
                <w:sz w:val="12"/>
                <w:szCs w:val="12"/>
                <w:color w:val="auto"/>
              </w:rPr>
              <w:t>Total share-based compensation expense</w:t>
            </w:r>
          </w:p>
        </w:tc>
        <w:tc>
          <w:tcPr>
            <w:tcW w:w="2020" w:type="dxa"/>
            <w:vAlign w:val="bottom"/>
          </w:tcPr>
          <w:p>
            <w:pPr>
              <w:spacing w:after="0"/>
              <w:rPr>
                <w:sz w:val="10"/>
                <w:szCs w:val="10"/>
                <w:color w:val="auto"/>
              </w:rPr>
            </w:pPr>
          </w:p>
        </w:tc>
        <w:tc>
          <w:tcPr>
            <w:tcW w:w="26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23,377</w:t>
            </w:r>
          </w:p>
        </w:tc>
        <w:tc>
          <w:tcPr>
            <w:tcW w:w="240" w:type="dxa"/>
            <w:vAlign w:val="bottom"/>
          </w:tcPr>
          <w:p>
            <w:pPr>
              <w:spacing w:after="0"/>
              <w:rPr>
                <w:sz w:val="10"/>
                <w:szCs w:val="10"/>
                <w:color w:val="auto"/>
              </w:rPr>
            </w:pPr>
          </w:p>
        </w:tc>
        <w:tc>
          <w:tcPr>
            <w:tcW w:w="400" w:type="dxa"/>
            <w:vAlign w:val="bottom"/>
            <w:tcBorders>
              <w:bottom w:val="single" w:sz="8" w:color="auto"/>
            </w:tcBorders>
          </w:tcPr>
          <w:p>
            <w:pPr>
              <w:jc w:val="right"/>
              <w:ind w:right="2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27,552</w:t>
            </w:r>
          </w:p>
        </w:tc>
        <w:tc>
          <w:tcPr>
            <w:tcW w:w="240" w:type="dxa"/>
            <w:vAlign w:val="bottom"/>
          </w:tcPr>
          <w:p>
            <w:pPr>
              <w:spacing w:after="0"/>
              <w:rPr>
                <w:sz w:val="10"/>
                <w:szCs w:val="10"/>
                <w:color w:val="auto"/>
              </w:rPr>
            </w:pPr>
          </w:p>
        </w:tc>
        <w:tc>
          <w:tcPr>
            <w:tcW w:w="26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41,720</w:t>
            </w:r>
          </w:p>
        </w:tc>
        <w:tc>
          <w:tcPr>
            <w:tcW w:w="240" w:type="dxa"/>
            <w:vAlign w:val="bottom"/>
          </w:tcPr>
          <w:p>
            <w:pPr>
              <w:spacing w:after="0"/>
              <w:rPr>
                <w:sz w:val="10"/>
                <w:szCs w:val="10"/>
                <w:color w:val="auto"/>
              </w:rPr>
            </w:pPr>
          </w:p>
        </w:tc>
        <w:tc>
          <w:tcPr>
            <w:tcW w:w="36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43,003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3840" w:type="dxa"/>
            <w:vAlign w:val="bottom"/>
          </w:tcPr>
          <w:p>
            <w:pPr>
              <w:spacing w:after="0"/>
              <w:rPr>
                <w:sz w:val="24"/>
                <w:szCs w:val="24"/>
                <w:color w:val="auto"/>
              </w:rPr>
            </w:pPr>
          </w:p>
        </w:tc>
        <w:tc>
          <w:tcPr>
            <w:tcW w:w="2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840" w:type="dxa"/>
            <w:vAlign w:val="bottom"/>
            <w:tcBorders>
              <w:bottom w:val="single" w:sz="8" w:color="9A9A9A"/>
            </w:tcBorders>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00" w:lineRule="exact"/>
        <w:rPr>
          <w:sz w:val="20"/>
          <w:szCs w:val="20"/>
          <w:color w:val="auto"/>
        </w:rPr>
      </w:pPr>
    </w:p>
    <w:p>
      <w:pPr>
        <w:spacing w:after="0" w:line="227" w:lineRule="exact"/>
        <w:rPr>
          <w:sz w:val="20"/>
          <w:szCs w:val="20"/>
          <w:color w:val="auto"/>
        </w:rPr>
      </w:pPr>
    </w:p>
    <w:p>
      <w:pPr>
        <w:ind w:right="300" w:firstLine="306"/>
        <w:spacing w:after="0" w:line="279" w:lineRule="auto"/>
        <w:rPr>
          <w:sz w:val="20"/>
          <w:szCs w:val="20"/>
          <w:color w:val="auto"/>
        </w:rPr>
      </w:pPr>
      <w:r>
        <w:rPr>
          <w:rFonts w:ascii="Times New Roman" w:cs="Times New Roman" w:eastAsia="Times New Roman" w:hAnsi="Times New Roman"/>
          <w:sz w:val="12"/>
          <w:szCs w:val="12"/>
          <w:color w:val="auto"/>
        </w:rPr>
        <w:t>At June 30, 2022 and December 31, 2021, $2.8 million and $2.3 million, respectively, of share-based compensation expense was capitalized and recorded as “Inventory” in the accompanying condensed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(LOSS) EARNINGS PER SHARE</w:t>
      </w:r>
    </w:p>
    <w:p>
      <w:pPr>
        <w:spacing w:after="0" w:line="136" w:lineRule="exact"/>
        <w:rPr>
          <w:sz w:val="20"/>
          <w:szCs w:val="20"/>
          <w:color w:val="auto"/>
        </w:rPr>
      </w:pPr>
    </w:p>
    <w:p>
      <w:pPr>
        <w:ind w:right="260" w:firstLine="306"/>
        <w:spacing w:after="0" w:line="327" w:lineRule="auto"/>
        <w:rPr>
          <w:sz w:val="20"/>
          <w:szCs w:val="20"/>
          <w:color w:val="auto"/>
        </w:rPr>
      </w:pPr>
      <w:r>
        <w:rPr>
          <w:rFonts w:ascii="Times New Roman" w:cs="Times New Roman" w:eastAsia="Times New Roman" w:hAnsi="Times New Roman"/>
          <w:sz w:val="11"/>
          <w:szCs w:val="11"/>
          <w:color w:val="auto"/>
        </w:rPr>
        <w:t>Basic (loss) earnings per ordinary share is calculated based upon net (loss) income available to holders of ordinary shares divided by the weighted average number of ordinary shares outstanding. For the calculation of diluted (loss) earnings per ordinary share, the Company adjusts the weighted average number of ordinary shares outstanding for the effect of outstanding ordinary share equivalents such as stock options and restricted stock unit awards.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3"/>
          </w:tcPr>
          <w:p>
            <w:pPr>
              <w:jc w:val="center"/>
              <w:ind w:left="424"/>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3"/>
          </w:tcPr>
          <w:p>
            <w:pPr>
              <w:jc w:val="center"/>
              <w:ind w:left="464"/>
              <w:spacing w:after="0"/>
              <w:rPr>
                <w:sz w:val="20"/>
                <w:szCs w:val="20"/>
                <w:color w:val="auto"/>
              </w:rPr>
            </w:pPr>
            <w:r>
              <w:rPr>
                <w:rFonts w:ascii="Times New Roman" w:cs="Times New Roman" w:eastAsia="Times New Roman" w:hAnsi="Times New Roman"/>
                <w:sz w:val="10"/>
                <w:szCs w:val="10"/>
                <w:b w:val="1"/>
                <w:bCs w:val="1"/>
                <w:color w:val="auto"/>
                <w:w w:val="93"/>
              </w:rPr>
              <w:t>Six Months Ended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8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7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860" w:type="dxa"/>
            <w:vAlign w:val="bottom"/>
            <w:tcBorders>
              <w:bottom w:val="single" w:sz="8" w:color="CFF0FC"/>
            </w:tcBorders>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4"/>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44"/>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2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8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Numerator:</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8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Net (loss) income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(30,136)</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2,364</w:t>
            </w:r>
          </w:p>
        </w:tc>
        <w:tc>
          <w:tcPr>
            <w:tcW w:w="24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(66,039)</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(20,054)</w:t>
            </w:r>
          </w:p>
        </w:tc>
        <w:tc>
          <w:tcPr>
            <w:tcW w:w="0" w:type="dxa"/>
            <w:vAlign w:val="bottom"/>
          </w:tcPr>
          <w:p>
            <w:pPr>
              <w:spacing w:after="0"/>
              <w:rPr>
                <w:sz w:val="1"/>
                <w:szCs w:val="1"/>
                <w:color w:val="auto"/>
              </w:rPr>
            </w:pPr>
          </w:p>
        </w:tc>
      </w:tr>
      <w:tr>
        <w:trPr>
          <w:trHeight w:val="126"/>
        </w:trPr>
        <w:tc>
          <w:tcPr>
            <w:tcW w:w="5860" w:type="dxa"/>
            <w:vAlign w:val="bottom"/>
            <w:tcBorders>
              <w:top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Denominator:</w:t>
            </w:r>
          </w:p>
        </w:tc>
        <w:tc>
          <w:tcPr>
            <w:tcW w:w="26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860" w:type="dxa"/>
            <w:vAlign w:val="bottom"/>
            <w:tcBorders>
              <w:bottom w:val="single" w:sz="8" w:color="CFF0FC"/>
            </w:tcBorders>
          </w:tcPr>
          <w:p>
            <w:pPr>
              <w:spacing w:after="0" w:line="126" w:lineRule="exact"/>
              <w:rPr>
                <w:sz w:val="20"/>
                <w:szCs w:val="20"/>
                <w:color w:val="auto"/>
              </w:rPr>
            </w:pPr>
            <w:r>
              <w:rPr>
                <w:rFonts w:ascii="Times New Roman" w:cs="Times New Roman" w:eastAsia="Times New Roman" w:hAnsi="Times New Roman"/>
                <w:sz w:val="12"/>
                <w:szCs w:val="12"/>
                <w:color w:val="auto"/>
              </w:rPr>
              <w:t>Weighted average number of ordinary shares outstanding</w:t>
            </w: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163,839</w:t>
            </w:r>
          </w:p>
        </w:tc>
        <w:tc>
          <w:tcPr>
            <w:tcW w:w="24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160,817</w:t>
            </w:r>
          </w:p>
        </w:tc>
        <w:tc>
          <w:tcPr>
            <w:tcW w:w="24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163,165</w:t>
            </w:r>
          </w:p>
        </w:tc>
        <w:tc>
          <w:tcPr>
            <w:tcW w:w="240" w:type="dxa"/>
            <w:vAlign w:val="bottom"/>
            <w:tcBorders>
              <w:bottom w:val="single" w:sz="8" w:color="CFF0FC"/>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160,229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8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Effect of dilutive securities:</w:t>
            </w:r>
          </w:p>
        </w:tc>
        <w:tc>
          <w:tcPr>
            <w:tcW w:w="2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Stock options</w:t>
            </w:r>
          </w:p>
        </w:tc>
        <w:tc>
          <w:tcPr>
            <w:tcW w:w="260" w:type="dxa"/>
            <w:vAlign w:val="bottom"/>
          </w:tcPr>
          <w:p>
            <w:pPr>
              <w:spacing w:after="0"/>
              <w:rPr>
                <w:sz w:val="10"/>
                <w:szCs w:val="10"/>
                <w:color w:val="auto"/>
              </w:rPr>
            </w:pPr>
          </w:p>
        </w:tc>
        <w:tc>
          <w:tcPr>
            <w:tcW w:w="112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461</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0"/>
                <w:szCs w:val="10"/>
                <w:color w:val="auto"/>
              </w:rPr>
            </w:pPr>
          </w:p>
        </w:tc>
        <w:tc>
          <w:tcPr>
            <w:tcW w:w="9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58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Restricted stock unit awards</w:t>
            </w:r>
          </w:p>
        </w:tc>
        <w:tc>
          <w:tcPr>
            <w:tcW w:w="26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2,659</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5"/>
        </w:trPr>
        <w:tc>
          <w:tcPr>
            <w:tcW w:w="5860" w:type="dxa"/>
            <w:vAlign w:val="bottom"/>
            <w:tcBorders>
              <w:bottom w:val="single" w:sz="8" w:color="CFF0FC"/>
            </w:tcBorders>
          </w:tcPr>
          <w:p>
            <w:pPr>
              <w:ind w:left="240"/>
              <w:spacing w:after="0" w:line="115" w:lineRule="exact"/>
              <w:rPr>
                <w:sz w:val="20"/>
                <w:szCs w:val="20"/>
                <w:color w:val="auto"/>
              </w:rPr>
            </w:pPr>
            <w:r>
              <w:rPr>
                <w:rFonts w:ascii="Times New Roman" w:cs="Times New Roman" w:eastAsia="Times New Roman" w:hAnsi="Times New Roman"/>
                <w:sz w:val="12"/>
                <w:szCs w:val="12"/>
                <w:color w:val="auto"/>
              </w:rPr>
              <w:t>Dilutive ordinary share equivalents</w:t>
            </w:r>
          </w:p>
        </w:tc>
        <w:tc>
          <w:tcPr>
            <w:tcW w:w="2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3,120</w:t>
            </w:r>
          </w:p>
        </w:tc>
        <w:tc>
          <w:tcPr>
            <w:tcW w:w="240" w:type="dxa"/>
            <w:vAlign w:val="bottom"/>
            <w:tcBorders>
              <w:bottom w:val="single" w:sz="8" w:color="CFF0FC"/>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86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Shares used in calculating diluted (loss) earnings per share</w:t>
            </w:r>
          </w:p>
        </w:tc>
        <w:tc>
          <w:tcPr>
            <w:tcW w:w="26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163,839</w:t>
            </w:r>
          </w:p>
        </w:tc>
        <w:tc>
          <w:tcPr>
            <w:tcW w:w="240" w:type="dxa"/>
            <w:vAlign w:val="bottom"/>
            <w:tcBorders>
              <w:bottom w:val="single" w:sz="8" w:color="CFF0FC"/>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163,937</w:t>
            </w:r>
          </w:p>
        </w:tc>
        <w:tc>
          <w:tcPr>
            <w:tcW w:w="24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9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163,165</w:t>
            </w:r>
          </w:p>
        </w:tc>
        <w:tc>
          <w:tcPr>
            <w:tcW w:w="2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160,229</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following outstanding ordinary share equivalents were not included in the net (loss) earnings per ordinary share calculation because the effect would have been anti-dilutive: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3"/>
          </w:tcPr>
          <w:p>
            <w:pPr>
              <w:jc w:val="center"/>
              <w:ind w:left="726"/>
              <w:spacing w:after="0"/>
              <w:rPr>
                <w:sz w:val="20"/>
                <w:szCs w:val="20"/>
                <w:color w:val="auto"/>
              </w:rPr>
            </w:pPr>
            <w:r>
              <w:rPr>
                <w:rFonts w:ascii="Times New Roman" w:cs="Times New Roman" w:eastAsia="Times New Roman" w:hAnsi="Times New Roman"/>
                <w:sz w:val="10"/>
                <w:szCs w:val="10"/>
                <w:b w:val="1"/>
                <w:bCs w:val="1"/>
                <w:color w:val="auto"/>
                <w:w w:val="93"/>
              </w:rPr>
              <w:t>Six Months Ended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8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7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4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tcBorders>
              <w:bottom w:val="single" w:sz="8" w:color="auto"/>
            </w:tcBorders>
            <w:gridSpan w:val="3"/>
          </w:tcPr>
          <w:p>
            <w:pPr>
              <w:jc w:val="center"/>
              <w:ind w:left="726"/>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860" w:type="dxa"/>
            <w:vAlign w:val="bottom"/>
            <w:vMerge w:val="continue"/>
          </w:tcPr>
          <w:p>
            <w:pPr>
              <w:spacing w:after="0"/>
              <w:rPr>
                <w:sz w:val="8"/>
                <w:szCs w:val="8"/>
                <w:color w:val="auto"/>
              </w:rPr>
            </w:pPr>
          </w:p>
        </w:tc>
        <w:tc>
          <w:tcPr>
            <w:tcW w:w="740" w:type="dxa"/>
            <w:vAlign w:val="bottom"/>
          </w:tcPr>
          <w:p>
            <w:pPr>
              <w:jc w:val="right"/>
              <w:ind w:right="32"/>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1380" w:type="dxa"/>
            <w:vAlign w:val="bottom"/>
            <w:gridSpan w:val="3"/>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jc w:val="right"/>
              <w:ind w:right="446"/>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jc w:val="right"/>
              <w:ind w:right="423"/>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Stock options</w:t>
            </w:r>
          </w:p>
        </w:tc>
        <w:tc>
          <w:tcPr>
            <w:tcW w:w="740" w:type="dxa"/>
            <w:vAlign w:val="bottom"/>
            <w:tcBorders>
              <w:top w:val="single" w:sz="8" w:color="auto"/>
            </w:tcBorders>
            <w:shd w:val="clear" w:color="auto" w:fill="CFF0FC"/>
          </w:tcPr>
          <w:p>
            <w:pPr>
              <w:spacing w:after="0"/>
              <w:rPr>
                <w:sz w:val="10"/>
                <w:szCs w:val="10"/>
                <w:color w:val="auto"/>
              </w:rPr>
            </w:pPr>
          </w:p>
        </w:tc>
        <w:tc>
          <w:tcPr>
            <w:tcW w:w="4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12,781</w:t>
            </w:r>
          </w:p>
        </w:tc>
        <w:tc>
          <w:tcPr>
            <w:tcW w:w="24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15,465</w:t>
            </w:r>
          </w:p>
        </w:tc>
        <w:tc>
          <w:tcPr>
            <w:tcW w:w="240" w:type="dxa"/>
            <w:vAlign w:val="bottom"/>
            <w:tcBorders>
              <w:top w:val="single" w:sz="8" w:color="CFF0FC"/>
            </w:tcBorders>
            <w:shd w:val="clear" w:color="auto" w:fill="CFF0FC"/>
          </w:tcPr>
          <w:p>
            <w:pPr>
              <w:spacing w:after="0"/>
              <w:rPr>
                <w:sz w:val="10"/>
                <w:szCs w:val="10"/>
                <w:color w:val="auto"/>
              </w:rPr>
            </w:pPr>
          </w:p>
        </w:tc>
        <w:tc>
          <w:tcPr>
            <w:tcW w:w="11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12,677</w:t>
            </w:r>
          </w:p>
        </w:tc>
        <w:tc>
          <w:tcPr>
            <w:tcW w:w="2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15,265</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60" w:type="dxa"/>
            <w:vAlign w:val="bottom"/>
            <w:tcBorders>
              <w:bottom w:val="single" w:sz="8" w:color="CFF0FC"/>
            </w:tcBorders>
          </w:tcPr>
          <w:p>
            <w:pPr>
              <w:spacing w:after="0" w:line="126" w:lineRule="exact"/>
              <w:rPr>
                <w:sz w:val="20"/>
                <w:szCs w:val="20"/>
                <w:color w:val="auto"/>
              </w:rPr>
            </w:pPr>
            <w:r>
              <w:rPr>
                <w:rFonts w:ascii="Times New Roman" w:cs="Times New Roman" w:eastAsia="Times New Roman" w:hAnsi="Times New Roman"/>
                <w:sz w:val="12"/>
                <w:szCs w:val="12"/>
                <w:color w:val="auto"/>
              </w:rPr>
              <w:t>Restricted stock unit awards</w:t>
            </w:r>
          </w:p>
        </w:tc>
        <w:tc>
          <w:tcPr>
            <w:tcW w:w="7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4,718</w:t>
            </w:r>
          </w:p>
        </w:tc>
        <w:tc>
          <w:tcPr>
            <w:tcW w:w="240" w:type="dxa"/>
            <w:vAlign w:val="bottom"/>
            <w:tcBorders>
              <w:bottom w:val="single" w:sz="8" w:color="CFF0FC"/>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596</w:t>
            </w:r>
          </w:p>
        </w:tc>
        <w:tc>
          <w:tcPr>
            <w:tcW w:w="240" w:type="dxa"/>
            <w:vAlign w:val="bottom"/>
            <w:tcBorders>
              <w:bottom w:val="single" w:sz="8" w:color="CFF0FC"/>
            </w:tcBorders>
          </w:tcPr>
          <w:p>
            <w:pPr>
              <w:spacing w:after="0"/>
              <w:rPr>
                <w:sz w:val="10"/>
                <w:szCs w:val="10"/>
                <w:color w:val="auto"/>
              </w:rPr>
            </w:pPr>
          </w:p>
        </w:tc>
        <w:tc>
          <w:tcPr>
            <w:tcW w:w="11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6,251</w:t>
            </w:r>
          </w:p>
        </w:tc>
        <w:tc>
          <w:tcPr>
            <w:tcW w:w="24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3,189</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860" w:type="dxa"/>
            <w:vAlign w:val="bottom"/>
            <w:tcBorders>
              <w:bottom w:val="single" w:sz="8" w:color="CFF0FC"/>
            </w:tcBorders>
            <w:shd w:val="clear" w:color="auto" w:fill="CFF0FC"/>
          </w:tcPr>
          <w:p>
            <w:pPr>
              <w:ind w:left="16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74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17,499</w:t>
            </w:r>
          </w:p>
        </w:tc>
        <w:tc>
          <w:tcPr>
            <w:tcW w:w="2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16,061</w:t>
            </w:r>
          </w:p>
        </w:tc>
        <w:tc>
          <w:tcPr>
            <w:tcW w:w="24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18,928</w:t>
            </w:r>
          </w:p>
        </w:tc>
        <w:tc>
          <w:tcPr>
            <w:tcW w:w="24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18,454</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INCOME TAXES</w:t>
      </w:r>
    </w:p>
    <w:p>
      <w:pPr>
        <w:spacing w:after="0" w:line="127" w:lineRule="exact"/>
        <w:rPr>
          <w:sz w:val="20"/>
          <w:szCs w:val="20"/>
          <w:color w:val="auto"/>
        </w:rPr>
      </w:pPr>
    </w:p>
    <w:p>
      <w:pPr>
        <w:ind w:right="60" w:firstLine="306"/>
        <w:spacing w:after="0" w:line="147" w:lineRule="exact"/>
        <w:rPr>
          <w:sz w:val="20"/>
          <w:szCs w:val="20"/>
          <w:color w:val="auto"/>
        </w:rPr>
      </w:pPr>
      <w:r>
        <w:rPr>
          <w:rFonts w:ascii="Times New Roman" w:cs="Times New Roman" w:eastAsia="Times New Roman" w:hAnsi="Times New Roman"/>
          <w:sz w:val="12"/>
          <w:szCs w:val="12"/>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116" w:lineRule="exact"/>
        <w:rPr>
          <w:sz w:val="20"/>
          <w:szCs w:val="20"/>
          <w:color w:val="auto"/>
        </w:rPr>
      </w:pPr>
    </w:p>
    <w:p>
      <w:pPr>
        <w:ind w:right="40" w:firstLine="306"/>
        <w:spacing w:after="0" w:line="260" w:lineRule="auto"/>
        <w:rPr>
          <w:sz w:val="20"/>
          <w:szCs w:val="20"/>
          <w:color w:val="auto"/>
        </w:rPr>
      </w:pPr>
      <w:r>
        <w:rPr>
          <w:rFonts w:ascii="Times New Roman" w:cs="Times New Roman" w:eastAsia="Times New Roman" w:hAnsi="Times New Roman"/>
          <w:sz w:val="12"/>
          <w:szCs w:val="12"/>
          <w:color w:val="auto"/>
        </w:rPr>
        <w:t>The Company recorded income tax benefits of $3.1 million and $12.2 million during the three and six months ended June 30, 2022, respectively, which were primarily due to a change to Section 174 of the Tax Cuts and Jobs Act of 2017 (as amended, the “TCJA”), which became effective on January 1, 2022. Under the TCJA, the Company is required to capitalize, and subsequently amortize, R&amp;D expenses over five years for research activities conducted in the U.S. and over fifteen years for research activities conducted outside of the U.S. The capitalization of R&amp;D expenses during these periods resulted in an increase to the Company’s U.S. taxable income and foreign derived intangible income (“FDII”), resulting in a significant increase in the Company’s FDII deduction.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0" w:name="page21"/>
    <w:bookmarkEnd w:id="2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79" w:lineRule="exact"/>
        <w:rPr>
          <w:sz w:val="20"/>
          <w:szCs w:val="20"/>
          <w:color w:val="auto"/>
        </w:rPr>
      </w:pPr>
    </w:p>
    <w:p>
      <w:pPr>
        <w:ind w:left="308" w:right="8260" w:hanging="308"/>
        <w:spacing w:after="0" w:line="410" w:lineRule="auto"/>
        <w:tabs>
          <w:tab w:leader="none" w:pos="182"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COMMITMENTS AND CONTINGENT LIABILITIES </w:t>
      </w:r>
      <w:r>
        <w:rPr>
          <w:rFonts w:ascii="Times New Roman" w:cs="Times New Roman" w:eastAsia="Times New Roman" w:hAnsi="Times New Roman"/>
          <w:sz w:val="12"/>
          <w:szCs w:val="12"/>
          <w:i w:val="1"/>
          <w:iCs w:val="1"/>
          <w:color w:val="auto"/>
        </w:rPr>
        <w:t>Litigation</w:t>
      </w:r>
    </w:p>
    <w:p>
      <w:pPr>
        <w:spacing w:after="0" w:line="1" w:lineRule="exact"/>
        <w:rPr>
          <w:sz w:val="20"/>
          <w:szCs w:val="20"/>
          <w:color w:val="auto"/>
        </w:rPr>
      </w:pPr>
    </w:p>
    <w:p>
      <w:pPr>
        <w:ind w:left="8" w:right="260" w:firstLine="306"/>
        <w:spacing w:after="0" w:line="257" w:lineRule="auto"/>
        <w:rPr>
          <w:sz w:val="20"/>
          <w:szCs w:val="20"/>
          <w:color w:val="auto"/>
        </w:rPr>
      </w:pPr>
      <w:r>
        <w:rPr>
          <w:rFonts w:ascii="Times New Roman" w:cs="Times New Roman" w:eastAsia="Times New Roman" w:hAnsi="Times New Roman"/>
          <w:sz w:val="12"/>
          <w:szCs w:val="12"/>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June 30, 2022, there were no potential material losses from claims, asserted or unasserted, or legal proceedings that the Company determined were probable of occurring.</w:t>
      </w:r>
    </w:p>
    <w:p>
      <w:pPr>
        <w:spacing w:after="0" w:line="76"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b w:val="1"/>
          <w:bCs w:val="1"/>
          <w:u w:val="single" w:color="auto"/>
          <w:color w:val="auto"/>
        </w:rPr>
        <w:t>Janssen Arbitration Proceedings</w:t>
      </w:r>
    </w:p>
    <w:p>
      <w:pPr>
        <w:spacing w:after="0" w:line="100" w:lineRule="exact"/>
        <w:rPr>
          <w:sz w:val="20"/>
          <w:szCs w:val="20"/>
          <w:color w:val="auto"/>
        </w:rPr>
      </w:pPr>
    </w:p>
    <w:p>
      <w:pPr>
        <w:ind w:left="8" w:firstLine="306"/>
        <w:spacing w:after="0" w:line="260" w:lineRule="auto"/>
        <w:rPr>
          <w:sz w:val="20"/>
          <w:szCs w:val="20"/>
          <w:color w:val="auto"/>
        </w:rPr>
      </w:pPr>
      <w:r>
        <w:rPr>
          <w:rFonts w:ascii="Times New Roman" w:cs="Times New Roman" w:eastAsia="Times New Roman" w:hAnsi="Times New Roman"/>
          <w:sz w:val="12"/>
          <w:szCs w:val="12"/>
          <w:color w:val="auto"/>
        </w:rPr>
        <w:t>In April 2022, Alkermes Pharma Ireland Limited commenced binding arbitration proceedings to settle, among other things, whether, notwithstanding Janssen Pharmaceutica’s partial termination of two license agreements with the Company, it has a continuing obligation to pay royalties on sales in the U.S. of INVEGA SUSTENNA, INVEGA TRINZA, INVEGA HAFYERA and CABENUVA, products developed under or enabled by these license agreements. The arbitration is to be conducted pursuant to the Institute for Conflict Prevention and Resolution (CPR) Rules for Non-Administered Arbitration. The request for arbitration seeks, among other remedies, a declaration that Janssen Pharmaceutica is in breach of the license agreements and a resumption of royalty payments for sales of the relevant products in the U.S.</w:t>
      </w:r>
    </w:p>
    <w:p>
      <w:pPr>
        <w:spacing w:after="0" w:line="73"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b w:val="1"/>
          <w:bCs w:val="1"/>
          <w:u w:val="single" w:color="auto"/>
          <w:color w:val="auto"/>
        </w:rPr>
        <w:t>INVEGA SUSTENNA ANDA Litigation</w:t>
      </w:r>
    </w:p>
    <w:p>
      <w:pPr>
        <w:spacing w:after="0" w:line="118" w:lineRule="exact"/>
        <w:rPr>
          <w:sz w:val="20"/>
          <w:szCs w:val="20"/>
          <w:color w:val="auto"/>
        </w:rPr>
      </w:pPr>
    </w:p>
    <w:p>
      <w:pPr>
        <w:ind w:left="8" w:right="60" w:firstLine="306"/>
        <w:spacing w:after="0" w:line="254" w:lineRule="auto"/>
        <w:rPr>
          <w:sz w:val="20"/>
          <w:szCs w:val="20"/>
          <w:color w:val="auto"/>
        </w:rPr>
      </w:pPr>
      <w:r>
        <w:rPr>
          <w:rFonts w:ascii="Times New Roman" w:cs="Times New Roman" w:eastAsia="Times New Roman" w:hAnsi="Times New Roman"/>
          <w:sz w:val="12"/>
          <w:szCs w:val="12"/>
          <w:color w:val="auto"/>
        </w:rPr>
        <w:t>Janssen Pharmaceutica and Janssen Pharmaceuticals, Inc. initiated patent infringement lawsuits in the U.S. District Court for the District of New Jersey (the “NJ District Court”) in January 2018 against Teva Pharmaceuticals USA, Inc. (“Teva”) and Teva Pharmaceuticals Industries, Ltd. (“Teva PI”) (such lawsuit, the “Teva Lawsuit”), in August 2019 against Mylan Laboratories Limited (“Mylan Labs”) and other Mylan entities (the “Mylan Lawsuit”) and in December 2019 against Pharmascience, Inc. (“Pharmascience”), Mallinckrodt plc, and SpecGX LLC (the “Pharmascience Lawsuit”), and in the U.S. District Court for the District of Delaware in December 2021 against Tolmar Holding, Inc., Tolmar Pharmaceuticals, Inc., Tolmar Therapeutics, Inc., and Tolmar, Inc. (“Tolmar” and such lawsuit, the “Tolmar Lawsuit”), following the respective filings by each of Teva, Mylan Labs, Pharmascience and Tolmar of an Abbreviated New Drug Application (“ANDA”) seeking approval from the FDA to market a generic version of INVEGA SUSTENNA before the expiration of U.S. Patent No. 9,439,906. In October 2021, the NJ District Court entered a judgment in favor of the Janssen entities in the Teva Lawsuit. In December 2021, the NJ District Court entered a judgment in favor of the Janssen entities in the Mylan Lawsuit, based on the parties’ prior stipulation to be bound by the judgment in the Teva Lawsuit. The Teva entities and Mylan Labs each filed notices of appeal of their respective judgments with the U.S. Court of Appeals for the Federal Circuit, which were consolidated in January 2022. A trial was scheduled in the Tolmar Lawsuit for October 2023. The Pharmascience Lawsuit remains pending. The Company is not a party to any of these proceedings.</w:t>
      </w:r>
    </w:p>
    <w:p>
      <w:pPr>
        <w:spacing w:after="0" w:line="79"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b w:val="1"/>
          <w:bCs w:val="1"/>
          <w:u w:val="single" w:color="auto"/>
          <w:color w:val="auto"/>
        </w:rPr>
        <w:t>INVEGA TRINZA ANDA Litigation</w:t>
      </w:r>
    </w:p>
    <w:p>
      <w:pPr>
        <w:spacing w:after="0" w:line="118" w:lineRule="exact"/>
        <w:rPr>
          <w:sz w:val="20"/>
          <w:szCs w:val="20"/>
          <w:color w:val="auto"/>
        </w:rPr>
      </w:pPr>
    </w:p>
    <w:p>
      <w:pPr>
        <w:ind w:left="8" w:right="200" w:firstLine="306"/>
        <w:spacing w:after="0" w:line="265" w:lineRule="auto"/>
        <w:rPr>
          <w:sz w:val="20"/>
          <w:szCs w:val="20"/>
          <w:color w:val="auto"/>
        </w:rPr>
      </w:pPr>
      <w:r>
        <w:rPr>
          <w:rFonts w:ascii="Times New Roman" w:cs="Times New Roman" w:eastAsia="Times New Roman" w:hAnsi="Times New Roman"/>
          <w:sz w:val="12"/>
          <w:szCs w:val="12"/>
          <w:color w:val="auto"/>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A trial has been scheduled for October 2022. The Company is not a party to this proceeding.</w:t>
      </w:r>
    </w:p>
    <w:p>
      <w:pPr>
        <w:spacing w:after="0" w:line="61" w:lineRule="exact"/>
        <w:rPr>
          <w:sz w:val="20"/>
          <w:szCs w:val="20"/>
          <w:color w:val="auto"/>
        </w:rPr>
      </w:pPr>
    </w:p>
    <w:p>
      <w:pPr>
        <w:ind w:left="308"/>
        <w:spacing w:after="0"/>
        <w:rPr>
          <w:sz w:val="20"/>
          <w:szCs w:val="20"/>
          <w:color w:val="auto"/>
        </w:rPr>
      </w:pPr>
      <w:r>
        <w:rPr>
          <w:rFonts w:ascii="Times New Roman" w:cs="Times New Roman" w:eastAsia="Times New Roman" w:hAnsi="Times New Roman"/>
          <w:sz w:val="12"/>
          <w:szCs w:val="12"/>
          <w:b w:val="1"/>
          <w:bCs w:val="1"/>
          <w:u w:val="single" w:color="auto"/>
          <w:color w:val="auto"/>
        </w:rPr>
        <w:t>VIVITROL ANDA Litigation</w:t>
      </w:r>
    </w:p>
    <w:p>
      <w:pPr>
        <w:spacing w:after="0" w:line="136" w:lineRule="exact"/>
        <w:rPr>
          <w:sz w:val="20"/>
          <w:szCs w:val="20"/>
          <w:color w:val="auto"/>
        </w:rPr>
      </w:pPr>
    </w:p>
    <w:p>
      <w:pPr>
        <w:ind w:left="8" w:right="60" w:firstLine="306"/>
        <w:spacing w:after="0" w:line="279" w:lineRule="auto"/>
        <w:rPr>
          <w:sz w:val="20"/>
          <w:szCs w:val="20"/>
          <w:color w:val="auto"/>
        </w:rPr>
      </w:pPr>
      <w:r>
        <w:rPr>
          <w:rFonts w:ascii="Times New Roman" w:cs="Times New Roman" w:eastAsia="Times New Roman" w:hAnsi="Times New Roman"/>
          <w:sz w:val="12"/>
          <w:szCs w:val="12"/>
          <w:color w:val="auto"/>
        </w:rPr>
        <w:t>In September 2020, Alkermes, Inc. and Alkermes Pharma Ireland Limited filed a patent infringement lawsuit in the NJ District Court against Teva and Teva PI following the filing by Teva of an ANDA seeking approval from the FDA to</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33" w:right="29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ALKERMES PLC AND SUBSIDIARIES</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 (Unaudited) (Continued)</w:t>
      </w:r>
    </w:p>
    <w:p>
      <w:pPr>
        <w:spacing w:after="0" w:line="2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engage in the commercial manufacture, use or sale of a generic version of VIVITROL (naltrexone for extended-release injectable suspension) before the expiration of the Company’s U.S. Patent No. 7,919,499. Teva filed its answer in November 2020, which included counterclaims against the Company. The Company filed its reply to Teva’s counterclaims in December 2020. The Company intends to vigorously defend its IP. The filing of the lawsuit triggered a stay of FDA approval of the ANDA for up to 30 months in accordance with the U.S. Drug Price Competition and Patent Term Restoration Act of 1984 (the Hatch-Waxman Act).</w:t>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u w:val="single" w:color="auto"/>
          <w:color w:val="auto"/>
        </w:rPr>
        <w:t>Government Matters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The Company has received a subpoena and civil investigative demands from U.S. state and federal governmental authorities for documents related to VIVITROL. The Company is cooperating with the investigations.</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u w:val="single" w:color="auto"/>
          <w:color w:val="auto"/>
        </w:rPr>
        <w:t>Product Liability and Other Legal Proceedings</w:t>
      </w:r>
    </w:p>
    <w:p>
      <w:pPr>
        <w:spacing w:after="0" w:line="109" w:lineRule="exact"/>
        <w:rPr>
          <w:sz w:val="20"/>
          <w:szCs w:val="20"/>
          <w:color w:val="auto"/>
        </w:rPr>
      </w:pPr>
    </w:p>
    <w:p>
      <w:pPr>
        <w:ind w:right="20" w:firstLine="306"/>
        <w:spacing w:after="0" w:line="265" w:lineRule="auto"/>
        <w:rPr>
          <w:sz w:val="20"/>
          <w:szCs w:val="20"/>
          <w:color w:val="auto"/>
        </w:rPr>
      </w:pPr>
      <w:r>
        <w:rPr>
          <w:rFonts w:ascii="Times New Roman" w:cs="Times New Roman" w:eastAsia="Times New Roman" w:hAnsi="Times New Roman"/>
          <w:sz w:val="12"/>
          <w:szCs w:val="12"/>
          <w:color w:val="auto"/>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While the outcome of any of these proceedings cannot be accurately predicted, the Company does not believe the ultimate resolution of any of these existing proceedings would have a material adverse effect on the Company’s business or financial condition.</w:t>
      </w: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233"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18" w:lineRule="exact"/>
        <w:rPr>
          <w:sz w:val="20"/>
          <w:szCs w:val="20"/>
          <w:color w:val="auto"/>
        </w:rPr>
      </w:pPr>
    </w:p>
    <w:p>
      <w:pPr>
        <w:ind w:right="340" w:firstLine="418"/>
        <w:spacing w:after="0" w:line="264" w:lineRule="auto"/>
        <w:rPr>
          <w:sz w:val="20"/>
          <w:szCs w:val="20"/>
          <w:color w:val="auto"/>
        </w:rPr>
      </w:pPr>
      <w:r>
        <w:rPr>
          <w:rFonts w:ascii="Times New Roman" w:cs="Times New Roman" w:eastAsia="Times New Roman" w:hAnsi="Times New Roman"/>
          <w:sz w:val="12"/>
          <w:szCs w:val="12"/>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Summary</w:t>
      </w:r>
    </w:p>
    <w:p>
      <w:pPr>
        <w:spacing w:after="0" w:line="118" w:lineRule="exact"/>
        <w:rPr>
          <w:sz w:val="20"/>
          <w:szCs w:val="20"/>
          <w:color w:val="auto"/>
        </w:rPr>
      </w:pPr>
    </w:p>
    <w:p>
      <w:pPr>
        <w:ind w:right="100" w:firstLine="418"/>
        <w:spacing w:after="0" w:line="248" w:lineRule="auto"/>
        <w:rPr>
          <w:sz w:val="20"/>
          <w:szCs w:val="20"/>
          <w:color w:val="auto"/>
        </w:rPr>
      </w:pPr>
      <w:r>
        <w:rPr>
          <w:rFonts w:ascii="Times New Roman" w:cs="Times New Roman" w:eastAsia="Times New Roman" w:hAnsi="Times New Roman"/>
          <w:sz w:val="12"/>
          <w:szCs w:val="12"/>
          <w:color w:val="auto"/>
        </w:rPr>
        <w:t>Net loss was $(30.1) million and $(66.0) million or $(0.18) and $(0.40) per ordinary share—basic and diluted, for the three and six months ended June 30, 2022, respectively, as compared to a net income of $2.4 million and a net loss of $(20.1) million or $0.01 and $(0.13) per ordinary share—basic and diluted for the three and six months ended June 30, 2021, respectively.</w:t>
      </w:r>
    </w:p>
    <w:p>
      <w:pPr>
        <w:spacing w:after="0" w:line="93" w:lineRule="exact"/>
        <w:rPr>
          <w:sz w:val="20"/>
          <w:szCs w:val="20"/>
          <w:color w:val="auto"/>
        </w:rPr>
      </w:pPr>
    </w:p>
    <w:p>
      <w:pPr>
        <w:ind w:right="40" w:firstLine="418"/>
        <w:spacing w:after="0" w:line="239" w:lineRule="auto"/>
        <w:rPr>
          <w:sz w:val="20"/>
          <w:szCs w:val="20"/>
          <w:color w:val="auto"/>
        </w:rPr>
      </w:pPr>
      <w:r>
        <w:rPr>
          <w:rFonts w:ascii="Times New Roman" w:cs="Times New Roman" w:eastAsia="Times New Roman" w:hAnsi="Times New Roman"/>
          <w:sz w:val="12"/>
          <w:szCs w:val="12"/>
          <w:color w:val="auto"/>
        </w:rPr>
        <w:t>The increases in net loss in the three and six months ended June 30, 2022, as compared to the three and six months ended June 30, 2021, were primarily due to decreases of $57.0 million and $71.6 million, respectively, in manufacturing and royalty revenues, increases of $11.4 million and $48.6 million, respectively, in operating expenses, and decreases of $2.4 million and $22.7 million, respectively, in the fair value of our contingent consideration related to increased risk of non-payment, partially offset by increases of $30.0 million and $71.3 million, respectively, in product sales, net. The increases in operating expenses in the three and six months ended June 30, 2022 primarily related to increases of $5.2 million and $19.4 million, respectively, in cost of goods manufactured and sold and increases of $11.2 million and $31.1 million, respectively, in selling, general and administrative expense.</w:t>
      </w:r>
    </w:p>
    <w:p>
      <w:pPr>
        <w:spacing w:after="0" w:line="98" w:lineRule="exact"/>
        <w:rPr>
          <w:sz w:val="20"/>
          <w:szCs w:val="20"/>
          <w:color w:val="auto"/>
        </w:rPr>
      </w:pPr>
    </w:p>
    <w:p>
      <w:pPr>
        <w:ind w:right="320" w:firstLine="418"/>
        <w:spacing w:after="0" w:line="438" w:lineRule="auto"/>
        <w:rPr>
          <w:sz w:val="20"/>
          <w:szCs w:val="20"/>
          <w:color w:val="auto"/>
        </w:rPr>
      </w:pPr>
      <w:r>
        <w:rPr>
          <w:rFonts w:ascii="Times New Roman" w:cs="Times New Roman" w:eastAsia="Times New Roman" w:hAnsi="Times New Roman"/>
          <w:sz w:val="12"/>
          <w:szCs w:val="12"/>
          <w:color w:val="auto"/>
        </w:rPr>
        <w:t xml:space="preserve">These items are discussed in greater detail later in the “Results of Operations” section in this “Part I, Item 2—Management’s Discussion and Analysis of Financial Condition and Results of Operations” in this Form 10-Q. </w:t>
      </w:r>
      <w:r>
        <w:rPr>
          <w:rFonts w:ascii="Times New Roman" w:cs="Times New Roman" w:eastAsia="Times New Roman" w:hAnsi="Times New Roman"/>
          <w:sz w:val="12"/>
          <w:szCs w:val="12"/>
          <w:b w:val="1"/>
          <w:bCs w:val="1"/>
          <w:color w:val="auto"/>
        </w:rPr>
        <w:t>COVID-19 Update</w:t>
      </w:r>
    </w:p>
    <w:p>
      <w:pPr>
        <w:ind w:right="40" w:firstLine="418"/>
        <w:spacing w:after="0" w:line="238" w:lineRule="auto"/>
        <w:rPr>
          <w:sz w:val="20"/>
          <w:szCs w:val="20"/>
          <w:color w:val="auto"/>
        </w:rPr>
      </w:pPr>
      <w:r>
        <w:rPr>
          <w:rFonts w:ascii="Times New Roman" w:cs="Times New Roman" w:eastAsia="Times New Roman" w:hAnsi="Times New Roman"/>
          <w:sz w:val="12"/>
          <w:szCs w:val="12"/>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and implemented quarantines, vaccine and masking mandates, restrictive executive orders and other similar government orders, restrictions, and recommendations for their residents to help control the spread of COVID-19, and may continue to do so while the pandemic persists. Such orders, mandates, restrictions and/or recommendations, and/or the perception that additional orders, mandates, restrictions or recommendations could occur, have, at times during the pandemic, resulted in widespread interruptions and closures of businesses, including healthcare systems that serve people living with addiction and serious mental illness, work stoppages, slowdowns and/or delays, remote work policies and travel restrictions, among other effects.</w:t>
      </w:r>
    </w:p>
    <w:p>
      <w:pPr>
        <w:spacing w:after="0" w:line="99" w:lineRule="exact"/>
        <w:rPr>
          <w:sz w:val="20"/>
          <w:szCs w:val="20"/>
          <w:color w:val="auto"/>
        </w:rPr>
      </w:pPr>
    </w:p>
    <w:p>
      <w:pPr>
        <w:ind w:right="20" w:firstLine="418"/>
        <w:spacing w:after="0" w:line="235" w:lineRule="auto"/>
        <w:rPr>
          <w:sz w:val="20"/>
          <w:szCs w:val="20"/>
          <w:color w:val="auto"/>
        </w:rPr>
      </w:pPr>
      <w:r>
        <w:rPr>
          <w:rFonts w:ascii="Times New Roman" w:cs="Times New Roman" w:eastAsia="Times New Roman" w:hAnsi="Times New Roman"/>
          <w:sz w:val="12"/>
          <w:szCs w:val="12"/>
          <w:color w:val="auto"/>
        </w:rPr>
        <w:t>The COVID-19 pandemic has caused, and we expect may continue to cause, varying degrees of disruption to our employees and our business operations. While we have continued to operate our manufacturing facilities and supply our medicines throughout the pandemic, we have, at times during the pandemic experienced labor or supply chain disruptions at our manufacturing facilities, and may continue to experience such disruptions while the pandemic persists. In addition, while we have continued to conduct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mitigate, the potential impact of COVID-19 on our manufacturing operations and R&amp;D activities.</w:t>
      </w:r>
    </w:p>
    <w:p>
      <w:pPr>
        <w:spacing w:after="0" w:line="98" w:lineRule="exact"/>
        <w:rPr>
          <w:sz w:val="20"/>
          <w:szCs w:val="20"/>
          <w:color w:val="auto"/>
        </w:rPr>
      </w:pPr>
    </w:p>
    <w:p>
      <w:pPr>
        <w:ind w:firstLine="418"/>
        <w:spacing w:after="0" w:line="249" w:lineRule="auto"/>
        <w:rPr>
          <w:sz w:val="20"/>
          <w:szCs w:val="20"/>
          <w:color w:val="auto"/>
        </w:rPr>
      </w:pPr>
      <w:r>
        <w:rPr>
          <w:rFonts w:ascii="Times New Roman" w:cs="Times New Roman" w:eastAsia="Times New Roman" w:hAnsi="Times New Roman"/>
          <w:sz w:val="12"/>
          <w:szCs w:val="12"/>
          <w:color w:val="auto"/>
        </w:rPr>
        <w:t>A number of the marketed products from which we derive revenue, including manufacturing and royalty revenue, are injectable medications administered by healthcare professionals. Given developments that have transpired to date, and may continue to transpire, in response to the pandemic, including business closures, travel restrictions, quarantine, testing and/or vaccine mandates and other protocols, labor shortages and other restrictive measures, commercial sales of these marketed products have been adversely impacted to varying degrees during the pandemic and may continue to be adversely impacted while the pandemic persists.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404" w:right="319" w:bottom="1440" w:gutter="0" w:footer="0" w:header="0"/>
        </w:sectPr>
      </w:pPr>
    </w:p>
    <w:bookmarkStart w:id="23" w:name="page24"/>
    <w:bookmarkEnd w:id="23"/>
    <w:p>
      <w:pPr>
        <w:ind w:firstLine="418"/>
        <w:spacing w:after="0" w:line="283" w:lineRule="auto"/>
        <w:rPr>
          <w:sz w:val="20"/>
          <w:szCs w:val="20"/>
          <w:color w:val="auto"/>
        </w:rPr>
      </w:pPr>
      <w:r>
        <w:rPr>
          <w:rFonts w:ascii="Times New Roman" w:cs="Times New Roman" w:eastAsia="Times New Roman" w:hAnsi="Times New Roman"/>
          <w:sz w:val="11"/>
          <w:szCs w:val="11"/>
          <w:color w:val="auto"/>
        </w:rPr>
        <w:t>In addition, we rely upon third parties for many aspects of our business, including the provision of goods and services related to the manufacture of our clinical products and our and our partners’ marketed products, the conduct of our clinical trials, and the sale of our proprietary marketed products and the marketed products of our licensees from which we receive manufacturing and royalty revenue. Any prolonged material disruption to the third parties on which we rely could negatively impact our ability to conduct business in the manner and on the timelines presently planned, which could have a material adverse impact on our business, results of operations and financial condition.</w:t>
      </w:r>
    </w:p>
    <w:p>
      <w:pPr>
        <w:spacing w:after="0" w:line="75" w:lineRule="exact"/>
        <w:rPr>
          <w:sz w:val="20"/>
          <w:szCs w:val="20"/>
          <w:color w:val="auto"/>
        </w:rPr>
      </w:pPr>
    </w:p>
    <w:p>
      <w:pPr>
        <w:ind w:right="100" w:firstLine="418"/>
        <w:spacing w:after="0" w:line="235" w:lineRule="auto"/>
        <w:rPr>
          <w:sz w:val="20"/>
          <w:szCs w:val="20"/>
          <w:color w:val="auto"/>
        </w:rPr>
      </w:pPr>
      <w:r>
        <w:rPr>
          <w:rFonts w:ascii="Times New Roman" w:cs="Times New Roman" w:eastAsia="Times New Roman" w:hAnsi="Times New Roman"/>
          <w:sz w:val="12"/>
          <w:szCs w:val="12"/>
          <w:color w:val="auto"/>
        </w:rPr>
        <w:t>Due to numerous uncertainties surrounding the ongoing COVID-19 pandemic, the actual impact of the pandemic on our financial condition and operating results may differ from our current projections. These uncertainties include, among other things, the ultimate severity and duration of the pandemic and the manner in which it continues to evolve, including the emergence, prevalence and severity of new or existing COVID-19 variants, and future developments in response thereto, which are highly uncertain and cannot be predicted as of the date of this Form 10-Q. For additional information about risks and uncertainties related to the COVID-19 pandemic that may impact our business, our financial condition or our results of operations, see “Part I, Item 1A—Risk Factors” in our Annual Report and specifically the section entitled “—Our business, financial condition and results of operations have been, and may continue to be, adversely affected by the ongoing COVID-19 pandemic or other similar outbreaks of contagious diseases.”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Marketed Products</w:t>
      </w:r>
    </w:p>
    <w:p>
      <w:pPr>
        <w:spacing w:after="0" w:line="114" w:lineRule="exact"/>
        <w:rPr>
          <w:sz w:val="20"/>
          <w:szCs w:val="20"/>
          <w:color w:val="auto"/>
        </w:rPr>
      </w:pPr>
    </w:p>
    <w:p>
      <w:pPr>
        <w:ind w:right="160" w:firstLine="418"/>
        <w:spacing w:after="0" w:line="241" w:lineRule="auto"/>
        <w:rPr>
          <w:sz w:val="20"/>
          <w:szCs w:val="20"/>
          <w:color w:val="auto"/>
        </w:rPr>
      </w:pPr>
      <w:r>
        <w:rPr>
          <w:rFonts w:ascii="Times New Roman" w:cs="Times New Roman" w:eastAsia="Times New Roman" w:hAnsi="Times New Roman"/>
          <w:sz w:val="12"/>
          <w:szCs w:val="12"/>
          <w:color w:val="auto"/>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81" w:right="31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2"/>
          <w:szCs w:val="12"/>
          <w:color w:val="auto"/>
        </w:rPr>
        <w:t>The following provides summary information regarding our proprietary products that we commercialize: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Proprietary Products</w:t>
      </w:r>
    </w:p>
    <w:p>
      <w:pPr>
        <w:spacing w:after="0" w:line="132" w:lineRule="exact"/>
        <w:rPr>
          <w:sz w:val="20"/>
          <w:szCs w:val="20"/>
          <w:color w:val="auto"/>
        </w:rPr>
      </w:pPr>
    </w:p>
    <w:p>
      <w:pPr>
        <w:jc w:val="both"/>
        <w:ind w:left="2680"/>
        <w:spacing w:after="0"/>
        <w:tabs>
          <w:tab w:leader="none" w:pos="6880" w:val="left"/>
        </w:tabs>
        <w:rPr>
          <w:sz w:val="20"/>
          <w:szCs w:val="20"/>
          <w:color w:val="auto"/>
        </w:rPr>
      </w:pPr>
      <w:r>
        <w:rPr>
          <w:rFonts w:ascii="Times New Roman" w:cs="Times New Roman" w:eastAsia="Times New Roman" w:hAnsi="Times New Roman"/>
          <w:sz w:val="12"/>
          <w:szCs w:val="12"/>
          <w:b w:val="1"/>
          <w:bCs w:val="1"/>
          <w:color w:val="auto"/>
        </w:rPr>
        <w:t>Product</w:t>
      </w:r>
      <w:r>
        <w:rPr>
          <w:sz w:val="20"/>
          <w:szCs w:val="20"/>
          <w:color w:val="auto"/>
        </w:rPr>
        <w:tab/>
      </w:r>
      <w:r>
        <w:rPr>
          <w:rFonts w:ascii="Times New Roman" w:cs="Times New Roman" w:eastAsia="Times New Roman" w:hAnsi="Times New Roman"/>
          <w:sz w:val="12"/>
          <w:szCs w:val="12"/>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545211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5715"/>
                    </a:xfrm>
                    <a:prstGeom prst="rect">
                      <a:avLst/>
                    </a:prstGeom>
                    <a:noFill/>
                  </pic:spPr>
                </pic:pic>
              </a:graphicData>
            </a:graphic>
          </wp:anchor>
        </w:drawing>
      </w:r>
    </w:p>
    <w:p>
      <w:pPr>
        <w:spacing w:after="0" w:line="1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Initiation or re-initiation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-80010</wp:posOffset>
            </wp:positionV>
            <wp:extent cx="1514475" cy="1897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4475" cy="189738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2"/>
          <w:szCs w:val="12"/>
          <w:color w:val="auto"/>
        </w:rPr>
        <w:t>ARISTADA for the treatment of</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Schizophrenia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862330</wp:posOffset>
            </wp:positionV>
            <wp:extent cx="545211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5715"/>
                    </a:xfrm>
                    <a:prstGeom prst="rect">
                      <a:avLst/>
                    </a:prstGeom>
                    <a:noFill/>
                  </pic:spPr>
                </pic:pic>
              </a:graphicData>
            </a:graphic>
          </wp:anchor>
        </w:drawing>
        <w:drawing>
          <wp:anchor simplePos="0" relativeHeight="251657728" behindDoc="1" locked="0" layoutInCell="0" allowOverlap="1">
            <wp:simplePos x="0" y="0"/>
            <wp:positionH relativeFrom="column">
              <wp:posOffset>3732530</wp:posOffset>
            </wp:positionH>
            <wp:positionV relativeFrom="paragraph">
              <wp:posOffset>-85725</wp:posOffset>
            </wp:positionV>
            <wp:extent cx="171450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Schizophrenia and</w:t>
      </w:r>
    </w:p>
    <w:p>
      <w:pPr>
        <w:spacing w:after="0" w:line="1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1038225</wp:posOffset>
            </wp:positionV>
            <wp:extent cx="545211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-80010</wp:posOffset>
            </wp:positionV>
            <wp:extent cx="1988820" cy="885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88820" cy="885825"/>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2"/>
          <w:szCs w:val="12"/>
          <w:color w:val="auto"/>
        </w:rPr>
        <w:t>dependence and</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Opioid 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20320</wp:posOffset>
            </wp:positionV>
            <wp:extent cx="16516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51635" cy="571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862330</wp:posOffset>
            </wp:positionV>
            <wp:extent cx="16516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51635" cy="571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-85725</wp:posOffset>
            </wp:positionV>
            <wp:extent cx="16516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516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1136650</wp:posOffset>
            </wp:positionV>
            <wp:extent cx="165163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16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U.S.</w:t>
      </w:r>
    </w:p>
    <w:p>
      <w:pPr>
        <w:sectPr>
          <w:pgSz w:w="11900" w:h="16838" w:orient="portrait"/>
          <w:cols w:equalWidth="0" w:num="2">
            <w:col w:w="9060" w:space="720"/>
            <w:col w:w="480"/>
          </w:cols>
          <w:pgMar w:left="300" w:top="408" w:right="1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2"/>
          <w:szCs w:val="12"/>
          <w:color w:val="auto"/>
        </w:rPr>
        <w:t>The following provides summary information regarding our key licensed product and certain key third-party products using our proprietary technologies under license, all of which are commercialized by our licensees: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Key Third-Party Products Using Our Proprietary Technologies</w:t>
            </w: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7"/>
        </w:trPr>
        <w:tc>
          <w:tcPr>
            <w:tcW w:w="45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2"/>
                <w:szCs w:val="12"/>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2"/>
                <w:szCs w:val="12"/>
                <w:b w:val="1"/>
                <w:bCs w:val="1"/>
                <w:color w:val="auto"/>
              </w:rPr>
              <w:t>Indication(s)</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2"/>
                <w:szCs w:val="12"/>
                <w:b w:val="1"/>
                <w:bCs w:val="1"/>
                <w:color w:val="auto"/>
              </w:rPr>
              <w:t>Licensee</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color w:val="auto"/>
              </w:rPr>
              <w:t>Licensed Territory</w:t>
            </w:r>
          </w:p>
        </w:tc>
        <w:tc>
          <w:tcPr>
            <w:tcW w:w="0" w:type="dxa"/>
            <w:vAlign w:val="bottom"/>
          </w:tcPr>
          <w:p>
            <w:pPr>
              <w:spacing w:after="0"/>
              <w:rPr>
                <w:sz w:val="1"/>
                <w:szCs w:val="1"/>
                <w:color w:val="auto"/>
              </w:rPr>
            </w:pPr>
          </w:p>
        </w:tc>
      </w:tr>
      <w:tr>
        <w:trPr>
          <w:trHeight w:val="266"/>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70AD47"/>
              </w:rPr>
              <w:t>RISPERDAL CONSTA</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Schizophrenia</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Worldwide</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and Bipolar I</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Pharmaceuticals, Inc. and Janssen</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disorder</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Pharmaceutica International, a division of</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Cilag International AG (“Janssen</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International”)</w:t>
            </w: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70AD47"/>
              </w:rPr>
              <w:t>INVEGA SUSTENNA* / XEPLION</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INVEGA SUSTENNA</w:t>
            </w:r>
            <w:r>
              <w:rPr>
                <w:rFonts w:ascii="Times New Roman" w:cs="Times New Roman" w:eastAsia="Times New Roman" w:hAnsi="Times New Roman"/>
                <w:sz w:val="12"/>
                <w:szCs w:val="12"/>
                <w:color w:val="auto"/>
              </w:rPr>
              <w:t>:</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Janssen Pharmaceutica</w:t>
            </w:r>
          </w:p>
        </w:tc>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Worldwide</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Schizophrenia</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(together with Janssen</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and Schizoaffective</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Pharmaceuticals, Inc., Janssen International</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disorder</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and their affiliates “Janssen”)</w:t>
            </w: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XEPLION</w:t>
            </w:r>
            <w:r>
              <w:rPr>
                <w:rFonts w:ascii="Times New Roman" w:cs="Times New Roman" w:eastAsia="Times New Roman" w:hAnsi="Times New Roman"/>
                <w:sz w:val="12"/>
                <w:szCs w:val="12"/>
                <w:color w:val="auto"/>
              </w:rPr>
              <w:t>:</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70AD47"/>
              </w:rPr>
              <w:t>INVEGA TRINZA* / TREVICTA</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Schizophrenia</w:t>
            </w: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40" w:type="dxa"/>
            <w:vAlign w:val="bottom"/>
            <w:gridSpan w:val="2"/>
            <w:vMerge w:val="continue"/>
          </w:tcPr>
          <w:p>
            <w:pPr>
              <w:spacing w:after="0"/>
              <w:rPr>
                <w:sz w:val="13"/>
                <w:szCs w:val="13"/>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Schizophrenia</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Worldwide</w:t>
            </w:r>
          </w:p>
        </w:tc>
        <w:tc>
          <w:tcPr>
            <w:tcW w:w="0" w:type="dxa"/>
            <w:vAlign w:val="bottom"/>
          </w:tcPr>
          <w:p>
            <w:pPr>
              <w:spacing w:after="0"/>
              <w:rPr>
                <w:sz w:val="1"/>
                <w:szCs w:val="1"/>
                <w:color w:val="auto"/>
              </w:rPr>
            </w:pPr>
          </w:p>
        </w:tc>
      </w:tr>
      <w:tr>
        <w:trPr>
          <w:trHeight w:val="549"/>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70AD47"/>
              </w:rPr>
              <w:t>INVEGA HAFYERA* / BYANNLI</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Schizophrenia</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Janssen</w:t>
            </w:r>
          </w:p>
        </w:tc>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Worldwide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both"/>
        <w:ind w:left="820" w:right="680" w:hanging="414"/>
        <w:spacing w:after="0" w:line="265" w:lineRule="auto"/>
        <w:tabs>
          <w:tab w:leader="none" w:pos="820" w:val="left"/>
        </w:tabs>
        <w:numPr>
          <w:ilvl w:val="0"/>
          <w:numId w:val="1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 xml:space="preserve">Janssen partially terminated its license agreement related to these products in the U.S., effective February 2022. See the section entitled “Products Using Our Proprietary Technologies” below and Note 15, </w:t>
      </w:r>
      <w:r>
        <w:rPr>
          <w:rFonts w:ascii="Times New Roman" w:cs="Times New Roman" w:eastAsia="Times New Roman" w:hAnsi="Times New Roman"/>
          <w:sz w:val="12"/>
          <w:szCs w:val="12"/>
          <w:i w:val="1"/>
          <w:iCs w:val="1"/>
          <w:color w:val="auto"/>
        </w:rPr>
        <w:t xml:space="preserve">Commitments and Contingent Liabilities </w:t>
      </w:r>
      <w:r>
        <w:rPr>
          <w:rFonts w:ascii="Times New Roman" w:cs="Times New Roman" w:eastAsia="Times New Roman" w:hAnsi="Times New Roman"/>
          <w:sz w:val="12"/>
          <w:szCs w:val="12"/>
          <w:color w:val="auto"/>
        </w:rPr>
        <w:t>in the “Notes to Condensed Consolidated Financial Statements” in this Form 10-Q for more information with respect to this partial termination and the arbitration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proceedings that we commenced related to such partial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53149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495" cy="571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Our Key Licensed Product</w:t>
            </w: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288"/>
        </w:trPr>
        <w:tc>
          <w:tcPr>
            <w:tcW w:w="45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2"/>
                <w:szCs w:val="12"/>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2"/>
                <w:szCs w:val="12"/>
                <w:b w:val="1"/>
                <w:bCs w:val="1"/>
                <w:color w:val="auto"/>
              </w:rPr>
              <w:t>Indication(s)</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Licensee</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color w:val="auto"/>
              </w:rPr>
              <w:t>Licensed Territory</w:t>
            </w:r>
          </w:p>
        </w:tc>
      </w:tr>
      <w:tr>
        <w:trPr>
          <w:trHeight w:val="277"/>
        </w:trPr>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i w:val="1"/>
                <w:iCs w:val="1"/>
                <w:color w:val="70AD47"/>
              </w:rPr>
              <w:t>VUMERITY</w:t>
            </w: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Multiple sclerosis</w:t>
            </w:r>
          </w:p>
        </w:tc>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Biogen</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Worldwide</w:t>
            </w:r>
          </w:p>
        </w:tc>
      </w:tr>
    </w:tbl>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Proprietary Products</w:t>
      </w:r>
    </w:p>
    <w:p>
      <w:pPr>
        <w:spacing w:after="0" w:line="116" w:lineRule="exact"/>
        <w:rPr>
          <w:sz w:val="20"/>
          <w:szCs w:val="20"/>
          <w:color w:val="auto"/>
        </w:rPr>
      </w:pPr>
    </w:p>
    <w:p>
      <w:pPr>
        <w:ind w:right="520" w:firstLine="418"/>
        <w:spacing w:after="0" w:line="264" w:lineRule="auto"/>
        <w:rPr>
          <w:sz w:val="20"/>
          <w:szCs w:val="20"/>
          <w:color w:val="auto"/>
        </w:rPr>
      </w:pPr>
      <w:r>
        <w:rPr>
          <w:rFonts w:ascii="Times New Roman" w:cs="Times New Roman" w:eastAsia="Times New Roman" w:hAnsi="Times New Roman"/>
          <w:sz w:val="12"/>
          <w:szCs w:val="12"/>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89" w:right="29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ARISTADA</w:t>
      </w:r>
    </w:p>
    <w:p>
      <w:pPr>
        <w:spacing w:after="0" w:line="127" w:lineRule="exact"/>
        <w:rPr>
          <w:sz w:val="20"/>
          <w:szCs w:val="20"/>
          <w:color w:val="auto"/>
        </w:rPr>
      </w:pPr>
    </w:p>
    <w:p>
      <w:pPr>
        <w:ind w:firstLine="418"/>
        <w:spacing w:after="0" w:line="260" w:lineRule="auto"/>
        <w:rPr>
          <w:sz w:val="20"/>
          <w:szCs w:val="20"/>
          <w:color w:val="auto"/>
        </w:rPr>
      </w:pPr>
      <w:r>
        <w:rPr>
          <w:rFonts w:ascii="Times New Roman" w:cs="Times New Roman" w:eastAsia="Times New Roman" w:hAnsi="Times New Roman"/>
          <w:sz w:val="12"/>
          <w:szCs w:val="12"/>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ARISTADA INITIO</w:t>
      </w:r>
    </w:p>
    <w:p>
      <w:pPr>
        <w:spacing w:after="0" w:line="127" w:lineRule="exact"/>
        <w:rPr>
          <w:sz w:val="20"/>
          <w:szCs w:val="20"/>
          <w:color w:val="auto"/>
        </w:rPr>
      </w:pPr>
    </w:p>
    <w:p>
      <w:pPr>
        <w:ind w:right="80" w:firstLine="418"/>
        <w:spacing w:after="0" w:line="260" w:lineRule="auto"/>
        <w:rPr>
          <w:sz w:val="20"/>
          <w:szCs w:val="20"/>
          <w:color w:val="auto"/>
        </w:rPr>
      </w:pPr>
      <w:r>
        <w:rPr>
          <w:rFonts w:ascii="Times New Roman" w:cs="Times New Roman" w:eastAsia="Times New Roman" w:hAnsi="Times New Roman"/>
          <w:sz w:val="12"/>
          <w:szCs w:val="12"/>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LYBALVI</w:t>
      </w:r>
    </w:p>
    <w:p>
      <w:pPr>
        <w:spacing w:after="0" w:line="127" w:lineRule="exact"/>
        <w:rPr>
          <w:sz w:val="20"/>
          <w:szCs w:val="20"/>
          <w:color w:val="auto"/>
        </w:rPr>
      </w:pPr>
    </w:p>
    <w:p>
      <w:pPr>
        <w:ind w:right="20" w:firstLine="418"/>
        <w:spacing w:after="0" w:line="239" w:lineRule="auto"/>
        <w:rPr>
          <w:sz w:val="20"/>
          <w:szCs w:val="20"/>
          <w:color w:val="auto"/>
        </w:rPr>
      </w:pPr>
      <w:r>
        <w:rPr>
          <w:rFonts w:ascii="Times New Roman" w:cs="Times New Roman" w:eastAsia="Times New Roman" w:hAnsi="Times New Roman"/>
          <w:sz w:val="12"/>
          <w:szCs w:val="12"/>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composed of olanzapine, an established antipsychotic agent, co-formulated with samidorphan, a new chemical entity, in a single bilayer tablet. LYBALVI was launched commercially in October 2021 and is available in fixed dosage strengths composed of 10 mg of samidorphan and 5 mg, 10 mg, 15 mg or 20 mg of olanzapine. We exclusively manufacture and commercialize LYBALVI in the U.S.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June 2022, U.S. Patent No. 11,351,166 relating to LYBALVI was granted. The patent has claims to methods of treating schizophrenia or bipolar disorder and expires in 2031.</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VIVITROL</w:t>
      </w:r>
    </w:p>
    <w:p>
      <w:pPr>
        <w:spacing w:after="0" w:line="127" w:lineRule="exact"/>
        <w:rPr>
          <w:sz w:val="20"/>
          <w:szCs w:val="20"/>
          <w:color w:val="auto"/>
        </w:rPr>
      </w:pPr>
    </w:p>
    <w:p>
      <w:pPr>
        <w:jc w:val="both"/>
        <w:ind w:firstLine="418"/>
        <w:spacing w:after="0" w:line="265" w:lineRule="auto"/>
        <w:rPr>
          <w:sz w:val="20"/>
          <w:szCs w:val="20"/>
          <w:color w:val="auto"/>
        </w:rPr>
      </w:pPr>
      <w:r>
        <w:rPr>
          <w:rFonts w:ascii="Times New Roman" w:cs="Times New Roman" w:eastAsia="Times New Roman" w:hAnsi="Times New Roman"/>
          <w:sz w:val="12"/>
          <w:szCs w:val="12"/>
          <w:color w:val="auto"/>
        </w:rPr>
        <w:t>VIVITROL (naltrexone for extended-release injectable suspension) is a once-monthly, non-narcotic, injectable medication approved in the U.S., Russia and certain countries of the Commonwealth of Independent States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17" w:lineRule="exact"/>
        <w:rPr>
          <w:sz w:val="20"/>
          <w:szCs w:val="20"/>
          <w:color w:val="auto"/>
        </w:rPr>
      </w:pPr>
    </w:p>
    <w:p>
      <w:pPr>
        <w:ind w:right="40" w:firstLine="418"/>
        <w:spacing w:after="0" w:line="258" w:lineRule="auto"/>
        <w:rPr>
          <w:sz w:val="20"/>
          <w:szCs w:val="20"/>
          <w:color w:val="auto"/>
        </w:rPr>
      </w:pPr>
      <w:r>
        <w:rPr>
          <w:rFonts w:ascii="Times New Roman" w:cs="Times New Roman" w:eastAsia="Times New Roman" w:hAnsi="Times New Roman"/>
          <w:sz w:val="12"/>
          <w:szCs w:val="12"/>
          <w:color w:val="auto"/>
        </w:rPr>
        <w:t xml:space="preserve">For a discussion of legal proceedings related to VIVITROL, see Note 15, </w:t>
      </w:r>
      <w:r>
        <w:rPr>
          <w:rFonts w:ascii="Times New Roman" w:cs="Times New Roman" w:eastAsia="Times New Roman" w:hAnsi="Times New Roman"/>
          <w:sz w:val="12"/>
          <w:szCs w:val="12"/>
          <w:i w:val="1"/>
          <w:iCs w:val="1"/>
          <w:color w:val="auto"/>
        </w:rPr>
        <w:t>Commitments and Contingent Liabilities</w:t>
      </w:r>
      <w:r>
        <w:rPr>
          <w:rFonts w:ascii="Times New Roman" w:cs="Times New Roman" w:eastAsia="Times New Roman" w:hAnsi="Times New Roman"/>
          <w:sz w:val="12"/>
          <w:szCs w:val="12"/>
          <w:color w:val="auto"/>
        </w:rPr>
        <w:t xml:space="preserve"> in the “Notes to Condensed Consolidated Financial Statements” in this Form 10-Q, and for information about risks relating to such legal proceedings, see “Part I, Item 1A—Risk Factors” in our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377" w:right="35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2"/>
          <w:szCs w:val="12"/>
          <w:i w:val="1"/>
          <w:iCs w:val="1"/>
          <w:color w:val="auto"/>
        </w:rPr>
        <w:t>Licensed Products and Products Using Our Proprietary Technologies</w:t>
      </w:r>
    </w:p>
    <w:p>
      <w:pPr>
        <w:spacing w:after="0" w:line="71" w:lineRule="exact"/>
        <w:rPr>
          <w:sz w:val="20"/>
          <w:szCs w:val="20"/>
          <w:color w:val="auto"/>
        </w:rPr>
      </w:pPr>
    </w:p>
    <w:p>
      <w:pPr>
        <w:ind w:right="60" w:firstLine="418"/>
        <w:spacing w:after="0" w:line="241" w:lineRule="auto"/>
        <w:rPr>
          <w:sz w:val="20"/>
          <w:szCs w:val="20"/>
          <w:color w:val="auto"/>
        </w:rPr>
      </w:pPr>
      <w:r>
        <w:rPr>
          <w:rFonts w:ascii="Times New Roman" w:cs="Times New Roman" w:eastAsia="Times New Roman" w:hAnsi="Times New Roman"/>
          <w:sz w:val="12"/>
          <w:szCs w:val="12"/>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the following:</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Products Using Our Proprietary Technologies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INVEGA SUSTENNA/XEPLION, INVEGA TRINZA/TREVICTA and INVEGA HAFYERA/BYANNLI</w:t>
      </w:r>
    </w:p>
    <w:p>
      <w:pPr>
        <w:spacing w:after="0" w:line="154" w:lineRule="exact"/>
        <w:rPr>
          <w:sz w:val="20"/>
          <w:szCs w:val="20"/>
          <w:color w:val="auto"/>
        </w:rPr>
      </w:pPr>
    </w:p>
    <w:p>
      <w:pPr>
        <w:ind w:firstLine="418"/>
        <w:spacing w:after="0" w:line="256" w:lineRule="auto"/>
        <w:rPr>
          <w:sz w:val="20"/>
          <w:szCs w:val="20"/>
          <w:color w:val="auto"/>
        </w:rPr>
      </w:pPr>
      <w:r>
        <w:rPr>
          <w:rFonts w:ascii="Times New Roman" w:cs="Times New Roman" w:eastAsia="Times New Roman" w:hAnsi="Times New Roman"/>
          <w:sz w:val="12"/>
          <w:szCs w:val="12"/>
          <w:color w:val="auto"/>
        </w:rPr>
        <w:t xml:space="preserve">In November 2021, we received notice of partial termination of our license agreement with Janssen in respect of INVEGA SUSTENNA, INVEGA TRINZA and INVEGA HAFYERA pursuant to which Janssen received access and rights to Alkermes’ small particle pharmaceutical compound technology, known as NanoCrystal Technology. This partial termination became effective in February 2022. In April 2022, we commenced binding arbitration proceedings related to, among other things, Janssen’s partial termination of this license agreement and Janssen’s royalty and other obligations under the agreement. For additional information regarding the arbitration proceedings with Janssen, see Note 15, </w:t>
      </w:r>
      <w:r>
        <w:rPr>
          <w:rFonts w:ascii="Times New Roman" w:cs="Times New Roman" w:eastAsia="Times New Roman" w:hAnsi="Times New Roman"/>
          <w:sz w:val="12"/>
          <w:szCs w:val="12"/>
          <w:i w:val="1"/>
          <w:iCs w:val="1"/>
          <w:color w:val="auto"/>
        </w:rPr>
        <w:t>Commitments and Contingent Liabilities</w:t>
      </w:r>
      <w:r>
        <w:rPr>
          <w:rFonts w:ascii="Times New Roman" w:cs="Times New Roman" w:eastAsia="Times New Roman" w:hAnsi="Times New Roman"/>
          <w:sz w:val="12"/>
          <w:szCs w:val="12"/>
          <w:color w:val="auto"/>
        </w:rPr>
        <w:t xml:space="preserve"> in the “Notes to Condensed Consolidated Financial Statements” in this Form 10-Q and for information about risks relating to this notice of partial termination and our collaborative arrangements more broadly, see “Part I, Item 1A—Risk Factors” in our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long-acting INVEGA products are long-acting atypical antipsychotics owned and commercialized worldwide by Janssen. We believe that these products were developed using, and incorporate, our technologies.</w:t>
      </w:r>
    </w:p>
    <w:p>
      <w:pPr>
        <w:spacing w:after="0" w:line="150" w:lineRule="exact"/>
        <w:rPr>
          <w:sz w:val="20"/>
          <w:szCs w:val="20"/>
          <w:color w:val="auto"/>
        </w:rPr>
      </w:pPr>
    </w:p>
    <w:p>
      <w:pPr>
        <w:ind w:right="20" w:firstLine="418"/>
        <w:spacing w:after="0" w:line="265" w:lineRule="auto"/>
        <w:rPr>
          <w:sz w:val="20"/>
          <w:szCs w:val="20"/>
          <w:color w:val="auto"/>
        </w:rPr>
      </w:pPr>
      <w:r>
        <w:rPr>
          <w:rFonts w:ascii="Times New Roman" w:cs="Times New Roman" w:eastAsia="Times New Roman" w:hAnsi="Times New Roman"/>
          <w:sz w:val="12"/>
          <w:szCs w:val="12"/>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19" w:lineRule="exact"/>
        <w:rPr>
          <w:sz w:val="20"/>
          <w:szCs w:val="20"/>
          <w:color w:val="auto"/>
        </w:rPr>
      </w:pPr>
    </w:p>
    <w:p>
      <w:pPr>
        <w:ind w:right="360" w:firstLine="418"/>
        <w:spacing w:after="0" w:line="279" w:lineRule="auto"/>
        <w:rPr>
          <w:sz w:val="20"/>
          <w:szCs w:val="20"/>
          <w:color w:val="auto"/>
        </w:rPr>
      </w:pPr>
      <w:r>
        <w:rPr>
          <w:rFonts w:ascii="Times New Roman" w:cs="Times New Roman" w:eastAsia="Times New Roman" w:hAnsi="Times New Roman"/>
          <w:sz w:val="12"/>
          <w:szCs w:val="12"/>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INVEGA HAFYERA is approved in the U.S. for the treatment of schizophrenia in patients who have been adequately treated with INVEGA SUSTENNA for at least four months or INVEGA TRINZA for at least three months.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BYANNLI is approved in the EU for the maintenance treatment of schizophrenia in adult patients who are clinically stable on XEPLION or TREVICTA. INVEGA HAFYERA/BYANNLI is manufactured by Janssen.</w:t>
      </w:r>
    </w:p>
    <w:p>
      <w:pPr>
        <w:spacing w:after="0" w:line="137" w:lineRule="exact"/>
        <w:rPr>
          <w:sz w:val="20"/>
          <w:szCs w:val="20"/>
          <w:color w:val="auto"/>
        </w:rPr>
      </w:pPr>
    </w:p>
    <w:p>
      <w:pPr>
        <w:jc w:val="both"/>
        <w:ind w:right="120" w:firstLine="418"/>
        <w:spacing w:after="0" w:line="266" w:lineRule="auto"/>
        <w:rPr>
          <w:sz w:val="20"/>
          <w:szCs w:val="20"/>
          <w:color w:val="auto"/>
        </w:rPr>
      </w:pPr>
      <w:r>
        <w:rPr>
          <w:rFonts w:ascii="Times New Roman" w:cs="Times New Roman" w:eastAsia="Times New Roman" w:hAnsi="Times New Roman"/>
          <w:sz w:val="12"/>
          <w:szCs w:val="12"/>
          <w:color w:val="auto"/>
        </w:rPr>
        <w:t xml:space="preserve">For a discussion of legal proceedings related to certain of the patents covering INVEGA SUSTENNA and INVEGA TRINZA, see Note 15, </w:t>
      </w:r>
      <w:r>
        <w:rPr>
          <w:rFonts w:ascii="Times New Roman" w:cs="Times New Roman" w:eastAsia="Times New Roman" w:hAnsi="Times New Roman"/>
          <w:sz w:val="12"/>
          <w:szCs w:val="12"/>
          <w:i w:val="1"/>
          <w:iCs w:val="1"/>
          <w:color w:val="auto"/>
        </w:rPr>
        <w:t>Commitments and Contingent Liabilities</w:t>
      </w:r>
      <w:r>
        <w:rPr>
          <w:rFonts w:ascii="Times New Roman" w:cs="Times New Roman" w:eastAsia="Times New Roman" w:hAnsi="Times New Roman"/>
          <w:sz w:val="12"/>
          <w:szCs w:val="12"/>
          <w:color w:val="auto"/>
        </w:rPr>
        <w:t xml:space="preserve"> 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70" w:right="31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RISPERDAL CONSTA</w:t>
      </w:r>
    </w:p>
    <w:p>
      <w:pPr>
        <w:spacing w:after="0" w:line="154" w:lineRule="exact"/>
        <w:rPr>
          <w:sz w:val="20"/>
          <w:szCs w:val="20"/>
          <w:color w:val="auto"/>
        </w:rPr>
      </w:pPr>
    </w:p>
    <w:p>
      <w:pPr>
        <w:ind w:right="180" w:firstLine="418"/>
        <w:spacing w:after="0" w:line="260" w:lineRule="auto"/>
        <w:rPr>
          <w:sz w:val="20"/>
          <w:szCs w:val="20"/>
          <w:color w:val="auto"/>
        </w:rPr>
      </w:pPr>
      <w:r>
        <w:rPr>
          <w:rFonts w:ascii="Times New Roman" w:cs="Times New Roman" w:eastAsia="Times New Roman" w:hAnsi="Times New Roman"/>
          <w:sz w:val="12"/>
          <w:szCs w:val="12"/>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Licensed Product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VUMERITY</w:t>
      </w:r>
    </w:p>
    <w:p>
      <w:pPr>
        <w:spacing w:after="0" w:line="154" w:lineRule="exact"/>
        <w:rPr>
          <w:sz w:val="20"/>
          <w:szCs w:val="20"/>
          <w:color w:val="auto"/>
        </w:rPr>
      </w:pPr>
    </w:p>
    <w:p>
      <w:pPr>
        <w:ind w:right="100" w:firstLine="418"/>
        <w:spacing w:after="0" w:line="279" w:lineRule="auto"/>
        <w:rPr>
          <w:sz w:val="20"/>
          <w:szCs w:val="20"/>
          <w:color w:val="auto"/>
        </w:rPr>
      </w:pPr>
      <w:r>
        <w:rPr>
          <w:rFonts w:ascii="Times New Roman" w:cs="Times New Roman" w:eastAsia="Times New Roman" w:hAnsi="Times New Roman"/>
          <w:sz w:val="12"/>
          <w:szCs w:val="12"/>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11" w:lineRule="exact"/>
        <w:rPr>
          <w:sz w:val="20"/>
          <w:szCs w:val="20"/>
          <w:color w:val="auto"/>
        </w:rPr>
      </w:pPr>
    </w:p>
    <w:p>
      <w:pPr>
        <w:ind w:firstLine="418"/>
        <w:spacing w:after="0" w:line="279" w:lineRule="auto"/>
        <w:rPr>
          <w:sz w:val="20"/>
          <w:szCs w:val="20"/>
          <w:color w:val="auto"/>
        </w:rPr>
      </w:pPr>
      <w:r>
        <w:rPr>
          <w:rFonts w:ascii="Times New Roman" w:cs="Times New Roman" w:eastAsia="Times New Roman" w:hAnsi="Times New Roman"/>
          <w:sz w:val="12"/>
          <w:szCs w:val="12"/>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Key Development Program</w:t>
      </w:r>
    </w:p>
    <w:p>
      <w:pPr>
        <w:spacing w:after="0" w:line="150" w:lineRule="exact"/>
        <w:rPr>
          <w:sz w:val="20"/>
          <w:szCs w:val="20"/>
          <w:color w:val="auto"/>
        </w:rPr>
      </w:pPr>
    </w:p>
    <w:p>
      <w:pPr>
        <w:ind w:right="80" w:firstLine="418"/>
        <w:spacing w:after="0" w:line="257" w:lineRule="auto"/>
        <w:rPr>
          <w:sz w:val="20"/>
          <w:szCs w:val="20"/>
          <w:color w:val="auto"/>
        </w:rPr>
      </w:pPr>
      <w:r>
        <w:rPr>
          <w:rFonts w:ascii="Times New Roman" w:cs="Times New Roman" w:eastAsia="Times New Roman" w:hAnsi="Times New Roman"/>
          <w:sz w:val="12"/>
          <w:szCs w:val="12"/>
          <w:color w:val="auto"/>
        </w:rPr>
        <w:t>Our R&amp;D is focused on the development of innovative medicines in the fields of neuroscience and oncology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Nemvaleukin alfa</w:t>
      </w:r>
    </w:p>
    <w:p>
      <w:pPr>
        <w:spacing w:after="0" w:line="145" w:lineRule="exact"/>
        <w:rPr>
          <w:sz w:val="20"/>
          <w:szCs w:val="20"/>
          <w:color w:val="auto"/>
        </w:rPr>
      </w:pPr>
    </w:p>
    <w:p>
      <w:pPr>
        <w:ind w:right="80" w:firstLine="418"/>
        <w:spacing w:after="0" w:line="265" w:lineRule="auto"/>
        <w:rPr>
          <w:sz w:val="20"/>
          <w:szCs w:val="20"/>
          <w:color w:val="auto"/>
        </w:rPr>
      </w:pPr>
      <w:r>
        <w:rPr>
          <w:rFonts w:ascii="Times New Roman" w:cs="Times New Roman" w:eastAsia="Times New Roman" w:hAnsi="Times New Roman"/>
          <w:sz w:val="12"/>
          <w:szCs w:val="12"/>
          <w:color w:val="auto"/>
        </w:rPr>
        <w:t>Nemvaleukin alfa (“nemvaleukin”) is an investigational, novel, engineered fusion protein comprised of modified interleukin-2 (“IL-2”) and the high affinity IL-2 alpha receptor chain, designed to preferentially expand tumor-killing immune cells while avoiding the activation of immunosuppressive cells by selectively binding to the intermediate-affinity IL-2 receptor complex. The selectivity of nemvaleukin is designed to leverage the proven anti-tumor effects of existing IL-2 therapy while mitigating certain limitations.</w:t>
      </w:r>
    </w:p>
    <w:p>
      <w:pPr>
        <w:spacing w:after="0" w:line="119" w:lineRule="exact"/>
        <w:rPr>
          <w:sz w:val="20"/>
          <w:szCs w:val="20"/>
          <w:color w:val="auto"/>
        </w:rPr>
      </w:pPr>
    </w:p>
    <w:p>
      <w:pPr>
        <w:ind w:right="80" w:firstLine="418"/>
        <w:spacing w:after="0" w:line="255" w:lineRule="auto"/>
        <w:rPr>
          <w:sz w:val="20"/>
          <w:szCs w:val="20"/>
          <w:color w:val="auto"/>
        </w:rPr>
      </w:pPr>
      <w:r>
        <w:rPr>
          <w:rFonts w:ascii="Times New Roman" w:cs="Times New Roman" w:eastAsia="Times New Roman" w:hAnsi="Times New Roman"/>
          <w:sz w:val="12"/>
          <w:szCs w:val="12"/>
          <w:color w:val="auto"/>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ARTISTRY-1 (evaluating IV nemvaleukin) and ARTISTRY-2 (evaluating SC nemvaleukin) are ongoing phase 1/2 studies evaluating the safety, tolerability, efficacy and pharmacokinetic and pharmacodynamic effects of nemvaleukin in patients with refractory advanced solid tumors, in both monotherapy and combination settings. ARTISTRY-3 is an ongoing phase 2 study evaluating the efficacy, safety and tolerability of less frequent dosing of IV nemvaleukin and pharmacokinetic and pharmacodynamic effects of IV nemvaleukin in the tumor microenvironment as a monotherapy and in combination with pembrolizumab in a variety of advanced solid tumors. ARTISTRY-6 is an ongoing phase 2 study evaluating the anti-tumor activity, safety and tolerability of IV nemvaleukin monotherapy in patients with mucosal melanoma and SC nemvaleukin monotherapy in patients with advanced cutaneous melanoma. ARTISTRY-7 is an ongoing phase 3 study evaluating the efficacy, safety and tolerability of IV nemvaleukin as monotherapy and in combination with pembrolizumab compared to investigator’s choice chemotherapy in patients with platinum-resistant ovarian cancer.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413" w:right="339" w:bottom="1440" w:gutter="0" w:footer="0" w:header="0"/>
        </w:sectPr>
      </w:pPr>
    </w:p>
    <w:bookmarkStart w:id="29" w:name="page30"/>
    <w:bookmarkEnd w:id="29"/>
    <w:p>
      <w:pPr>
        <w:ind w:right="540" w:firstLine="418"/>
        <w:spacing w:after="0" w:line="279" w:lineRule="auto"/>
        <w:rPr>
          <w:sz w:val="20"/>
          <w:szCs w:val="20"/>
          <w:color w:val="auto"/>
        </w:rPr>
      </w:pPr>
      <w:r>
        <w:rPr>
          <w:rFonts w:ascii="Times New Roman" w:cs="Times New Roman" w:eastAsia="Times New Roman" w:hAnsi="Times New Roman"/>
          <w:sz w:val="12"/>
          <w:szCs w:val="12"/>
          <w:color w:val="auto"/>
        </w:rPr>
        <w:t>In March 2021 and August 2021, we announced that the FDA granted Orphan Drug Designation and Fast Track designation, respectively, to nemvaleukin for the treatment of mucosal melanoma. In October 2021, we announced that the FDA granted Fast Track designation to nemvaleukin in combination with pembrolizumab for the treatment of platinum-resistant ovarian cancer.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Product Sales, Net</w:t>
      </w:r>
    </w:p>
    <w:p>
      <w:pPr>
        <w:spacing w:after="0" w:line="134" w:lineRule="exact"/>
        <w:rPr>
          <w:sz w:val="20"/>
          <w:szCs w:val="20"/>
          <w:color w:val="auto"/>
        </w:rPr>
      </w:pPr>
    </w:p>
    <w:p>
      <w:pPr>
        <w:ind w:right="180" w:firstLine="418"/>
        <w:spacing w:after="0" w:line="265" w:lineRule="auto"/>
        <w:rPr>
          <w:sz w:val="20"/>
          <w:szCs w:val="20"/>
          <w:color w:val="auto"/>
        </w:rPr>
      </w:pPr>
      <w:r>
        <w:rPr>
          <w:rFonts w:ascii="Times New Roman" w:cs="Times New Roman" w:eastAsia="Times New Roman" w:hAnsi="Times New Roman"/>
          <w:sz w:val="12"/>
          <w:szCs w:val="12"/>
          <w:color w:val="auto"/>
        </w:rPr>
        <w:t>Our product sales, net, consist of sales of VIVITROL, ARISTADA and ARISTADA INITIO, and, following its commercial launch in the U.S. in October 2021, LYBALVI, primarily to wholesalers, specialty distributors and pharmacies. The following table presents the adjustments deducted from product sales, gross to arrive at product sales, net, for sales of VIVITROL, ARISTADA, ARISTADA INITIO and LYBALVI during the three and six months ended June 30, 2022 and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4"/>
          </w:tcPr>
          <w:p>
            <w:pPr>
              <w:jc w:val="center"/>
              <w:ind w:left="422"/>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4"/>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 except for % of Sales)</w:t>
            </w: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9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ind w:right="241"/>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8"/>
                <w:szCs w:val="8"/>
                <w:color w:val="auto"/>
              </w:rPr>
            </w:pPr>
          </w:p>
        </w:tc>
        <w:tc>
          <w:tcPr>
            <w:tcW w:w="840" w:type="dxa"/>
            <w:vAlign w:val="bottom"/>
            <w:gridSpan w:val="2"/>
          </w:tcPr>
          <w:p>
            <w:pPr>
              <w:jc w:val="right"/>
              <w:ind w:right="192"/>
              <w:spacing w:after="0" w:line="97" w:lineRule="exact"/>
              <w:rPr>
                <w:sz w:val="20"/>
                <w:szCs w:val="20"/>
                <w:color w:val="auto"/>
              </w:rPr>
            </w:pPr>
            <w:r>
              <w:rPr>
                <w:rFonts w:ascii="Times New Roman" w:cs="Times New Roman" w:eastAsia="Times New Roman" w:hAnsi="Times New Roman"/>
                <w:sz w:val="10"/>
                <w:szCs w:val="10"/>
                <w:b w:val="1"/>
                <w:bCs w:val="1"/>
                <w:color w:val="auto"/>
              </w:rPr>
              <w:t>% of Sales</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jc w:val="right"/>
              <w:ind w:right="241"/>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2021</w:t>
            </w:r>
          </w:p>
        </w:tc>
        <w:tc>
          <w:tcPr>
            <w:tcW w:w="200" w:type="dxa"/>
            <w:vAlign w:val="bottom"/>
          </w:tcPr>
          <w:p>
            <w:pPr>
              <w:spacing w:after="0"/>
              <w:rPr>
                <w:sz w:val="8"/>
                <w:szCs w:val="8"/>
                <w:color w:val="auto"/>
              </w:rPr>
            </w:pPr>
          </w:p>
        </w:tc>
        <w:tc>
          <w:tcPr>
            <w:tcW w:w="780" w:type="dxa"/>
            <w:vAlign w:val="bottom"/>
          </w:tcPr>
          <w:p>
            <w:pPr>
              <w:jc w:val="right"/>
              <w:ind w:right="121"/>
              <w:spacing w:after="0" w:line="97" w:lineRule="exact"/>
              <w:rPr>
                <w:sz w:val="20"/>
                <w:szCs w:val="20"/>
                <w:color w:val="auto"/>
              </w:rPr>
            </w:pPr>
            <w:r>
              <w:rPr>
                <w:rFonts w:ascii="Times New Roman" w:cs="Times New Roman" w:eastAsia="Times New Roman" w:hAnsi="Times New Roman"/>
                <w:sz w:val="10"/>
                <w:szCs w:val="10"/>
                <w:b w:val="1"/>
                <w:bCs w:val="1"/>
                <w:color w:val="auto"/>
              </w:rPr>
              <w:t>% of Sales</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ind w:right="241"/>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8"/>
                <w:szCs w:val="8"/>
                <w:color w:val="auto"/>
              </w:rPr>
            </w:pPr>
          </w:p>
        </w:tc>
        <w:tc>
          <w:tcPr>
            <w:tcW w:w="860" w:type="dxa"/>
            <w:vAlign w:val="bottom"/>
            <w:gridSpan w:val="2"/>
          </w:tcPr>
          <w:p>
            <w:pPr>
              <w:jc w:val="right"/>
              <w:ind w:right="212"/>
              <w:spacing w:after="0" w:line="97" w:lineRule="exact"/>
              <w:rPr>
                <w:sz w:val="20"/>
                <w:szCs w:val="20"/>
                <w:color w:val="auto"/>
              </w:rPr>
            </w:pPr>
            <w:r>
              <w:rPr>
                <w:rFonts w:ascii="Times New Roman" w:cs="Times New Roman" w:eastAsia="Times New Roman" w:hAnsi="Times New Roman"/>
                <w:sz w:val="10"/>
                <w:szCs w:val="10"/>
                <w:b w:val="1"/>
                <w:bCs w:val="1"/>
                <w:color w:val="auto"/>
              </w:rPr>
              <w:t>% of Sales</w:t>
            </w: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jc w:val="right"/>
              <w:ind w:right="241"/>
              <w:spacing w:after="0" w:line="97"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00" w:type="dxa"/>
            <w:vAlign w:val="bottom"/>
          </w:tcPr>
          <w:p>
            <w:pPr>
              <w:spacing w:after="0"/>
              <w:rPr>
                <w:sz w:val="8"/>
                <w:szCs w:val="8"/>
                <w:color w:val="auto"/>
              </w:rPr>
            </w:pPr>
          </w:p>
        </w:tc>
        <w:tc>
          <w:tcPr>
            <w:tcW w:w="800" w:type="dxa"/>
            <w:vAlign w:val="bottom"/>
          </w:tcPr>
          <w:p>
            <w:pPr>
              <w:jc w:val="right"/>
              <w:ind w:right="121"/>
              <w:spacing w:after="0" w:line="97" w:lineRule="exact"/>
              <w:rPr>
                <w:sz w:val="20"/>
                <w:szCs w:val="20"/>
                <w:color w:val="auto"/>
              </w:rPr>
            </w:pPr>
            <w:r>
              <w:rPr>
                <w:rFonts w:ascii="Times New Roman" w:cs="Times New Roman" w:eastAsia="Times New Roman" w:hAnsi="Times New Roman"/>
                <w:sz w:val="10"/>
                <w:szCs w:val="10"/>
                <w:b w:val="1"/>
                <w:bCs w:val="1"/>
                <w:color w:val="auto"/>
              </w:rPr>
              <w:t>% of Sales</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90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Product sales, gross</w:t>
            </w:r>
          </w:p>
        </w:tc>
        <w:tc>
          <w:tcPr>
            <w:tcW w:w="180" w:type="dxa"/>
            <w:vAlign w:val="bottom"/>
            <w:tcBorders>
              <w:top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386.8</w:t>
            </w:r>
          </w:p>
        </w:tc>
        <w:tc>
          <w:tcPr>
            <w:tcW w:w="2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jc w:val="center"/>
              <w:ind w:right="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top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343.5</w:t>
            </w:r>
          </w:p>
        </w:tc>
        <w:tc>
          <w:tcPr>
            <w:tcW w:w="2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729.2</w:t>
            </w:r>
          </w:p>
        </w:tc>
        <w:tc>
          <w:tcPr>
            <w:tcW w:w="2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tcBorders>
            <w:shd w:val="clear" w:color="auto" w:fill="CFF0FC"/>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616.1</w:t>
            </w:r>
          </w:p>
        </w:tc>
        <w:tc>
          <w:tcPr>
            <w:tcW w:w="20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9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Adjustments to product sales, gross:</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90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Medicaid rebates</w:t>
            </w:r>
          </w:p>
        </w:tc>
        <w:tc>
          <w:tcPr>
            <w:tcW w:w="1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(88.7)</w:t>
            </w:r>
          </w:p>
        </w:tc>
        <w:tc>
          <w:tcPr>
            <w:tcW w:w="8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(22.9)</w:t>
            </w:r>
          </w:p>
        </w:tc>
        <w:tc>
          <w:tcPr>
            <w:tcW w:w="280" w:type="dxa"/>
            <w:vAlign w:val="bottom"/>
            <w:shd w:val="clear" w:color="auto" w:fill="CFF0FC"/>
          </w:tcPr>
          <w:p>
            <w:pPr>
              <w:jc w:val="center"/>
              <w:ind w:right="4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(88.1)</w:t>
            </w:r>
          </w:p>
        </w:tc>
        <w:tc>
          <w:tcPr>
            <w:tcW w:w="84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(25.6)</w:t>
            </w:r>
          </w:p>
        </w:tc>
        <w:tc>
          <w:tcPr>
            <w:tcW w:w="280" w:type="dxa"/>
            <w:vAlign w:val="bottom"/>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(165.2)</w:t>
            </w:r>
          </w:p>
        </w:tc>
        <w:tc>
          <w:tcPr>
            <w:tcW w:w="8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(22.7)</w:t>
            </w:r>
          </w:p>
        </w:tc>
        <w:tc>
          <w:tcPr>
            <w:tcW w:w="280" w:type="dxa"/>
            <w:vAlign w:val="bottom"/>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(159.0)</w:t>
            </w:r>
          </w:p>
        </w:tc>
        <w:tc>
          <w:tcPr>
            <w:tcW w:w="8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rPr>
              <w:t>(25.8)</w:t>
            </w:r>
          </w:p>
        </w:tc>
        <w:tc>
          <w:tcPr>
            <w:tcW w:w="220" w:type="dxa"/>
            <w:vAlign w:val="bottom"/>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90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Chargebacks</w:t>
            </w:r>
          </w:p>
        </w:tc>
        <w:tc>
          <w:tcPr>
            <w:tcW w:w="180" w:type="dxa"/>
            <w:vAlign w:val="bottom"/>
          </w:tcPr>
          <w:p>
            <w:pPr>
              <w:spacing w:after="0"/>
              <w:rPr>
                <w:sz w:val="10"/>
                <w:szCs w:val="10"/>
                <w:color w:val="auto"/>
              </w:rPr>
            </w:pPr>
          </w:p>
        </w:tc>
        <w:tc>
          <w:tcPr>
            <w:tcW w:w="8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(41.5)</w:t>
            </w:r>
          </w:p>
        </w:tc>
        <w:tc>
          <w:tcPr>
            <w:tcW w:w="8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(10.7)</w:t>
            </w:r>
          </w:p>
        </w:tc>
        <w:tc>
          <w:tcPr>
            <w:tcW w:w="280" w:type="dxa"/>
            <w:vAlign w:val="bottom"/>
          </w:tcPr>
          <w:p>
            <w:pPr>
              <w:jc w:val="center"/>
              <w:ind w:right="4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spacing w:after="0"/>
              <w:rPr>
                <w:sz w:val="10"/>
                <w:szCs w:val="10"/>
                <w:color w:val="auto"/>
              </w:rPr>
            </w:pPr>
          </w:p>
        </w:tc>
        <w:tc>
          <w:tcPr>
            <w:tcW w:w="7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(33.7)</w:t>
            </w:r>
          </w:p>
        </w:tc>
        <w:tc>
          <w:tcPr>
            <w:tcW w:w="8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(9.8)</w:t>
            </w:r>
          </w:p>
        </w:tc>
        <w:tc>
          <w:tcPr>
            <w:tcW w:w="280" w:type="dxa"/>
            <w:vAlign w:val="bottom"/>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8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(75.3)</w:t>
            </w: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(10.3)</w:t>
            </w:r>
          </w:p>
        </w:tc>
        <w:tc>
          <w:tcPr>
            <w:tcW w:w="280" w:type="dxa"/>
            <w:vAlign w:val="bottom"/>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(58.7)</w:t>
            </w:r>
          </w:p>
        </w:tc>
        <w:tc>
          <w:tcPr>
            <w:tcW w:w="88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rPr>
              <w:t>(9.5)</w:t>
            </w:r>
          </w:p>
        </w:tc>
        <w:tc>
          <w:tcPr>
            <w:tcW w:w="220" w:type="dxa"/>
            <w:vAlign w:val="bottom"/>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90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Product discounts</w:t>
            </w:r>
          </w:p>
        </w:tc>
        <w:tc>
          <w:tcPr>
            <w:tcW w:w="1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(30.8)</w:t>
            </w:r>
          </w:p>
        </w:tc>
        <w:tc>
          <w:tcPr>
            <w:tcW w:w="8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(8.0)</w:t>
            </w:r>
          </w:p>
        </w:tc>
        <w:tc>
          <w:tcPr>
            <w:tcW w:w="280" w:type="dxa"/>
            <w:vAlign w:val="bottom"/>
            <w:shd w:val="clear" w:color="auto" w:fill="CFF0FC"/>
          </w:tcPr>
          <w:p>
            <w:pPr>
              <w:jc w:val="center"/>
              <w:ind w:right="4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(28.4)</w:t>
            </w:r>
          </w:p>
        </w:tc>
        <w:tc>
          <w:tcPr>
            <w:tcW w:w="84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(8.3)</w:t>
            </w:r>
          </w:p>
        </w:tc>
        <w:tc>
          <w:tcPr>
            <w:tcW w:w="280" w:type="dxa"/>
            <w:vAlign w:val="bottom"/>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(57.7)</w:t>
            </w:r>
          </w:p>
        </w:tc>
        <w:tc>
          <w:tcPr>
            <w:tcW w:w="8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(7.9)</w:t>
            </w:r>
          </w:p>
        </w:tc>
        <w:tc>
          <w:tcPr>
            <w:tcW w:w="280" w:type="dxa"/>
            <w:vAlign w:val="bottom"/>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(49.8)</w:t>
            </w:r>
          </w:p>
        </w:tc>
        <w:tc>
          <w:tcPr>
            <w:tcW w:w="8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rPr>
              <w:t>(8.1)</w:t>
            </w:r>
          </w:p>
        </w:tc>
        <w:tc>
          <w:tcPr>
            <w:tcW w:w="220" w:type="dxa"/>
            <w:vAlign w:val="bottom"/>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90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Medicare Part D</w:t>
            </w:r>
          </w:p>
        </w:tc>
        <w:tc>
          <w:tcPr>
            <w:tcW w:w="180" w:type="dxa"/>
            <w:vAlign w:val="bottom"/>
          </w:tcPr>
          <w:p>
            <w:pPr>
              <w:spacing w:after="0"/>
              <w:rPr>
                <w:sz w:val="10"/>
                <w:szCs w:val="10"/>
                <w:color w:val="auto"/>
              </w:rPr>
            </w:pPr>
          </w:p>
        </w:tc>
        <w:tc>
          <w:tcPr>
            <w:tcW w:w="8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(16.5)</w:t>
            </w:r>
          </w:p>
        </w:tc>
        <w:tc>
          <w:tcPr>
            <w:tcW w:w="8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(4.3)</w:t>
            </w:r>
          </w:p>
        </w:tc>
        <w:tc>
          <w:tcPr>
            <w:tcW w:w="280" w:type="dxa"/>
            <w:vAlign w:val="bottom"/>
          </w:tcPr>
          <w:p>
            <w:pPr>
              <w:jc w:val="center"/>
              <w:ind w:right="4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spacing w:after="0"/>
              <w:rPr>
                <w:sz w:val="10"/>
                <w:szCs w:val="10"/>
                <w:color w:val="auto"/>
              </w:rPr>
            </w:pPr>
          </w:p>
        </w:tc>
        <w:tc>
          <w:tcPr>
            <w:tcW w:w="7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(16.8)</w:t>
            </w:r>
          </w:p>
        </w:tc>
        <w:tc>
          <w:tcPr>
            <w:tcW w:w="8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(4.9)</w:t>
            </w:r>
          </w:p>
        </w:tc>
        <w:tc>
          <w:tcPr>
            <w:tcW w:w="280" w:type="dxa"/>
            <w:vAlign w:val="bottom"/>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8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(32.5)</w:t>
            </w: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(4.5)</w:t>
            </w:r>
          </w:p>
        </w:tc>
        <w:tc>
          <w:tcPr>
            <w:tcW w:w="280" w:type="dxa"/>
            <w:vAlign w:val="bottom"/>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0"/>
                <w:szCs w:val="10"/>
                <w:color w:val="auto"/>
              </w:rPr>
            </w:pPr>
          </w:p>
        </w:tc>
        <w:tc>
          <w:tcPr>
            <w:tcW w:w="72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(29.9)</w:t>
            </w:r>
          </w:p>
        </w:tc>
        <w:tc>
          <w:tcPr>
            <w:tcW w:w="88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rPr>
              <w:t>(4.9)</w:t>
            </w:r>
          </w:p>
        </w:tc>
        <w:tc>
          <w:tcPr>
            <w:tcW w:w="220" w:type="dxa"/>
            <w:vAlign w:val="bottom"/>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290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Other</w:t>
            </w:r>
          </w:p>
        </w:tc>
        <w:tc>
          <w:tcPr>
            <w:tcW w:w="1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(18.5)</w:t>
            </w:r>
          </w:p>
        </w:tc>
        <w:tc>
          <w:tcPr>
            <w:tcW w:w="8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(4.8)</w:t>
            </w:r>
          </w:p>
        </w:tc>
        <w:tc>
          <w:tcPr>
            <w:tcW w:w="280" w:type="dxa"/>
            <w:vAlign w:val="bottom"/>
            <w:shd w:val="clear" w:color="auto" w:fill="CFF0FC"/>
          </w:tcPr>
          <w:p>
            <w:pPr>
              <w:jc w:val="center"/>
              <w:ind w:right="4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(15.7)</w:t>
            </w:r>
          </w:p>
        </w:tc>
        <w:tc>
          <w:tcPr>
            <w:tcW w:w="84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(4.6)</w:t>
            </w:r>
          </w:p>
        </w:tc>
        <w:tc>
          <w:tcPr>
            <w:tcW w:w="280" w:type="dxa"/>
            <w:vAlign w:val="bottom"/>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(36.4)</w:t>
            </w:r>
          </w:p>
        </w:tc>
        <w:tc>
          <w:tcPr>
            <w:tcW w:w="8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(4.9)</w:t>
            </w:r>
          </w:p>
        </w:tc>
        <w:tc>
          <w:tcPr>
            <w:tcW w:w="280" w:type="dxa"/>
            <w:vAlign w:val="bottom"/>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(27.9)</w:t>
            </w:r>
          </w:p>
        </w:tc>
        <w:tc>
          <w:tcPr>
            <w:tcW w:w="880" w:type="dxa"/>
            <w:vAlign w:val="bottom"/>
            <w:gridSpan w:val="2"/>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rPr>
              <w:t>(4.5)</w:t>
            </w:r>
          </w:p>
        </w:tc>
        <w:tc>
          <w:tcPr>
            <w:tcW w:w="220" w:type="dxa"/>
            <w:vAlign w:val="bottom"/>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5"/>
        </w:trPr>
        <w:tc>
          <w:tcPr>
            <w:tcW w:w="2900" w:type="dxa"/>
            <w:vAlign w:val="bottom"/>
            <w:tcBorders>
              <w:bottom w:val="single" w:sz="8" w:color="CFF0FC"/>
            </w:tcBorders>
          </w:tcPr>
          <w:p>
            <w:pPr>
              <w:ind w:left="320"/>
              <w:spacing w:after="0" w:line="115" w:lineRule="exact"/>
              <w:rPr>
                <w:sz w:val="20"/>
                <w:szCs w:val="20"/>
                <w:color w:val="auto"/>
              </w:rPr>
            </w:pPr>
            <w:r>
              <w:rPr>
                <w:rFonts w:ascii="Times New Roman" w:cs="Times New Roman" w:eastAsia="Times New Roman" w:hAnsi="Times New Roman"/>
                <w:sz w:val="12"/>
                <w:szCs w:val="12"/>
                <w:color w:val="auto"/>
              </w:rPr>
              <w:t>Total adjustments</w:t>
            </w:r>
          </w:p>
        </w:tc>
        <w:tc>
          <w:tcPr>
            <w:tcW w:w="1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(196.0)</w:t>
            </w:r>
          </w:p>
        </w:tc>
        <w:tc>
          <w:tcPr>
            <w:tcW w:w="200" w:type="dxa"/>
            <w:vAlign w:val="bottom"/>
            <w:tcBorders>
              <w:bottom w:val="single" w:sz="8" w:color="CFF0FC"/>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(50.7)</w:t>
            </w:r>
          </w:p>
        </w:tc>
        <w:tc>
          <w:tcPr>
            <w:tcW w:w="60" w:type="dxa"/>
            <w:vAlign w:val="bottom"/>
            <w:tcBorders>
              <w:bottom w:val="single" w:sz="8" w:color="CFF0FC"/>
            </w:tcBorders>
          </w:tcPr>
          <w:p>
            <w:pPr>
              <w:spacing w:after="0"/>
              <w:rPr>
                <w:sz w:val="10"/>
                <w:szCs w:val="10"/>
                <w:color w:val="auto"/>
              </w:rPr>
            </w:pPr>
          </w:p>
        </w:tc>
        <w:tc>
          <w:tcPr>
            <w:tcW w:w="280" w:type="dxa"/>
            <w:vAlign w:val="bottom"/>
            <w:tcBorders>
              <w:bottom w:val="single" w:sz="8" w:color="CFF0FC"/>
            </w:tcBorders>
          </w:tcPr>
          <w:p>
            <w:pPr>
              <w:jc w:val="center"/>
              <w:ind w:right="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(182.7)</w:t>
            </w:r>
          </w:p>
        </w:tc>
        <w:tc>
          <w:tcPr>
            <w:tcW w:w="200" w:type="dxa"/>
            <w:vAlign w:val="bottom"/>
            <w:tcBorders>
              <w:bottom w:val="single" w:sz="8" w:color="CFF0FC"/>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(53.2)</w:t>
            </w:r>
          </w:p>
        </w:tc>
        <w:tc>
          <w:tcPr>
            <w:tcW w:w="60" w:type="dxa"/>
            <w:vAlign w:val="bottom"/>
            <w:tcBorders>
              <w:bottom w:val="single" w:sz="8" w:color="CFF0FC"/>
            </w:tcBorders>
          </w:tcPr>
          <w:p>
            <w:pPr>
              <w:spacing w:after="0"/>
              <w:rPr>
                <w:sz w:val="10"/>
                <w:szCs w:val="10"/>
                <w:color w:val="auto"/>
              </w:rPr>
            </w:pPr>
          </w:p>
        </w:tc>
        <w:tc>
          <w:tcPr>
            <w:tcW w:w="280" w:type="dxa"/>
            <w:vAlign w:val="bottom"/>
            <w:tcBorders>
              <w:bottom w:val="single" w:sz="8" w:color="CFF0FC"/>
            </w:tcBorders>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(367.1)</w:t>
            </w:r>
          </w:p>
        </w:tc>
        <w:tc>
          <w:tcPr>
            <w:tcW w:w="200" w:type="dxa"/>
            <w:vAlign w:val="bottom"/>
            <w:tcBorders>
              <w:bottom w:val="single" w:sz="8" w:color="CFF0FC"/>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(50.3)</w:t>
            </w:r>
          </w:p>
        </w:tc>
        <w:tc>
          <w:tcPr>
            <w:tcW w:w="80" w:type="dxa"/>
            <w:vAlign w:val="bottom"/>
            <w:tcBorders>
              <w:bottom w:val="single" w:sz="8" w:color="CFF0FC"/>
            </w:tcBorders>
          </w:tcPr>
          <w:p>
            <w:pPr>
              <w:spacing w:after="0"/>
              <w:rPr>
                <w:sz w:val="10"/>
                <w:szCs w:val="10"/>
                <w:color w:val="auto"/>
              </w:rPr>
            </w:pPr>
          </w:p>
        </w:tc>
        <w:tc>
          <w:tcPr>
            <w:tcW w:w="280" w:type="dxa"/>
            <w:vAlign w:val="bottom"/>
            <w:tcBorders>
              <w:bottom w:val="single" w:sz="8" w:color="CFF0FC"/>
            </w:tcBorders>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(325.3)</w:t>
            </w:r>
          </w:p>
        </w:tc>
        <w:tc>
          <w:tcPr>
            <w:tcW w:w="200" w:type="dxa"/>
            <w:vAlign w:val="bottom"/>
            <w:tcBorders>
              <w:bottom w:val="single" w:sz="8" w:color="CFF0FC"/>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(52.8)</w:t>
            </w:r>
          </w:p>
        </w:tc>
        <w:tc>
          <w:tcPr>
            <w:tcW w:w="80" w:type="dxa"/>
            <w:vAlign w:val="bottom"/>
            <w:tcBorders>
              <w:bottom w:val="single" w:sz="8" w:color="CFF0FC"/>
            </w:tcBorders>
          </w:tcPr>
          <w:p>
            <w:pPr>
              <w:spacing w:after="0"/>
              <w:rPr>
                <w:sz w:val="10"/>
                <w:szCs w:val="10"/>
                <w:color w:val="auto"/>
              </w:rPr>
            </w:pPr>
          </w:p>
        </w:tc>
        <w:tc>
          <w:tcPr>
            <w:tcW w:w="220" w:type="dxa"/>
            <w:vAlign w:val="bottom"/>
            <w:tcBorders>
              <w:bottom w:val="single" w:sz="8" w:color="CFF0FC"/>
            </w:tcBorders>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2"/>
        </w:trPr>
        <w:tc>
          <w:tcPr>
            <w:tcW w:w="2900" w:type="dxa"/>
            <w:vAlign w:val="bottom"/>
            <w:tcBorders>
              <w:bottom w:val="single" w:sz="8" w:color="CFF0FC"/>
            </w:tcBorders>
            <w:shd w:val="clear" w:color="auto" w:fill="CFF0FC"/>
          </w:tcPr>
          <w:p>
            <w:pPr>
              <w:ind w:left="400"/>
              <w:spacing w:after="0" w:line="115" w:lineRule="exact"/>
              <w:rPr>
                <w:sz w:val="20"/>
                <w:szCs w:val="20"/>
                <w:color w:val="auto"/>
              </w:rPr>
            </w:pPr>
            <w:r>
              <w:rPr>
                <w:rFonts w:ascii="Times New Roman" w:cs="Times New Roman" w:eastAsia="Times New Roman" w:hAnsi="Times New Roman"/>
                <w:sz w:val="12"/>
                <w:szCs w:val="12"/>
                <w:color w:val="auto"/>
              </w:rPr>
              <w:t>Product sales, net</w:t>
            </w:r>
          </w:p>
        </w:tc>
        <w:tc>
          <w:tcPr>
            <w:tcW w:w="18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190.8</w:t>
            </w:r>
          </w:p>
        </w:tc>
        <w:tc>
          <w:tcPr>
            <w:tcW w:w="2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49.3</w:t>
            </w:r>
          </w:p>
        </w:tc>
        <w:tc>
          <w:tcPr>
            <w:tcW w:w="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jc w:val="center"/>
              <w:ind w:right="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bottom w:val="single" w:sz="8" w:color="auto"/>
            </w:tcBorders>
            <w:shd w:val="clear" w:color="auto" w:fill="CFF0FC"/>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160.8</w:t>
            </w:r>
          </w:p>
        </w:tc>
        <w:tc>
          <w:tcPr>
            <w:tcW w:w="2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46.8</w:t>
            </w:r>
          </w:p>
        </w:tc>
        <w:tc>
          <w:tcPr>
            <w:tcW w:w="6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362.1</w:t>
            </w:r>
          </w:p>
        </w:tc>
        <w:tc>
          <w:tcPr>
            <w:tcW w:w="20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49.7</w:t>
            </w:r>
          </w:p>
        </w:tc>
        <w:tc>
          <w:tcPr>
            <w:tcW w:w="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FF0FC"/>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290.8</w:t>
            </w:r>
          </w:p>
        </w:tc>
        <w:tc>
          <w:tcPr>
            <w:tcW w:w="20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47.2</w:t>
            </w:r>
          </w:p>
        </w:tc>
        <w:tc>
          <w:tcPr>
            <w:tcW w:w="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compares product sales, net revenues earned during the three and six months ended June 30, 2022 and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80" w:type="dxa"/>
            <w:vAlign w:val="bottom"/>
            <w:gridSpan w:val="3"/>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5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7"/>
        </w:trPr>
        <w:tc>
          <w:tcPr>
            <w:tcW w:w="4460" w:type="dxa"/>
            <w:vAlign w:val="bottom"/>
            <w:vMerge w:val="continue"/>
          </w:tcPr>
          <w:p>
            <w:pPr>
              <w:spacing w:after="0"/>
              <w:rPr>
                <w:sz w:val="8"/>
                <w:szCs w:val="8"/>
                <w:color w:val="auto"/>
              </w:rPr>
            </w:pPr>
          </w:p>
        </w:tc>
        <w:tc>
          <w:tcPr>
            <w:tcW w:w="58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ind w:right="8"/>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jc w:val="right"/>
              <w:ind w:right="325"/>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jc w:val="right"/>
              <w:ind w:right="32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460" w:type="dxa"/>
            <w:vAlign w:val="bottom"/>
            <w:tcBorders>
              <w:top w:val="single" w:sz="8" w:color="CFF0FC"/>
            </w:tcBorders>
            <w:shd w:val="clear" w:color="auto" w:fill="CFF0FC"/>
          </w:tcPr>
          <w:p>
            <w:pPr>
              <w:ind w:left="160"/>
              <w:spacing w:after="0" w:line="115" w:lineRule="exact"/>
              <w:rPr>
                <w:sz w:val="20"/>
                <w:szCs w:val="20"/>
                <w:color w:val="auto"/>
              </w:rPr>
            </w:pPr>
            <w:r>
              <w:rPr>
                <w:rFonts w:ascii="Times New Roman" w:cs="Times New Roman" w:eastAsia="Times New Roman" w:hAnsi="Times New Roman"/>
                <w:sz w:val="12"/>
                <w:szCs w:val="12"/>
                <w:color w:val="auto"/>
              </w:rPr>
              <w:t>VIVITROL</w:t>
            </w:r>
          </w:p>
        </w:tc>
        <w:tc>
          <w:tcPr>
            <w:tcW w:w="580" w:type="dxa"/>
            <w:vAlign w:val="bottom"/>
            <w:tcBorders>
              <w:top w:val="single" w:sz="8" w:color="auto"/>
            </w:tcBorders>
            <w:shd w:val="clear" w:color="auto" w:fill="CFF0FC"/>
          </w:tcPr>
          <w:p>
            <w:pPr>
              <w:jc w:val="right"/>
              <w:ind w:right="46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96.1</w:t>
            </w:r>
          </w:p>
        </w:tc>
        <w:tc>
          <w:tcPr>
            <w:tcW w:w="20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ind w:right="50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88.4</w:t>
            </w:r>
          </w:p>
        </w:tc>
        <w:tc>
          <w:tcPr>
            <w:tcW w:w="2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ind w:right="54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7.7</w:t>
            </w: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181.0</w:t>
            </w:r>
          </w:p>
        </w:tc>
        <w:tc>
          <w:tcPr>
            <w:tcW w:w="22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163.0</w:t>
            </w:r>
          </w:p>
        </w:tc>
        <w:tc>
          <w:tcPr>
            <w:tcW w:w="2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18.0</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ARISTADA and ARISTADA INITIO</w:t>
            </w:r>
          </w:p>
        </w:tc>
        <w:tc>
          <w:tcPr>
            <w:tcW w:w="580" w:type="dxa"/>
            <w:vAlign w:val="bottom"/>
          </w:tcPr>
          <w:p>
            <w:pPr>
              <w:spacing w:after="0"/>
              <w:rPr>
                <w:sz w:val="10"/>
                <w:szCs w:val="10"/>
                <w:color w:val="auto"/>
              </w:rPr>
            </w:pPr>
          </w:p>
        </w:tc>
        <w:tc>
          <w:tcPr>
            <w:tcW w:w="3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74.6</w:t>
            </w: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72.4</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147.1</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127.8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LYBALVI</w:t>
            </w:r>
          </w:p>
        </w:tc>
        <w:tc>
          <w:tcPr>
            <w:tcW w:w="5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20.1</w:t>
            </w:r>
          </w:p>
        </w:tc>
        <w:tc>
          <w:tcPr>
            <w:tcW w:w="2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20.1</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34.0</w:t>
            </w: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34.0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60" w:type="dxa"/>
            <w:vAlign w:val="bottom"/>
          </w:tcPr>
          <w:p>
            <w:pPr>
              <w:ind w:left="240"/>
              <w:spacing w:after="0" w:line="115" w:lineRule="exact"/>
              <w:rPr>
                <w:sz w:val="20"/>
                <w:szCs w:val="20"/>
                <w:color w:val="auto"/>
              </w:rPr>
            </w:pPr>
            <w:r>
              <w:rPr>
                <w:rFonts w:ascii="Times New Roman" w:cs="Times New Roman" w:eastAsia="Times New Roman" w:hAnsi="Times New Roman"/>
                <w:sz w:val="12"/>
                <w:szCs w:val="12"/>
                <w:color w:val="auto"/>
              </w:rPr>
              <w:t>Product sales, net</w:t>
            </w:r>
          </w:p>
        </w:tc>
        <w:tc>
          <w:tcPr>
            <w:tcW w:w="580" w:type="dxa"/>
            <w:vAlign w:val="bottom"/>
            <w:tcBorders>
              <w:top w:val="single" w:sz="8" w:color="auto"/>
              <w:bottom w:val="single" w:sz="8" w:color="auto"/>
            </w:tcBorders>
          </w:tcPr>
          <w:p>
            <w:pPr>
              <w:jc w:val="right"/>
              <w:ind w:right="46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190.8</w:t>
            </w:r>
          </w:p>
        </w:tc>
        <w:tc>
          <w:tcPr>
            <w:tcW w:w="20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50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160.8</w:t>
            </w:r>
          </w:p>
        </w:tc>
        <w:tc>
          <w:tcPr>
            <w:tcW w:w="22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548"/>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30.0</w:t>
            </w:r>
          </w:p>
        </w:tc>
        <w:tc>
          <w:tcPr>
            <w:tcW w:w="22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362.1</w:t>
            </w:r>
          </w:p>
        </w:tc>
        <w:tc>
          <w:tcPr>
            <w:tcW w:w="22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290.8</w:t>
            </w:r>
          </w:p>
        </w:tc>
        <w:tc>
          <w:tcPr>
            <w:tcW w:w="22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71.3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20" w:firstLine="418"/>
        <w:spacing w:after="0" w:line="239" w:lineRule="auto"/>
        <w:rPr>
          <w:sz w:val="20"/>
          <w:szCs w:val="20"/>
          <w:color w:val="auto"/>
        </w:rPr>
      </w:pPr>
      <w:r>
        <w:rPr>
          <w:rFonts w:ascii="Times New Roman" w:cs="Times New Roman" w:eastAsia="Times New Roman" w:hAnsi="Times New Roman"/>
          <w:sz w:val="12"/>
          <w:szCs w:val="12"/>
          <w:color w:val="auto"/>
        </w:rPr>
        <w:t>VIVITROL product sales, gross, increased by 7% and 8% during the three and six months ended June 30, 2022, respectively, primarily due to increases of 1% and 4%, respectively, in the number of VIVITROL units sold and a 6% increase in the selling price of VIVITROL that went into effect in April 2022. ARISTADA and ARISTADA INITIO product sales, gross, increased by 2% and 14% during the three and six months ended June 30, 2022, respectively, primarily due to a 3% increase in the selling price of ARISTADA and ARISTADA INITIO that went into effect in April 2022. In addition, in the six months ended June 30, 2022, there was an 11% increase, as compared to the six months ended June 30, 2021, in the number of ARISTADA units sold.</w:t>
      </w:r>
    </w:p>
    <w:p>
      <w:pPr>
        <w:spacing w:after="0" w:line="107" w:lineRule="exact"/>
        <w:rPr>
          <w:sz w:val="20"/>
          <w:szCs w:val="20"/>
          <w:color w:val="auto"/>
        </w:rPr>
      </w:pPr>
    </w:p>
    <w:p>
      <w:pPr>
        <w:jc w:val="both"/>
        <w:ind w:right="100" w:firstLine="418"/>
        <w:spacing w:after="0" w:line="283" w:lineRule="auto"/>
        <w:rPr>
          <w:sz w:val="20"/>
          <w:szCs w:val="20"/>
          <w:color w:val="auto"/>
        </w:rPr>
      </w:pPr>
      <w:r>
        <w:rPr>
          <w:rFonts w:ascii="Times New Roman" w:cs="Times New Roman" w:eastAsia="Times New Roman" w:hAnsi="Times New Roman"/>
          <w:sz w:val="11"/>
          <w:szCs w:val="11"/>
          <w:color w:val="auto"/>
        </w:rPr>
        <w:t>The decreases in Medicaid rebates as a percentage of sales during the three and six months ended June 30, 2022, as compared to the three and six months ended June 30, 2021, were primarily due to actual Medicaid utilization rates being lower than original estimates as such rates began to normalize from pandemic levels. The increases in chargebacks as a percentage of sales during the three and six months ended June 30, 2022, as compared to the three and six months ended June 30, 2021, were primarily due to the increases in selling price of VIVITROL and ARISTADA, as described above, and increased utilization of certain federal government programs related to VIVITROL.</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7"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i w:val="1"/>
          <w:iCs w:val="1"/>
          <w:color w:val="auto"/>
        </w:rPr>
        <w:t>Manufacturing and Royalty Revenues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compares manufacturing and royalty revenues earned during the three and six months ended June 30, 2022 and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2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7"/>
        </w:trPr>
        <w:tc>
          <w:tcPr>
            <w:tcW w:w="42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right"/>
              <w:ind w:right="305"/>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jc w:val="right"/>
              <w:ind w:right="28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right"/>
              <w:ind w:right="305"/>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jc w:val="right"/>
              <w:ind w:right="30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20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Manufacturing and royalty revenues:</w:t>
            </w:r>
          </w:p>
        </w:tc>
        <w:tc>
          <w:tcPr>
            <w:tcW w:w="2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Long-acting INVEGA products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26.6</w:t>
            </w:r>
          </w:p>
        </w:tc>
        <w:tc>
          <w:tcPr>
            <w:tcW w:w="300" w:type="dxa"/>
            <w:vAlign w:val="bottom"/>
          </w:tcPr>
          <w:p>
            <w:pPr>
              <w:spacing w:after="0"/>
              <w:rPr>
                <w:sz w:val="10"/>
                <w:szCs w:val="10"/>
                <w:color w:val="auto"/>
              </w:rPr>
            </w:pPr>
          </w:p>
        </w:tc>
        <w:tc>
          <w:tcPr>
            <w:tcW w:w="320" w:type="dxa"/>
            <w:vAlign w:val="bottom"/>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81.0</w:t>
            </w:r>
          </w:p>
        </w:tc>
        <w:tc>
          <w:tcPr>
            <w:tcW w:w="320" w:type="dxa"/>
            <w:vAlign w:val="bottom"/>
          </w:tcPr>
          <w:p>
            <w:pPr>
              <w:spacing w:after="0"/>
              <w:rPr>
                <w:sz w:val="10"/>
                <w:szCs w:val="10"/>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2"/>
                <w:szCs w:val="12"/>
                <w:color w:val="auto"/>
              </w:rPr>
              <w:t>(54.4)</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63.7</w:t>
            </w:r>
          </w:p>
        </w:tc>
        <w:tc>
          <w:tcPr>
            <w:tcW w:w="320" w:type="dxa"/>
            <w:vAlign w:val="bottom"/>
          </w:tcPr>
          <w:p>
            <w:pPr>
              <w:spacing w:after="0"/>
              <w:rPr>
                <w:sz w:val="10"/>
                <w:szCs w:val="10"/>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142.6</w:t>
            </w:r>
          </w:p>
        </w:tc>
        <w:tc>
          <w:tcPr>
            <w:tcW w:w="320" w:type="dxa"/>
            <w:vAlign w:val="bottom"/>
          </w:tcPr>
          <w:p>
            <w:pPr>
              <w:spacing w:after="0"/>
              <w:rPr>
                <w:sz w:val="10"/>
                <w:szCs w:val="10"/>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(78.9)</w:t>
            </w:r>
          </w:p>
        </w:tc>
        <w:tc>
          <w:tcPr>
            <w:tcW w:w="0" w:type="dxa"/>
            <w:vAlign w:val="bottom"/>
          </w:tcPr>
          <w:p>
            <w:pPr>
              <w:spacing w:after="0"/>
              <w:rPr>
                <w:sz w:val="1"/>
                <w:szCs w:val="1"/>
                <w:color w:val="auto"/>
              </w:rPr>
            </w:pPr>
          </w:p>
        </w:tc>
      </w:tr>
      <w:tr>
        <w:trPr>
          <w:trHeight w:val="126"/>
        </w:trPr>
        <w:tc>
          <w:tcPr>
            <w:tcW w:w="42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VUMERITY</w:t>
            </w: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26.2</w:t>
            </w:r>
          </w:p>
        </w:tc>
        <w:tc>
          <w:tcPr>
            <w:tcW w:w="3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20.4</w:t>
            </w: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5.8</w:t>
            </w:r>
          </w:p>
        </w:tc>
        <w:tc>
          <w:tcPr>
            <w:tcW w:w="3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56.8</w:t>
            </w: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33.8</w:t>
            </w: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23.0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RISPERDAL CONSTA</w:t>
            </w:r>
          </w:p>
        </w:tc>
        <w:tc>
          <w:tcPr>
            <w:tcW w:w="20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10.4</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14.4</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2"/>
                <w:szCs w:val="12"/>
                <w:color w:val="auto"/>
              </w:rPr>
              <w:t>(4.0)</w:t>
            </w:r>
          </w:p>
        </w:tc>
        <w:tc>
          <w:tcPr>
            <w:tcW w:w="20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27.8</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28.6</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26"/>
        </w:trPr>
        <w:tc>
          <w:tcPr>
            <w:tcW w:w="42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Other</w:t>
            </w: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22.1</w:t>
            </w:r>
          </w:p>
        </w:tc>
        <w:tc>
          <w:tcPr>
            <w:tcW w:w="3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26.5</w:t>
            </w: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80"/>
              <w:spacing w:after="0" w:line="126" w:lineRule="exact"/>
              <w:rPr>
                <w:sz w:val="20"/>
                <w:szCs w:val="20"/>
                <w:color w:val="auto"/>
              </w:rPr>
            </w:pPr>
            <w:r>
              <w:rPr>
                <w:rFonts w:ascii="Times New Roman" w:cs="Times New Roman" w:eastAsia="Times New Roman" w:hAnsi="Times New Roman"/>
                <w:sz w:val="12"/>
                <w:szCs w:val="12"/>
                <w:color w:val="auto"/>
              </w:rPr>
              <w:t>(4.4)</w:t>
            </w: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42.2</w:t>
            </w: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57.1</w:t>
            </w: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40"/>
              <w:spacing w:after="0" w:line="135" w:lineRule="exact"/>
              <w:rPr>
                <w:sz w:val="20"/>
                <w:szCs w:val="20"/>
                <w:color w:val="auto"/>
              </w:rPr>
            </w:pPr>
            <w:r>
              <w:rPr>
                <w:rFonts w:ascii="Times New Roman" w:cs="Times New Roman" w:eastAsia="Times New Roman" w:hAnsi="Times New Roman"/>
                <w:sz w:val="12"/>
                <w:szCs w:val="12"/>
                <w:color w:val="auto"/>
              </w:rPr>
              <w:t>Manufacturing and royalty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00" w:type="dxa"/>
            <w:vAlign w:val="bottom"/>
            <w:vMerge w:val="continue"/>
          </w:tcPr>
          <w:p>
            <w:pPr>
              <w:spacing w:after="0"/>
              <w:rPr>
                <w:sz w:val="10"/>
                <w:szCs w:val="10"/>
                <w:color w:val="auto"/>
              </w:rPr>
            </w:pPr>
          </w:p>
        </w:tc>
        <w:tc>
          <w:tcPr>
            <w:tcW w:w="20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85.3</w:t>
            </w:r>
          </w:p>
        </w:tc>
        <w:tc>
          <w:tcPr>
            <w:tcW w:w="300" w:type="dxa"/>
            <w:vAlign w:val="bottom"/>
          </w:tcPr>
          <w:p>
            <w:pPr>
              <w:spacing w:after="0"/>
              <w:rPr>
                <w:sz w:val="10"/>
                <w:szCs w:val="10"/>
                <w:color w:val="auto"/>
              </w:rPr>
            </w:pPr>
          </w:p>
        </w:tc>
        <w:tc>
          <w:tcPr>
            <w:tcW w:w="320" w:type="dxa"/>
            <w:vAlign w:val="bottom"/>
          </w:tcPr>
          <w:p>
            <w:pPr>
              <w:jc w:val="right"/>
              <w:ind w:right="18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142.3</w:t>
            </w:r>
          </w:p>
        </w:tc>
        <w:tc>
          <w:tcPr>
            <w:tcW w:w="320" w:type="dxa"/>
            <w:vAlign w:val="bottom"/>
          </w:tcPr>
          <w:p>
            <w:pPr>
              <w:spacing w:after="0"/>
              <w:rPr>
                <w:sz w:val="10"/>
                <w:szCs w:val="10"/>
                <w:color w:val="auto"/>
              </w:rPr>
            </w:pPr>
          </w:p>
        </w:tc>
        <w:tc>
          <w:tcPr>
            <w:tcW w:w="1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80"/>
              <w:spacing w:after="0" w:line="115" w:lineRule="exact"/>
              <w:rPr>
                <w:sz w:val="20"/>
                <w:szCs w:val="20"/>
                <w:color w:val="auto"/>
              </w:rPr>
            </w:pPr>
            <w:r>
              <w:rPr>
                <w:rFonts w:ascii="Times New Roman" w:cs="Times New Roman" w:eastAsia="Times New Roman" w:hAnsi="Times New Roman"/>
                <w:sz w:val="12"/>
                <w:szCs w:val="12"/>
                <w:color w:val="auto"/>
              </w:rPr>
              <w:t>(57.0)</w:t>
            </w:r>
          </w:p>
        </w:tc>
        <w:tc>
          <w:tcPr>
            <w:tcW w:w="20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190.5</w:t>
            </w:r>
          </w:p>
        </w:tc>
        <w:tc>
          <w:tcPr>
            <w:tcW w:w="320" w:type="dxa"/>
            <w:vAlign w:val="bottom"/>
          </w:tcPr>
          <w:p>
            <w:pPr>
              <w:spacing w:after="0"/>
              <w:rPr>
                <w:sz w:val="10"/>
                <w:szCs w:val="10"/>
                <w:color w:val="auto"/>
              </w:rPr>
            </w:pPr>
          </w:p>
        </w:tc>
        <w:tc>
          <w:tcPr>
            <w:tcW w:w="280" w:type="dxa"/>
            <w:vAlign w:val="bottom"/>
          </w:tcPr>
          <w:p>
            <w:pPr>
              <w:jc w:val="right"/>
              <w:ind w:right="1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262.1</w:t>
            </w:r>
          </w:p>
        </w:tc>
        <w:tc>
          <w:tcPr>
            <w:tcW w:w="320" w:type="dxa"/>
            <w:vAlign w:val="bottom"/>
          </w:tcPr>
          <w:p>
            <w:pPr>
              <w:spacing w:after="0"/>
              <w:rPr>
                <w:sz w:val="10"/>
                <w:szCs w:val="10"/>
                <w:color w:val="auto"/>
              </w:rPr>
            </w:pPr>
          </w:p>
        </w:tc>
        <w:tc>
          <w:tcPr>
            <w:tcW w:w="180" w:type="dxa"/>
            <w:vAlign w:val="bottom"/>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(71.6)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right="120" w:firstLine="418"/>
        <w:spacing w:after="0" w:line="260" w:lineRule="auto"/>
        <w:rPr>
          <w:sz w:val="20"/>
          <w:szCs w:val="20"/>
          <w:color w:val="auto"/>
        </w:rPr>
      </w:pPr>
      <w:r>
        <w:rPr>
          <w:rFonts w:ascii="Times New Roman" w:cs="Times New Roman" w:eastAsia="Times New Roman" w:hAnsi="Times New Roman"/>
          <w:sz w:val="12"/>
          <w:szCs w:val="12"/>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w:t>
      </w:r>
    </w:p>
    <w:p>
      <w:pPr>
        <w:spacing w:after="0" w:line="122" w:lineRule="exact"/>
        <w:rPr>
          <w:sz w:val="20"/>
          <w:szCs w:val="20"/>
          <w:color w:val="auto"/>
        </w:rPr>
      </w:pPr>
    </w:p>
    <w:p>
      <w:pPr>
        <w:ind w:right="140" w:firstLine="418"/>
        <w:spacing w:after="0" w:line="260" w:lineRule="auto"/>
        <w:rPr>
          <w:sz w:val="20"/>
          <w:szCs w:val="20"/>
          <w:color w:val="auto"/>
        </w:rPr>
      </w:pPr>
      <w:r>
        <w:rPr>
          <w:rFonts w:ascii="Times New Roman" w:cs="Times New Roman" w:eastAsia="Times New Roman" w:hAnsi="Times New Roman"/>
          <w:sz w:val="12"/>
          <w:szCs w:val="12"/>
          <w:color w:val="auto"/>
        </w:rPr>
        <w:t>The decreases in royalty revenues from the long-acting INVEGA products during the three and six months ended June 30, 2022, as compared to the three and six months ended June 30, 2021, were primarily due to the partial termination of our license agreement with Janssen related to such products. When the partial termination of the license agreement became effective in February 2022, we stopped recognizing royalty revenue related to net sales of INVEGA SUSTENNA, INVEGA TRINZA and INVEGA HAFYERA in the U.S. During the three and six months ended June 30, 2022, Janssen’s rest of world net sales were $362.0 million and $749.0 million, respectively, as compared to $380.0 million and $756.0 million during the three and six months ended June 30, 2021, respectively.</w:t>
      </w:r>
    </w:p>
    <w:p>
      <w:pPr>
        <w:spacing w:after="0" w:line="95" w:lineRule="exact"/>
        <w:rPr>
          <w:sz w:val="20"/>
          <w:szCs w:val="20"/>
          <w:color w:val="auto"/>
        </w:rPr>
      </w:pPr>
    </w:p>
    <w:p>
      <w:pPr>
        <w:ind w:right="20" w:firstLine="418"/>
        <w:spacing w:after="0" w:line="253" w:lineRule="auto"/>
        <w:rPr>
          <w:sz w:val="20"/>
          <w:szCs w:val="20"/>
          <w:color w:val="auto"/>
        </w:rPr>
      </w:pPr>
      <w:r>
        <w:rPr>
          <w:rFonts w:ascii="Times New Roman" w:cs="Times New Roman" w:eastAsia="Times New Roman" w:hAnsi="Times New Roman"/>
          <w:sz w:val="12"/>
          <w:szCs w:val="12"/>
          <w:color w:val="auto"/>
        </w:rPr>
        <w:t xml:space="preserve">We expect royalty revenues from net sales of XEPLION, TREVICTA and BYANNLI to decrease over time. The amount and timing of royalty revenues from sales of INVEGA SUSTENNA, INVEGA TRINZA and INVEGA HAFYERA depend upon the outcome of our dispute with Janssen related to the basis for its partial termination of our license agreement in respect of these products. In November 2021, we received notice of partial termination of our license agreement with Janssen in respect of INVEGA SUSTENNA, INVEGA TRINZA and INVEGA HAFYERA pursuant to which Janssen received access and rights to Alkermes’ small particle pharmaceutical compound technology, known as NanoCrystal Technology. When the partial termination became effective in February 2022, Janssen ceased paying royalties related to sales of INVEGA SUSTENNA, INVEGA TRINZA and INVEGA HAFYERA in the U.S. and the Company stopped recognizing royalty revenue related to net sales of these products. In April 2022, we commenced binding arbitration proceedings related to, among other things, Janssen’s partial termination of this license agreement and Janssen’s royalty and other obligations under the agreement. For additional information regarding the arbitration proceedings with Janssen, see Note 15, </w:t>
      </w:r>
      <w:r>
        <w:rPr>
          <w:rFonts w:ascii="Times New Roman" w:cs="Times New Roman" w:eastAsia="Times New Roman" w:hAnsi="Times New Roman"/>
          <w:sz w:val="12"/>
          <w:szCs w:val="12"/>
          <w:i w:val="1"/>
          <w:iCs w:val="1"/>
          <w:color w:val="auto"/>
        </w:rPr>
        <w:t>Commitments and Contingent Liabilities</w:t>
      </w:r>
      <w:r>
        <w:rPr>
          <w:rFonts w:ascii="Times New Roman" w:cs="Times New Roman" w:eastAsia="Times New Roman" w:hAnsi="Times New Roman"/>
          <w:sz w:val="12"/>
          <w:szCs w:val="12"/>
          <w:color w:val="auto"/>
        </w:rPr>
        <w:t xml:space="preserve"> in the “Notes to Condensed Consolidated Financial Statements” in this Form 10-Q. For more information about the license agreement with Janssen in respect of the long-acting INVEGA products, see the “Collaborative Arrangements—Janssen” section in “Part I, Item 1—Business” in our Annual Report. For information about risks relating to the notice of partial termination and our collaborative arrangements more broadly, see “Part I, Item 1A—Risk Factors” in our Annual Report and specifically that section entitled “We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102" w:lineRule="exact"/>
        <w:rPr>
          <w:sz w:val="20"/>
          <w:szCs w:val="20"/>
          <w:color w:val="auto"/>
        </w:rPr>
      </w:pPr>
    </w:p>
    <w:p>
      <w:pPr>
        <w:ind w:firstLine="418"/>
        <w:spacing w:after="0" w:line="260" w:lineRule="auto"/>
        <w:rPr>
          <w:sz w:val="20"/>
          <w:szCs w:val="20"/>
          <w:color w:val="auto"/>
        </w:rPr>
      </w:pPr>
      <w:r>
        <w:rPr>
          <w:rFonts w:ascii="Times New Roman" w:cs="Times New Roman" w:eastAsia="Times New Roman" w:hAnsi="Times New Roman"/>
          <w:sz w:val="12"/>
          <w:szCs w:val="12"/>
          <w:color w:val="auto"/>
        </w:rPr>
        <w:t xml:space="preserve">In addition, each of INVEGA SUSTENNA and INVEGA TRINZA are currently subject to Paragraph IV litigation in response to companies seeking to market generic versions of such products. Increased competition from new products or generic versions of these products may lead to reduced unit sales of such products and increased pricing pressure. For a discussion of these legal proceedings, see Note 15, </w:t>
      </w:r>
      <w:r>
        <w:rPr>
          <w:rFonts w:ascii="Times New Roman" w:cs="Times New Roman" w:eastAsia="Times New Roman" w:hAnsi="Times New Roman"/>
          <w:sz w:val="12"/>
          <w:szCs w:val="12"/>
          <w:i w:val="1"/>
          <w:iCs w:val="1"/>
          <w:color w:val="auto"/>
        </w:rPr>
        <w:t>Commitments and Contingent Liabilities</w:t>
      </w:r>
      <w:r>
        <w:rPr>
          <w:rFonts w:ascii="Times New Roman" w:cs="Times New Roman" w:eastAsia="Times New Roman" w:hAnsi="Times New Roman"/>
          <w:sz w:val="12"/>
          <w:szCs w:val="12"/>
          <w:color w:val="auto"/>
        </w:rPr>
        <w:t xml:space="preserve"> in the “Notes to Condensed Consolidated Financial Statements” in this Form 10-Q and for information about risks relating to these legal proceedings, see “Part I, Item 1A—Risk Factors” in our Annual Report, and specifically the section entitled “We or our licensees may face claims against IP rights covering our products and competition from generic drug manufacturers.”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8" w:right="299" w:bottom="1440" w:gutter="0" w:footer="0" w:header="0"/>
        </w:sectPr>
      </w:pPr>
    </w:p>
    <w:bookmarkStart w:id="31" w:name="page32"/>
    <w:bookmarkEnd w:id="31"/>
    <w:p>
      <w:pPr>
        <w:ind w:firstLine="418"/>
        <w:spacing w:after="0" w:line="253" w:lineRule="auto"/>
        <w:rPr>
          <w:sz w:val="20"/>
          <w:szCs w:val="20"/>
          <w:color w:val="auto"/>
        </w:rPr>
      </w:pPr>
      <w:r>
        <w:rPr>
          <w:rFonts w:ascii="Times New Roman" w:cs="Times New Roman" w:eastAsia="Times New Roman" w:hAnsi="Times New Roman"/>
          <w:sz w:val="12"/>
          <w:szCs w:val="12"/>
          <w:color w:val="auto"/>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 of RISPERDAL CONSTA occurs. The decrease in revenue from RISPERDAL CONSTA during the three months ended June 30, 2022, as compared to the three months ended June 30, 2021, was primarily due to a decrease of $3.4 million in manufacturing revenue and a decrease of $0.6 million in royalty revenue. The decrease in revenue from RISPERDAL CONSTA during the six months ended June 30, 2022, as compared to the six months ended June 30, 2021, was primarily due to a $2.3 million decrease in royalty revenue, partially offset by a $1.5 million increase in manufacturing revenue. The decrease in manufacturing revenue during the three months ended June 30, 2022, as compared to the three months ended June 30, 2021, was primarily due to a decrease in our manufacturing fee. Pursuant to the terms of our manufacturing and supply agreement with Janssen, our manufacturing fee decreases as forecasted manufacturing production increases. Based on Janssen’s anticipated volume increases, our manufacturing fee decreased from 8.6% to 7.9% of Janssen’s net unit sales price. This decrease was partially offset by an increase in shipments to Janssen during the three months ended June 30, 2022, as compared to the three months ended June 30, 2021. The increase in manufacturing revenue during the six months ended June 30, 2022, as compared to the six months ended June 30, 2021 was primarily due to an increase in the number of units approved for shipment to Janssen, partially offset by the decrease in our manufacturing fee, as noted above. The decreases in royalty revenue in the three and six months ended June 30, 2022, as compared to the three and six months ended June 30, 2021, were due to decreases in end-market sales of RISPERDAL CONSTA, which were $125.0 million and $254.0 million during the three and six months ended June 30, 2022, respectively, as compared to $155.0 million and $312.0 million during the three and six months ended June 30, 2021, respectively.</w:t>
      </w:r>
    </w:p>
    <w:p>
      <w:pPr>
        <w:spacing w:after="0" w:line="110" w:lineRule="exact"/>
        <w:rPr>
          <w:sz w:val="20"/>
          <w:szCs w:val="20"/>
          <w:color w:val="auto"/>
        </w:rPr>
      </w:pPr>
    </w:p>
    <w:p>
      <w:pPr>
        <w:ind w:right="60" w:firstLine="418"/>
        <w:spacing w:after="0" w:line="279" w:lineRule="auto"/>
        <w:rPr>
          <w:sz w:val="20"/>
          <w:szCs w:val="20"/>
          <w:color w:val="auto"/>
        </w:rPr>
      </w:pPr>
      <w:r>
        <w:rPr>
          <w:rFonts w:ascii="Times New Roman" w:cs="Times New Roman" w:eastAsia="Times New Roman" w:hAnsi="Times New Roman"/>
          <w:sz w:val="12"/>
          <w:szCs w:val="12"/>
          <w:color w:val="auto"/>
        </w:rPr>
        <w:t>We expect revenues from RISPERDAL CONSTA to decrease over time. The latest to expire patent covering RISPERDAL CONSTA expired in 2021 in the EU and will expire in 2023 in the U.S., and we are aware of potential generic competition for RISPERDAL CONSTA that may lead to reduced unit sales and increased pricing pressure.</w:t>
      </w:r>
    </w:p>
    <w:p>
      <w:pPr>
        <w:spacing w:after="0" w:line="84" w:lineRule="exact"/>
        <w:rPr>
          <w:sz w:val="20"/>
          <w:szCs w:val="20"/>
          <w:color w:val="auto"/>
        </w:rPr>
      </w:pPr>
    </w:p>
    <w:p>
      <w:pPr>
        <w:ind w:right="40" w:firstLine="418"/>
        <w:spacing w:after="0" w:line="255" w:lineRule="auto"/>
        <w:rPr>
          <w:sz w:val="20"/>
          <w:szCs w:val="20"/>
          <w:color w:val="auto"/>
        </w:rPr>
      </w:pPr>
      <w:r>
        <w:rPr>
          <w:rFonts w:ascii="Times New Roman" w:cs="Times New Roman" w:eastAsia="Times New Roman" w:hAnsi="Times New Roman"/>
          <w:sz w:val="12"/>
          <w:szCs w:val="12"/>
          <w:color w:val="auto"/>
        </w:rPr>
        <w:t>We receive a 15% royalty on worldwide net sales of VUMERITY. We also recognize manufacturing revenue related to VUMERITY at cost plus 15%, upon release for bulk batches of VUMERITY and upon shipment for packaged lots of VUMERITY. The increases in revenue from VUMERITY during the three and six months ended June 30, 2022, as compared to the three and six months ended June 30, 2021, were primarily due to increases in royalty revenue. Royalty revenue increased by $6.9 million and $15.1 million in the three and six months ended June 30, 2022, respectively, as compared to the three and six months ended June 30, 2021. Net sales of VUMERITY were $136.8 million and $264.8 million during the three and six months ended June 30, 2022, respectively, as compared to $90.8 million and $164.1 million during the three and six months ended June 30, 2021, respectively. Manufacturing revenue increased by $7.9 million in the six months ended June 30, 2022, as compared to the six months ended June 30, 2021, due to an increase in the number of packaged batches that were manufactured for Biogen. Manufacturing revenue decreased by $1.1 million in the three months ended June 30, 2022, as compared to the three months ended June 30, 2021, primarily due to the manufacture of fewer commercial batches, as we work with Biogen and one of its suppliers to address a manufacturing issue, which, if it persists, will continue to negatively impact our manufacturing revenue and may negatively impact our royalty revenues.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 of Goods Manufactured and Sold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40" w:type="dxa"/>
            <w:vAlign w:val="bottom"/>
            <w:gridSpan w:val="3"/>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6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7"/>
        </w:trPr>
        <w:tc>
          <w:tcPr>
            <w:tcW w:w="4220" w:type="dxa"/>
            <w:vAlign w:val="bottom"/>
            <w:vMerge w:val="continue"/>
          </w:tcPr>
          <w:p>
            <w:pPr>
              <w:spacing w:after="0"/>
              <w:rPr>
                <w:sz w:val="8"/>
                <w:szCs w:val="8"/>
                <w:color w:val="auto"/>
              </w:rPr>
            </w:pPr>
          </w:p>
        </w:tc>
        <w:tc>
          <w:tcPr>
            <w:tcW w:w="60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jc w:val="right"/>
              <w:ind w:right="29"/>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ind w:right="329"/>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jc w:val="right"/>
              <w:ind w:right="346"/>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220" w:type="dxa"/>
            <w:vAlign w:val="bottom"/>
            <w:tcBorders>
              <w:top w:val="single" w:sz="8" w:color="CFF0FC"/>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Cost of goods manufactured and sold</w:t>
            </w:r>
          </w:p>
        </w:tc>
        <w:tc>
          <w:tcPr>
            <w:tcW w:w="600" w:type="dxa"/>
            <w:vAlign w:val="bottom"/>
            <w:tcBorders>
              <w:top w:val="single" w:sz="8" w:color="auto"/>
              <w:bottom w:val="single" w:sz="8" w:color="auto"/>
            </w:tcBorders>
            <w:shd w:val="clear" w:color="auto" w:fill="CFF0FC"/>
          </w:tcPr>
          <w:p>
            <w:pPr>
              <w:jc w:val="right"/>
              <w:ind w:right="48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58.4</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660" w:type="dxa"/>
            <w:vAlign w:val="bottom"/>
            <w:tcBorders>
              <w:top w:val="single" w:sz="8" w:color="auto"/>
              <w:bottom w:val="single" w:sz="8" w:color="auto"/>
            </w:tcBorders>
            <w:shd w:val="clear" w:color="auto" w:fill="CFF0FC"/>
          </w:tcPr>
          <w:p>
            <w:pPr>
              <w:jc w:val="right"/>
              <w:ind w:right="54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53.1</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720" w:type="dxa"/>
            <w:vAlign w:val="bottom"/>
            <w:tcBorders>
              <w:top w:val="single" w:sz="8" w:color="auto"/>
              <w:bottom w:val="single" w:sz="8" w:color="auto"/>
            </w:tcBorders>
            <w:shd w:val="clear" w:color="auto" w:fill="CFF0FC"/>
          </w:tcPr>
          <w:p>
            <w:pPr>
              <w:jc w:val="right"/>
              <w:ind w:right="609"/>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5.3</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220" w:type="dxa"/>
            <w:vAlign w:val="bottom"/>
            <w:tcBorders>
              <w:top w:val="single" w:sz="8" w:color="auto"/>
              <w:bottom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ind w:left="480"/>
              <w:spacing w:after="0" w:line="115" w:lineRule="exact"/>
              <w:rPr>
                <w:sz w:val="20"/>
                <w:szCs w:val="20"/>
                <w:color w:val="auto"/>
              </w:rPr>
            </w:pPr>
            <w:r>
              <w:rPr>
                <w:rFonts w:ascii="Times New Roman" w:cs="Times New Roman" w:eastAsia="Times New Roman" w:hAnsi="Times New Roman"/>
                <w:sz w:val="12"/>
                <w:szCs w:val="12"/>
                <w:color w:val="auto"/>
                <w:w w:val="88"/>
              </w:rPr>
              <w:t>113.5</w:t>
            </w: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320" w:type="dxa"/>
            <w:vAlign w:val="bottom"/>
            <w:tcBorders>
              <w:top w:val="single" w:sz="8" w:color="auto"/>
              <w:bottom w:val="single" w:sz="8" w:color="auto"/>
            </w:tcBorders>
            <w:shd w:val="clear" w:color="auto" w:fill="CFF0FC"/>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94.1</w:t>
            </w: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200" w:type="dxa"/>
            <w:vAlign w:val="bottom"/>
            <w:tcBorders>
              <w:top w:val="single" w:sz="8" w:color="auto"/>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19.4</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firstLine="418"/>
        <w:spacing w:after="0" w:line="239" w:lineRule="auto"/>
        <w:rPr>
          <w:sz w:val="20"/>
          <w:szCs w:val="20"/>
          <w:color w:val="auto"/>
        </w:rPr>
      </w:pPr>
      <w:r>
        <w:rPr>
          <w:rFonts w:ascii="Times New Roman" w:cs="Times New Roman" w:eastAsia="Times New Roman" w:hAnsi="Times New Roman"/>
          <w:sz w:val="12"/>
          <w:szCs w:val="12"/>
          <w:color w:val="auto"/>
        </w:rPr>
        <w:t>The increases in cost of goods manufactured and sold in the three and six months ended June 30, 2022, as compared to the three and six months ended June 30, 2021, were primarily due to increases of $1.4 million and $8.0 million, respectively, in the cost of goods manufactured for VUMERITY and increases of $5.1 million and $6.9 million, respectively, in the cost of goods sold for LYBALVI. In addition, in the six months ended June 30, 2022, there was an increase of $3.2 million, as compared to the six months ended June 30, 2021, in the cost of goods manufactured for RISPERDAL CONSTA. These increases were all related to an increase in the number of units manufactured and sold for each of these products, as discussed above.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90"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98" w:lineRule="exact"/>
        <w:rPr>
          <w:sz w:val="20"/>
          <w:szCs w:val="20"/>
          <w:color w:val="auto"/>
        </w:rPr>
      </w:pPr>
    </w:p>
    <w:p>
      <w:pPr>
        <w:ind w:right="40" w:firstLine="418"/>
        <w:spacing w:after="0" w:line="241" w:lineRule="auto"/>
        <w:rPr>
          <w:sz w:val="20"/>
          <w:szCs w:val="20"/>
          <w:color w:val="auto"/>
        </w:rPr>
      </w:pPr>
      <w:r>
        <w:rPr>
          <w:rFonts w:ascii="Times New Roman" w:cs="Times New Roman" w:eastAsia="Times New Roman" w:hAnsi="Times New Roman"/>
          <w:sz w:val="12"/>
          <w:szCs w:val="12"/>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70" w:lineRule="exact"/>
        <w:rPr>
          <w:sz w:val="20"/>
          <w:szCs w:val="20"/>
          <w:color w:val="auto"/>
        </w:rPr>
      </w:pPr>
    </w:p>
    <w:p>
      <w:pPr>
        <w:ind w:right="160" w:firstLine="418"/>
        <w:spacing w:after="0" w:line="264" w:lineRule="auto"/>
        <w:rPr>
          <w:sz w:val="20"/>
          <w:szCs w:val="20"/>
          <w:color w:val="auto"/>
        </w:rPr>
      </w:pPr>
      <w:r>
        <w:rPr>
          <w:rFonts w:ascii="Times New Roman" w:cs="Times New Roman" w:eastAsia="Times New Roman" w:hAnsi="Times New Roman"/>
          <w:sz w:val="12"/>
          <w:szCs w:val="12"/>
          <w:color w:val="auto"/>
        </w:rPr>
        <w:t>The following table sets forth our external R&amp;D expenses for the three and six months ended June 30, 2022 and 2021 relating to our then current development programs and our internal R&amp;D expenses, listed by the nature of such expenses: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7"/>
        </w:trPr>
        <w:tc>
          <w:tcPr>
            <w:tcW w:w="43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ind w:right="343"/>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jc w:val="right"/>
              <w:ind w:right="341"/>
              <w:spacing w:after="0" w:line="97"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ind w:right="343"/>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jc w:val="right"/>
              <w:ind w:right="341"/>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30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External R&amp;D expenses:</w:t>
            </w:r>
          </w:p>
        </w:tc>
        <w:tc>
          <w:tcPr>
            <w:tcW w:w="22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Development programs:</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nemvaleukin</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17.1</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22.7</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(5.6)</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36.6</w:t>
            </w: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41.3</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26"/>
        </w:trPr>
        <w:tc>
          <w:tcPr>
            <w:tcW w:w="430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LYBALVI</w:t>
            </w:r>
          </w:p>
        </w:tc>
        <w:tc>
          <w:tcPr>
            <w:tcW w:w="2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3.4</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(4.3)</w:t>
            </w:r>
          </w:p>
        </w:tc>
        <w:tc>
          <w:tcPr>
            <w:tcW w:w="2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9.2</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26"/>
        </w:trPr>
        <w:tc>
          <w:tcPr>
            <w:tcW w:w="4300" w:type="dxa"/>
            <w:vAlign w:val="bottom"/>
            <w:shd w:val="clear" w:color="auto" w:fill="CFF0FC"/>
          </w:tcPr>
          <w:p>
            <w:pPr>
              <w:ind w:left="240"/>
              <w:spacing w:after="0" w:line="126" w:lineRule="exact"/>
              <w:rPr>
                <w:sz w:val="20"/>
                <w:szCs w:val="20"/>
                <w:color w:val="auto"/>
              </w:rPr>
            </w:pPr>
            <w:r>
              <w:rPr>
                <w:rFonts w:ascii="Times New Roman" w:cs="Times New Roman" w:eastAsia="Times New Roman" w:hAnsi="Times New Roman"/>
                <w:sz w:val="12"/>
                <w:szCs w:val="12"/>
                <w:color w:val="auto"/>
              </w:rPr>
              <w:t>ALKS 1140</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0.6</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1.0</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(0.4)</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2.3</w:t>
            </w: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2.3</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4300" w:type="dxa"/>
            <w:vAlign w:val="bottom"/>
            <w:tcBorders>
              <w:bottom w:val="single" w:sz="8" w:color="CFF0FC"/>
            </w:tcBorders>
          </w:tcPr>
          <w:p>
            <w:pPr>
              <w:ind w:left="160"/>
              <w:spacing w:after="0" w:line="126" w:lineRule="exact"/>
              <w:rPr>
                <w:sz w:val="20"/>
                <w:szCs w:val="20"/>
                <w:color w:val="auto"/>
              </w:rPr>
            </w:pPr>
            <w:r>
              <w:rPr>
                <w:rFonts w:ascii="Times New Roman" w:cs="Times New Roman" w:eastAsia="Times New Roman" w:hAnsi="Times New Roman"/>
                <w:sz w:val="12"/>
                <w:szCs w:val="12"/>
                <w:color w:val="auto"/>
              </w:rPr>
              <w:t>Other external R&amp;D expenses</w:t>
            </w: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18.0</w:t>
            </w:r>
          </w:p>
        </w:tc>
        <w:tc>
          <w:tcPr>
            <w:tcW w:w="22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14.0</w:t>
            </w:r>
          </w:p>
        </w:tc>
        <w:tc>
          <w:tcPr>
            <w:tcW w:w="2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4.0</w:t>
            </w:r>
          </w:p>
        </w:tc>
        <w:tc>
          <w:tcPr>
            <w:tcW w:w="2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33.7</w:t>
            </w:r>
          </w:p>
        </w:tc>
        <w:tc>
          <w:tcPr>
            <w:tcW w:w="20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28.1</w:t>
            </w:r>
          </w:p>
        </w:tc>
        <w:tc>
          <w:tcPr>
            <w:tcW w:w="22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5.6</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00" w:type="dxa"/>
            <w:vAlign w:val="bottom"/>
            <w:shd w:val="clear" w:color="auto" w:fill="CFF0FC"/>
          </w:tcPr>
          <w:p>
            <w:pPr>
              <w:ind w:left="320"/>
              <w:spacing w:after="0" w:line="115" w:lineRule="exact"/>
              <w:rPr>
                <w:sz w:val="20"/>
                <w:szCs w:val="20"/>
                <w:color w:val="auto"/>
              </w:rPr>
            </w:pPr>
            <w:r>
              <w:rPr>
                <w:rFonts w:ascii="Times New Roman" w:cs="Times New Roman" w:eastAsia="Times New Roman" w:hAnsi="Times New Roman"/>
                <w:sz w:val="12"/>
                <w:szCs w:val="12"/>
                <w:color w:val="auto"/>
              </w:rPr>
              <w:t>Total external R&amp;D expenses</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39.1</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45.4</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2"/>
                <w:szCs w:val="12"/>
                <w:color w:val="auto"/>
              </w:rPr>
              <w:t>(6.3)</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81.8</w:t>
            </w: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86.2</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15"/>
        </w:trPr>
        <w:tc>
          <w:tcPr>
            <w:tcW w:w="430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Internal R&amp;D expenses:</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Employee-related</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40.6</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38.9</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1.7</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80.7</w:t>
            </w: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76.8</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Occupancy</w:t>
            </w:r>
          </w:p>
        </w:tc>
        <w:tc>
          <w:tcPr>
            <w:tcW w:w="2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4.5</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(0.5)</w:t>
            </w:r>
          </w:p>
        </w:tc>
        <w:tc>
          <w:tcPr>
            <w:tcW w:w="2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8.7</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26"/>
        </w:trPr>
        <w:tc>
          <w:tcPr>
            <w:tcW w:w="43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Depreciation</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2.9</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2.9</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5.7</w:t>
            </w:r>
          </w:p>
        </w:tc>
        <w:tc>
          <w:tcPr>
            <w:tcW w:w="2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6.3</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26"/>
        </w:trPr>
        <w:tc>
          <w:tcPr>
            <w:tcW w:w="4300" w:type="dxa"/>
            <w:vAlign w:val="bottom"/>
            <w:tcBorders>
              <w:bottom w:val="single" w:sz="8" w:color="CFF0FC"/>
            </w:tcBorders>
          </w:tcPr>
          <w:p>
            <w:pPr>
              <w:ind w:left="160"/>
              <w:spacing w:after="0" w:line="126" w:lineRule="exact"/>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5.7</w:t>
            </w:r>
          </w:p>
        </w:tc>
        <w:tc>
          <w:tcPr>
            <w:tcW w:w="22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5.2</w:t>
            </w:r>
          </w:p>
        </w:tc>
        <w:tc>
          <w:tcPr>
            <w:tcW w:w="2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0.5</w:t>
            </w:r>
          </w:p>
        </w:tc>
        <w:tc>
          <w:tcPr>
            <w:tcW w:w="2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11.9</w:t>
            </w:r>
          </w:p>
        </w:tc>
        <w:tc>
          <w:tcPr>
            <w:tcW w:w="20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10.6</w:t>
            </w:r>
          </w:p>
        </w:tc>
        <w:tc>
          <w:tcPr>
            <w:tcW w:w="22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1.3</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00" w:type="dxa"/>
            <w:vAlign w:val="bottom"/>
            <w:shd w:val="clear" w:color="auto" w:fill="CFF0FC"/>
          </w:tcPr>
          <w:p>
            <w:pPr>
              <w:ind w:left="320"/>
              <w:spacing w:after="0" w:line="115" w:lineRule="exact"/>
              <w:rPr>
                <w:sz w:val="20"/>
                <w:szCs w:val="20"/>
                <w:color w:val="auto"/>
              </w:rPr>
            </w:pPr>
            <w:r>
              <w:rPr>
                <w:rFonts w:ascii="Times New Roman" w:cs="Times New Roman" w:eastAsia="Times New Roman" w:hAnsi="Times New Roman"/>
                <w:sz w:val="12"/>
                <w:szCs w:val="12"/>
                <w:color w:val="auto"/>
              </w:rPr>
              <w:t>Total internal R&amp;D expenses</w:t>
            </w:r>
          </w:p>
        </w:tc>
        <w:tc>
          <w:tcPr>
            <w:tcW w:w="22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53.7</w:t>
            </w:r>
          </w:p>
        </w:tc>
        <w:tc>
          <w:tcPr>
            <w:tcW w:w="220" w:type="dxa"/>
            <w:vAlign w:val="bottom"/>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6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52.0</w:t>
            </w:r>
          </w:p>
        </w:tc>
        <w:tc>
          <w:tcPr>
            <w:tcW w:w="220" w:type="dxa"/>
            <w:vAlign w:val="bottom"/>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1.7</w:t>
            </w:r>
          </w:p>
        </w:tc>
        <w:tc>
          <w:tcPr>
            <w:tcW w:w="220" w:type="dxa"/>
            <w:vAlign w:val="bottom"/>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107.0</w:t>
            </w:r>
          </w:p>
        </w:tc>
        <w:tc>
          <w:tcPr>
            <w:tcW w:w="200" w:type="dxa"/>
            <w:vAlign w:val="bottom"/>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103.5</w:t>
            </w:r>
          </w:p>
        </w:tc>
        <w:tc>
          <w:tcPr>
            <w:tcW w:w="22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00" w:type="dxa"/>
            <w:vAlign w:val="bottom"/>
          </w:tcPr>
          <w:p>
            <w:pPr>
              <w:ind w:left="480"/>
              <w:spacing w:after="0" w:line="115" w:lineRule="exact"/>
              <w:rPr>
                <w:sz w:val="20"/>
                <w:szCs w:val="20"/>
                <w:color w:val="auto"/>
              </w:rPr>
            </w:pPr>
            <w:r>
              <w:rPr>
                <w:rFonts w:ascii="Times New Roman" w:cs="Times New Roman" w:eastAsia="Times New Roman" w:hAnsi="Times New Roman"/>
                <w:sz w:val="12"/>
                <w:szCs w:val="12"/>
                <w:color w:val="auto"/>
              </w:rPr>
              <w:t>Research and development expenses</w:t>
            </w:r>
          </w:p>
        </w:tc>
        <w:tc>
          <w:tcPr>
            <w:tcW w:w="22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92.8</w:t>
            </w:r>
          </w:p>
        </w:tc>
        <w:tc>
          <w:tcPr>
            <w:tcW w:w="220" w:type="dxa"/>
            <w:vAlign w:val="bottom"/>
          </w:tcPr>
          <w:p>
            <w:pPr>
              <w:spacing w:after="0"/>
              <w:rPr>
                <w:sz w:val="10"/>
                <w:szCs w:val="10"/>
                <w:color w:val="auto"/>
              </w:rPr>
            </w:pPr>
          </w:p>
        </w:tc>
        <w:tc>
          <w:tcPr>
            <w:tcW w:w="340" w:type="dxa"/>
            <w:vAlign w:val="bottom"/>
            <w:tcBorders>
              <w:bottom w:val="single" w:sz="8" w:color="auto"/>
            </w:tcBorders>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97.4</w:t>
            </w:r>
          </w:p>
        </w:tc>
        <w:tc>
          <w:tcPr>
            <w:tcW w:w="220" w:type="dxa"/>
            <w:vAlign w:val="bottom"/>
          </w:tcPr>
          <w:p>
            <w:pPr>
              <w:spacing w:after="0"/>
              <w:rPr>
                <w:sz w:val="10"/>
                <w:szCs w:val="10"/>
                <w:color w:val="auto"/>
              </w:rPr>
            </w:pPr>
          </w:p>
        </w:tc>
        <w:tc>
          <w:tcPr>
            <w:tcW w:w="1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(4.6)</w:t>
            </w:r>
          </w:p>
        </w:tc>
        <w:tc>
          <w:tcPr>
            <w:tcW w:w="220" w:type="dxa"/>
            <w:vAlign w:val="bottom"/>
          </w:tcPr>
          <w:p>
            <w:pPr>
              <w:spacing w:after="0"/>
              <w:rPr>
                <w:sz w:val="10"/>
                <w:szCs w:val="10"/>
                <w:color w:val="auto"/>
              </w:rPr>
            </w:pPr>
          </w:p>
        </w:tc>
        <w:tc>
          <w:tcPr>
            <w:tcW w:w="22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188.8</w:t>
            </w:r>
          </w:p>
        </w:tc>
        <w:tc>
          <w:tcPr>
            <w:tcW w:w="200" w:type="dxa"/>
            <w:vAlign w:val="bottom"/>
          </w:tcPr>
          <w:p>
            <w:pPr>
              <w:spacing w:after="0"/>
              <w:rPr>
                <w:sz w:val="10"/>
                <w:szCs w:val="10"/>
                <w:color w:val="auto"/>
              </w:rPr>
            </w:pPr>
          </w:p>
        </w:tc>
        <w:tc>
          <w:tcPr>
            <w:tcW w:w="340" w:type="dxa"/>
            <w:vAlign w:val="bottom"/>
            <w:tcBorders>
              <w:bottom w:val="single" w:sz="8" w:color="auto"/>
            </w:tcBorders>
          </w:tcPr>
          <w:p>
            <w:pPr>
              <w:jc w:val="right"/>
              <w:ind w:right="20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189.7</w:t>
            </w:r>
          </w:p>
        </w:tc>
        <w:tc>
          <w:tcPr>
            <w:tcW w:w="220" w:type="dxa"/>
            <w:vAlign w:val="bottom"/>
          </w:tcPr>
          <w:p>
            <w:pPr>
              <w:spacing w:after="0"/>
              <w:rPr>
                <w:sz w:val="10"/>
                <w:szCs w:val="10"/>
                <w:color w:val="auto"/>
              </w:rPr>
            </w:pPr>
          </w:p>
        </w:tc>
        <w:tc>
          <w:tcPr>
            <w:tcW w:w="20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418"/>
        <w:spacing w:after="0" w:line="248" w:lineRule="auto"/>
        <w:rPr>
          <w:sz w:val="20"/>
          <w:szCs w:val="20"/>
          <w:color w:val="auto"/>
        </w:rPr>
      </w:pPr>
      <w:r>
        <w:rPr>
          <w:rFonts w:ascii="Times New Roman" w:cs="Times New Roman" w:eastAsia="Times New Roman" w:hAnsi="Times New Roman"/>
          <w:sz w:val="12"/>
          <w:szCs w:val="12"/>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75" w:lineRule="exact"/>
        <w:rPr>
          <w:sz w:val="20"/>
          <w:szCs w:val="20"/>
          <w:color w:val="auto"/>
        </w:rPr>
      </w:pPr>
    </w:p>
    <w:p>
      <w:pPr>
        <w:ind w:right="20" w:firstLine="418"/>
        <w:spacing w:after="0" w:line="235" w:lineRule="auto"/>
        <w:rPr>
          <w:sz w:val="20"/>
          <w:szCs w:val="20"/>
          <w:color w:val="auto"/>
        </w:rPr>
      </w:pPr>
      <w:r>
        <w:rPr>
          <w:rFonts w:ascii="Times New Roman" w:cs="Times New Roman" w:eastAsia="Times New Roman" w:hAnsi="Times New Roman"/>
          <w:sz w:val="12"/>
          <w:szCs w:val="12"/>
          <w:color w:val="auto"/>
        </w:rPr>
        <w:t>The decreases in expenses related to nemvaleukin in the three and six months ended June 30, 2022, as compared to the three and six months ended June 30, 2021, were primarily due to decreased spend on the ARTISTRY-1 and ARTISTRY-2 studies, partially offset by increased clinical spend on the ARTISTRY-7 study. For details on the ARTISTRY development program, see the “Key Development Program” section of this “Part I, Item 2—Management’s Discussion and Analysis of Financial Condition and Results of Operations” in this Form 10-Q. The decreases in expenses related to LYBALVI in the three and six months ended June 30, 2022, as compared to the three and six months ended June 30, 2021, were primarily due to decreased R&amp;D activities for the product in light of its commercial launch in October 2021. The increases in other external R&amp;D expenses in the three and six months ended June 30, 2022, as compared to the three and six months ended June 30, 2021, were primarily due to increases of $1.2 million and $4.6 million, respectively, related to our early-stage development programs.</w:t>
      </w:r>
    </w:p>
    <w:p>
      <w:pPr>
        <w:spacing w:after="0" w:line="71" w:lineRule="exact"/>
        <w:rPr>
          <w:sz w:val="20"/>
          <w:szCs w:val="20"/>
          <w:color w:val="auto"/>
        </w:rPr>
      </w:pPr>
    </w:p>
    <w:p>
      <w:pPr>
        <w:ind w:right="180" w:firstLine="418"/>
        <w:spacing w:after="0" w:line="264" w:lineRule="auto"/>
        <w:rPr>
          <w:sz w:val="20"/>
          <w:szCs w:val="20"/>
          <w:color w:val="auto"/>
        </w:rPr>
      </w:pPr>
      <w:r>
        <w:rPr>
          <w:rFonts w:ascii="Times New Roman" w:cs="Times New Roman" w:eastAsia="Times New Roman" w:hAnsi="Times New Roman"/>
          <w:sz w:val="12"/>
          <w:szCs w:val="12"/>
          <w:color w:val="auto"/>
        </w:rPr>
        <w:t>The increases in employee-related expense in the three and six months ended June 30, 2022, as compared to the three and six months ended June 30, 2021, were primarily related to increases of $1.3 million and $2.0 million, respectively, in labor and benefits, primarily due to increases in recruitment costs and temporary labor, and increases of $0.1 million and $1.7 million, respectively, in R&amp;D-related share-based compensation expense.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7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i w:val="1"/>
          <w:iCs w:val="1"/>
          <w:color w:val="auto"/>
        </w:rPr>
        <w:t>Selling, General and Administrative Expense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7"/>
        </w:trPr>
        <w:tc>
          <w:tcPr>
            <w:tcW w:w="43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446"/>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jc w:val="right"/>
              <w:ind w:right="443"/>
              <w:spacing w:after="0" w:line="97"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ind w:left="160"/>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jc w:val="right"/>
              <w:ind w:right="343"/>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30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Selling and marketing expense</w:t>
            </w:r>
          </w:p>
        </w:tc>
        <w:tc>
          <w:tcPr>
            <w:tcW w:w="220" w:type="dxa"/>
            <w:vAlign w:val="bottom"/>
            <w:tcBorders>
              <w:top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2"/>
                <w:szCs w:val="12"/>
                <w:color w:val="auto"/>
              </w:rPr>
              <w:t>95.3</w:t>
            </w:r>
          </w:p>
        </w:tc>
        <w:tc>
          <w:tcPr>
            <w:tcW w:w="12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ind w:right="63"/>
              <w:spacing w:after="0" w:line="115" w:lineRule="exact"/>
              <w:rPr>
                <w:sz w:val="20"/>
                <w:szCs w:val="20"/>
                <w:color w:val="auto"/>
              </w:rPr>
            </w:pPr>
            <w:r>
              <w:rPr>
                <w:rFonts w:ascii="Times New Roman" w:cs="Times New Roman" w:eastAsia="Times New Roman" w:hAnsi="Times New Roman"/>
                <w:sz w:val="12"/>
                <w:szCs w:val="12"/>
                <w:color w:val="auto"/>
              </w:rPr>
              <w:t>85.7</w:t>
            </w:r>
          </w:p>
        </w:tc>
        <w:tc>
          <w:tcPr>
            <w:tcW w:w="1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9.6</w:t>
            </w: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FF0FC"/>
          </w:tcPr>
          <w:p>
            <w:pPr>
              <w:ind w:left="460"/>
              <w:spacing w:after="0" w:line="115" w:lineRule="exact"/>
              <w:rPr>
                <w:sz w:val="20"/>
                <w:szCs w:val="20"/>
                <w:color w:val="auto"/>
              </w:rPr>
            </w:pPr>
            <w:r>
              <w:rPr>
                <w:rFonts w:ascii="Times New Roman" w:cs="Times New Roman" w:eastAsia="Times New Roman" w:hAnsi="Times New Roman"/>
                <w:sz w:val="12"/>
                <w:szCs w:val="12"/>
                <w:color w:val="auto"/>
                <w:w w:val="96"/>
              </w:rPr>
              <w:t>191.5</w:t>
            </w: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165.4</w:t>
            </w: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26.1</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tcBorders>
              <w:bottom w:val="single" w:sz="8" w:color="CFF0FC"/>
            </w:tcBorders>
          </w:tcPr>
          <w:p>
            <w:pPr>
              <w:spacing w:after="0" w:line="126" w:lineRule="exact"/>
              <w:rPr>
                <w:sz w:val="20"/>
                <w:szCs w:val="20"/>
                <w:color w:val="auto"/>
              </w:rPr>
            </w:pPr>
            <w:r>
              <w:rPr>
                <w:rFonts w:ascii="Times New Roman" w:cs="Times New Roman" w:eastAsia="Times New Roman" w:hAnsi="Times New Roman"/>
                <w:sz w:val="12"/>
                <w:szCs w:val="12"/>
                <w:color w:val="auto"/>
              </w:rPr>
              <w:t>General and administrative expense</w:t>
            </w: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66"/>
              <w:spacing w:after="0" w:line="126" w:lineRule="exact"/>
              <w:rPr>
                <w:sz w:val="20"/>
                <w:szCs w:val="20"/>
                <w:color w:val="auto"/>
              </w:rPr>
            </w:pPr>
            <w:r>
              <w:rPr>
                <w:rFonts w:ascii="Times New Roman" w:cs="Times New Roman" w:eastAsia="Times New Roman" w:hAnsi="Times New Roman"/>
                <w:sz w:val="12"/>
                <w:szCs w:val="12"/>
                <w:color w:val="auto"/>
              </w:rPr>
              <w:t>55.0</w:t>
            </w:r>
          </w:p>
        </w:tc>
        <w:tc>
          <w:tcPr>
            <w:tcW w:w="12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63"/>
              <w:spacing w:after="0" w:line="126" w:lineRule="exact"/>
              <w:rPr>
                <w:sz w:val="20"/>
                <w:szCs w:val="20"/>
                <w:color w:val="auto"/>
              </w:rPr>
            </w:pPr>
            <w:r>
              <w:rPr>
                <w:rFonts w:ascii="Times New Roman" w:cs="Times New Roman" w:eastAsia="Times New Roman" w:hAnsi="Times New Roman"/>
                <w:sz w:val="12"/>
                <w:szCs w:val="12"/>
                <w:color w:val="auto"/>
              </w:rPr>
              <w:t>53.5</w:t>
            </w:r>
          </w:p>
        </w:tc>
        <w:tc>
          <w:tcPr>
            <w:tcW w:w="1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1.5</w:t>
            </w:r>
          </w:p>
        </w:tc>
        <w:tc>
          <w:tcPr>
            <w:tcW w:w="2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ind w:left="460"/>
              <w:spacing w:after="0" w:line="126" w:lineRule="exact"/>
              <w:rPr>
                <w:sz w:val="20"/>
                <w:szCs w:val="20"/>
                <w:color w:val="auto"/>
              </w:rPr>
            </w:pPr>
            <w:r>
              <w:rPr>
                <w:rFonts w:ascii="Times New Roman" w:cs="Times New Roman" w:eastAsia="Times New Roman" w:hAnsi="Times New Roman"/>
                <w:sz w:val="12"/>
                <w:szCs w:val="12"/>
                <w:color w:val="auto"/>
                <w:w w:val="96"/>
              </w:rPr>
              <w:t>103.9</w:t>
            </w:r>
          </w:p>
        </w:tc>
        <w:tc>
          <w:tcPr>
            <w:tcW w:w="20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99.0</w:t>
            </w:r>
          </w:p>
        </w:tc>
        <w:tc>
          <w:tcPr>
            <w:tcW w:w="22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4.9</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00" w:type="dxa"/>
            <w:vAlign w:val="bottom"/>
            <w:tcBorders>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Selling, general and administrative expense</w:t>
            </w:r>
          </w:p>
        </w:tc>
        <w:tc>
          <w:tcPr>
            <w:tcW w:w="220" w:type="dxa"/>
            <w:vAlign w:val="bottom"/>
            <w:tcBorders>
              <w:bottom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2"/>
                <w:szCs w:val="12"/>
                <w:color w:val="auto"/>
              </w:rPr>
              <w:t>150.3</w:t>
            </w:r>
          </w:p>
        </w:tc>
        <w:tc>
          <w:tcPr>
            <w:tcW w:w="12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ind w:right="63"/>
              <w:spacing w:after="0" w:line="115" w:lineRule="exact"/>
              <w:rPr>
                <w:sz w:val="20"/>
                <w:szCs w:val="20"/>
                <w:color w:val="auto"/>
              </w:rPr>
            </w:pPr>
            <w:r>
              <w:rPr>
                <w:rFonts w:ascii="Times New Roman" w:cs="Times New Roman" w:eastAsia="Times New Roman" w:hAnsi="Times New Roman"/>
                <w:sz w:val="12"/>
                <w:szCs w:val="12"/>
                <w:color w:val="auto"/>
              </w:rPr>
              <w:t>139.2</w:t>
            </w:r>
          </w:p>
        </w:tc>
        <w:tc>
          <w:tcPr>
            <w:tcW w:w="1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11.1</w:t>
            </w:r>
          </w:p>
        </w:tc>
        <w:tc>
          <w:tcPr>
            <w:tcW w:w="22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ind w:left="460"/>
              <w:spacing w:after="0" w:line="115" w:lineRule="exact"/>
              <w:rPr>
                <w:sz w:val="20"/>
                <w:szCs w:val="20"/>
                <w:color w:val="auto"/>
              </w:rPr>
            </w:pPr>
            <w:r>
              <w:rPr>
                <w:rFonts w:ascii="Times New Roman" w:cs="Times New Roman" w:eastAsia="Times New Roman" w:hAnsi="Times New Roman"/>
                <w:sz w:val="12"/>
                <w:szCs w:val="12"/>
                <w:color w:val="auto"/>
                <w:w w:val="96"/>
              </w:rPr>
              <w:t>295.4</w:t>
            </w:r>
          </w:p>
        </w:tc>
        <w:tc>
          <w:tcPr>
            <w:tcW w:w="20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264.4</w:t>
            </w:r>
          </w:p>
        </w:tc>
        <w:tc>
          <w:tcPr>
            <w:tcW w:w="22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31.0</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ind w:right="100" w:firstLine="418"/>
        <w:spacing w:after="0" w:line="265" w:lineRule="auto"/>
        <w:rPr>
          <w:sz w:val="20"/>
          <w:szCs w:val="20"/>
          <w:color w:val="auto"/>
        </w:rPr>
      </w:pPr>
      <w:r>
        <w:rPr>
          <w:rFonts w:ascii="Times New Roman" w:cs="Times New Roman" w:eastAsia="Times New Roman" w:hAnsi="Times New Roman"/>
          <w:sz w:val="12"/>
          <w:szCs w:val="12"/>
          <w:color w:val="auto"/>
        </w:rPr>
        <w:t>The increases in selling and marketing expense in the three and six months ended June 30, 2022, as compared to the three and six months ended June 30, 2021, were primarily due to increases in marketing expenses of $4.2 million and $7.9 million, respectively, and increases in professional service fees of $2.3 million and $4.7 million, respectively, in each case primarily due to commercial launch activities for LYBALVI, and increases in employee-related expenses of $2.4 million and $10.2 million, respectively, primarily due to a 7% increase in selling and marketing headcount from June 30, 2021 to June 30, 2022 in support of the launch of LYBALVI.</w:t>
      </w:r>
    </w:p>
    <w:p>
      <w:pPr>
        <w:spacing w:after="0" w:line="119" w:lineRule="exact"/>
        <w:rPr>
          <w:sz w:val="20"/>
          <w:szCs w:val="20"/>
          <w:color w:val="auto"/>
        </w:rPr>
      </w:pPr>
    </w:p>
    <w:p>
      <w:pPr>
        <w:ind w:right="60" w:firstLine="418"/>
        <w:spacing w:after="0" w:line="279" w:lineRule="auto"/>
        <w:rPr>
          <w:sz w:val="20"/>
          <w:szCs w:val="20"/>
          <w:color w:val="auto"/>
        </w:rPr>
      </w:pPr>
      <w:r>
        <w:rPr>
          <w:rFonts w:ascii="Times New Roman" w:cs="Times New Roman" w:eastAsia="Times New Roman" w:hAnsi="Times New Roman"/>
          <w:sz w:val="12"/>
          <w:szCs w:val="12"/>
          <w:color w:val="auto"/>
        </w:rPr>
        <w:t>The increases in general and administrative expense in the three and six months ended June 30, 2022, as compared to the three and six months ended June 30, 2021, were primarily due to increases in professional service fees of $5.3 million and $7.3 million, respectively, partially offset by decreases in general and administrative-related share-based compensation expense of $3.6 million and $3.7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(Expense) Income, Net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7"/>
        </w:trPr>
        <w:tc>
          <w:tcPr>
            <w:tcW w:w="43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ind w:right="345"/>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jc w:val="right"/>
              <w:ind w:right="342"/>
              <w:spacing w:after="0" w:line="97"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ind w:right="345"/>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jc w:val="right"/>
              <w:ind w:right="34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30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Interest income</w:t>
            </w:r>
          </w:p>
        </w:tc>
        <w:tc>
          <w:tcPr>
            <w:tcW w:w="220" w:type="dxa"/>
            <w:vAlign w:val="bottom"/>
            <w:tcBorders>
              <w:top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0.9</w:t>
            </w:r>
          </w:p>
        </w:tc>
        <w:tc>
          <w:tcPr>
            <w:tcW w:w="22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0.6</w:t>
            </w:r>
          </w:p>
        </w:tc>
        <w:tc>
          <w:tcPr>
            <w:tcW w:w="22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0.3</w:t>
            </w:r>
          </w:p>
        </w:tc>
        <w:tc>
          <w:tcPr>
            <w:tcW w:w="2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1.5</w:t>
            </w: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1.5</w:t>
            </w: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(2.3)</w:t>
            </w:r>
          </w:p>
        </w:tc>
        <w:tc>
          <w:tcPr>
            <w:tcW w:w="340" w:type="dxa"/>
            <w:vAlign w:val="bottom"/>
          </w:tcPr>
          <w:p>
            <w:pPr>
              <w:spacing w:after="0"/>
              <w:rPr>
                <w:sz w:val="10"/>
                <w:szCs w:val="10"/>
                <w:color w:val="auto"/>
              </w:rPr>
            </w:pPr>
          </w:p>
        </w:tc>
        <w:tc>
          <w:tcPr>
            <w:tcW w:w="84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(2.4)</w:t>
            </w:r>
          </w:p>
        </w:tc>
        <w:tc>
          <w:tcPr>
            <w:tcW w:w="18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0.1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(4.7)</w:t>
            </w:r>
          </w:p>
        </w:tc>
        <w:tc>
          <w:tcPr>
            <w:tcW w:w="340" w:type="dxa"/>
            <w:vAlign w:val="bottom"/>
          </w:tcPr>
          <w:p>
            <w:pPr>
              <w:spacing w:after="0"/>
              <w:rPr>
                <w:sz w:val="10"/>
                <w:szCs w:val="10"/>
                <w:color w:val="auto"/>
              </w:rPr>
            </w:pPr>
          </w:p>
        </w:tc>
        <w:tc>
          <w:tcPr>
            <w:tcW w:w="8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(6.4)</w:t>
            </w:r>
          </w:p>
        </w:tc>
        <w:tc>
          <w:tcPr>
            <w:tcW w:w="20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Change in the fair value of contingent consideration</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0.9</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3.2</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(2.3)</w:t>
            </w:r>
          </w:p>
        </w:tc>
        <w:tc>
          <w:tcPr>
            <w:tcW w:w="2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(18.2)</w:t>
            </w:r>
          </w:p>
        </w:tc>
        <w:tc>
          <w:tcPr>
            <w:tcW w:w="34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4.5</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(22.7)</w:t>
            </w:r>
          </w:p>
        </w:tc>
        <w:tc>
          <w:tcPr>
            <w:tcW w:w="0" w:type="dxa"/>
            <w:vAlign w:val="bottom"/>
          </w:tcPr>
          <w:p>
            <w:pPr>
              <w:spacing w:after="0"/>
              <w:rPr>
                <w:sz w:val="1"/>
                <w:szCs w:val="1"/>
                <w:color w:val="auto"/>
              </w:rPr>
            </w:pPr>
          </w:p>
        </w:tc>
      </w:tr>
      <w:tr>
        <w:trPr>
          <w:trHeight w:val="126"/>
        </w:trPr>
        <w:tc>
          <w:tcPr>
            <w:tcW w:w="43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Other income (expense), net</w:t>
            </w:r>
          </w:p>
        </w:tc>
        <w:tc>
          <w:tcPr>
            <w:tcW w:w="2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(0.2)</w:t>
            </w:r>
          </w:p>
        </w:tc>
        <w:tc>
          <w:tcPr>
            <w:tcW w:w="18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4.2</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(0.6)</w:t>
            </w:r>
          </w:p>
        </w:tc>
        <w:tc>
          <w:tcPr>
            <w:tcW w:w="20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ind w:left="160"/>
              <w:spacing w:after="0" w:line="135" w:lineRule="exact"/>
              <w:rPr>
                <w:sz w:val="20"/>
                <w:szCs w:val="20"/>
                <w:color w:val="auto"/>
              </w:rPr>
            </w:pPr>
            <w:r>
              <w:rPr>
                <w:rFonts w:ascii="Times New Roman" w:cs="Times New Roman" w:eastAsia="Times New Roman" w:hAnsi="Times New Roman"/>
                <w:sz w:val="12"/>
                <w:szCs w:val="12"/>
                <w:color w:val="auto"/>
              </w:rPr>
              <w:t>Total other (expense) income, net</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w:t>
            </w:r>
          </w:p>
        </w:tc>
        <w:tc>
          <w:tcPr>
            <w:tcW w:w="220" w:type="dxa"/>
            <w:vAlign w:val="bottom"/>
            <w:shd w:val="clear" w:color="auto" w:fill="CFF0FC"/>
          </w:tcPr>
          <w:p>
            <w:pPr>
              <w:spacing w:after="0"/>
              <w:rPr>
                <w:sz w:val="10"/>
                <w:szCs w:val="10"/>
                <w:color w:val="auto"/>
              </w:rPr>
            </w:pPr>
          </w:p>
        </w:tc>
        <w:tc>
          <w:tcPr>
            <w:tcW w:w="340" w:type="dxa"/>
            <w:vAlign w:val="bottom"/>
            <w:shd w:val="clear" w:color="auto" w:fill="CFF0FC"/>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1.2</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2"/>
                <w:szCs w:val="12"/>
                <w:color w:val="auto"/>
              </w:rPr>
              <w:t>(17.2)</w:t>
            </w:r>
          </w:p>
        </w:tc>
        <w:tc>
          <w:tcPr>
            <w:tcW w:w="340" w:type="dxa"/>
            <w:vAlign w:val="bottom"/>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2"/>
                <w:szCs w:val="12"/>
                <w:color w:val="auto"/>
              </w:rPr>
              <w:t>(1.0)</w:t>
            </w:r>
          </w:p>
        </w:tc>
        <w:tc>
          <w:tcPr>
            <w:tcW w:w="20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(16.2)</w:t>
            </w:r>
          </w:p>
        </w:tc>
        <w:tc>
          <w:tcPr>
            <w:tcW w:w="0" w:type="dxa"/>
            <w:vAlign w:val="bottom"/>
          </w:tcPr>
          <w:p>
            <w:pPr>
              <w:spacing w:after="0"/>
              <w:rPr>
                <w:sz w:val="1"/>
                <w:szCs w:val="1"/>
                <w:color w:val="auto"/>
              </w:rPr>
            </w:pPr>
          </w:p>
        </w:tc>
      </w:tr>
      <w:tr>
        <w:trPr>
          <w:trHeight w:val="27"/>
        </w:trPr>
        <w:tc>
          <w:tcPr>
            <w:tcW w:w="43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right="80" w:firstLine="418"/>
        <w:spacing w:after="0" w:line="257" w:lineRule="auto"/>
        <w:rPr>
          <w:sz w:val="20"/>
          <w:szCs w:val="20"/>
          <w:color w:val="auto"/>
        </w:rPr>
      </w:pPr>
      <w:r>
        <w:rPr>
          <w:rFonts w:ascii="Times New Roman" w:cs="Times New Roman" w:eastAsia="Times New Roman" w:hAnsi="Times New Roman"/>
          <w:sz w:val="12"/>
          <w:szCs w:val="12"/>
          <w:color w:val="auto"/>
        </w:rPr>
        <w:t xml:space="preserve">The increase in total other (expense) income, net in the six months ended June 30, 2022, as compared to the six months ended June 30, 2021, was primarily due to the change in the fair value of contingent consideration as a result of an increase in the risk of non-payment of future cash flows. The reasons for the increase in the risk of non-payment and the valuation approach used to determine the fair value of the contingent consideration are discussed in greater detail in Note 5, </w:t>
      </w:r>
      <w:r>
        <w:rPr>
          <w:rFonts w:ascii="Times New Roman" w:cs="Times New Roman" w:eastAsia="Times New Roman" w:hAnsi="Times New Roman"/>
          <w:sz w:val="12"/>
          <w:szCs w:val="12"/>
          <w:i w:val="1"/>
          <w:iCs w:val="1"/>
          <w:color w:val="auto"/>
        </w:rPr>
        <w:t>Fair Value</w:t>
      </w:r>
      <w:r>
        <w:rPr>
          <w:rFonts w:ascii="Times New Roman" w:cs="Times New Roman" w:eastAsia="Times New Roman" w:hAnsi="Times New Roman"/>
          <w:sz w:val="12"/>
          <w:szCs w:val="12"/>
          <w:color w:val="auto"/>
        </w:rPr>
        <w:t xml:space="preserve">, in the “Notes to Condensed Consolidated Financial Statements” in this Form 10-Q. This was partially offset by a $2.1 million decrease in interest expense due to certain financing costs related to the Term Loan Refinancing completed in March 2021 and proceeds received in connection with the Fountain transaction in March 2022. The Term Loan Refinancing is discussed in Note 11, </w:t>
      </w:r>
      <w:r>
        <w:rPr>
          <w:rFonts w:ascii="Times New Roman" w:cs="Times New Roman" w:eastAsia="Times New Roman" w:hAnsi="Times New Roman"/>
          <w:sz w:val="12"/>
          <w:szCs w:val="12"/>
          <w:i w:val="1"/>
          <w:iCs w:val="1"/>
          <w:color w:val="auto"/>
        </w:rPr>
        <w:t>Long-Term Debt</w:t>
      </w:r>
      <w:r>
        <w:rPr>
          <w:rFonts w:ascii="Times New Roman" w:cs="Times New Roman" w:eastAsia="Times New Roman" w:hAnsi="Times New Roman"/>
          <w:sz w:val="12"/>
          <w:szCs w:val="12"/>
          <w:color w:val="auto"/>
        </w:rPr>
        <w:t xml:space="preserve"> in the “Notes to Condensed Consolidated Financial Statements” in this Form 10-Q. The Fountain transaction is discussed in Note 4, </w:t>
      </w:r>
      <w:r>
        <w:rPr>
          <w:rFonts w:ascii="Times New Roman" w:cs="Times New Roman" w:eastAsia="Times New Roman" w:hAnsi="Times New Roman"/>
          <w:sz w:val="12"/>
          <w:szCs w:val="12"/>
          <w:i w:val="1"/>
          <w:iCs w:val="1"/>
          <w:color w:val="auto"/>
        </w:rPr>
        <w:t>Investments</w:t>
      </w:r>
      <w:r>
        <w:rPr>
          <w:rFonts w:ascii="Times New Roman" w:cs="Times New Roman" w:eastAsia="Times New Roman" w:hAnsi="Times New Roman"/>
          <w:sz w:val="12"/>
          <w:szCs w:val="12"/>
          <w:color w:val="auto"/>
        </w:rPr>
        <w:t>, in the “Notes to Condensed Consolidated Financial Statements” in this Form 10-Q.</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Income Tax (Benefit) Provision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3"/>
          </w:tcPr>
          <w:p>
            <w:pPr>
              <w:jc w:val="center"/>
              <w:ind w:left="329"/>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3"/>
          </w:tcPr>
          <w:p>
            <w:pPr>
              <w:ind w:left="46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left="349"/>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6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vMerge w:val="restart"/>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300" w:type="dxa"/>
            <w:vAlign w:val="bottom"/>
            <w:tcBorders>
              <w:bottom w:val="single" w:sz="8" w:color="CFF0FC"/>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49"/>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46"/>
              <w:spacing w:after="0" w:line="97"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20" w:type="dxa"/>
            <w:vAlign w:val="bottom"/>
            <w:tcBorders>
              <w:bottom w:val="single" w:sz="8" w:color="CFF0FC"/>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CFF0FC"/>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49"/>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bottom w:val="single" w:sz="8" w:color="CFF0FC"/>
            </w:tcBorders>
          </w:tcPr>
          <w:p>
            <w:pPr>
              <w:spacing w:after="0"/>
              <w:rPr>
                <w:sz w:val="8"/>
                <w:szCs w:val="8"/>
                <w:color w:val="auto"/>
              </w:rPr>
            </w:pPr>
          </w:p>
        </w:tc>
        <w:tc>
          <w:tcPr>
            <w:tcW w:w="700" w:type="dxa"/>
            <w:vAlign w:val="bottom"/>
            <w:tcBorders>
              <w:bottom w:val="single" w:sz="8" w:color="auto"/>
            </w:tcBorders>
          </w:tcPr>
          <w:p>
            <w:pPr>
              <w:jc w:val="right"/>
              <w:ind w:right="66"/>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FF0FC"/>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3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Income tax (benefit) provision</w:t>
            </w:r>
          </w:p>
        </w:tc>
        <w:tc>
          <w:tcPr>
            <w:tcW w:w="220" w:type="dxa"/>
            <w:vAlign w:val="bottom"/>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2"/>
                <w:szCs w:val="12"/>
                <w:color w:val="auto"/>
              </w:rPr>
              <w:t>(3.1)</w:t>
            </w:r>
          </w:p>
        </w:tc>
        <w:tc>
          <w:tcPr>
            <w:tcW w:w="3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3.3</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2"/>
                <w:szCs w:val="12"/>
                <w:color w:val="auto"/>
              </w:rPr>
              <w:t>(6.4)</w:t>
            </w:r>
          </w:p>
        </w:tc>
        <w:tc>
          <w:tcPr>
            <w:tcW w:w="220" w:type="dxa"/>
            <w:vAlign w:val="bottom"/>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ind w:left="480"/>
              <w:spacing w:after="0" w:line="115" w:lineRule="exact"/>
              <w:rPr>
                <w:sz w:val="20"/>
                <w:szCs w:val="20"/>
                <w:color w:val="auto"/>
              </w:rPr>
            </w:pPr>
            <w:r>
              <w:rPr>
                <w:rFonts w:ascii="Times New Roman" w:cs="Times New Roman" w:eastAsia="Times New Roman" w:hAnsi="Times New Roman"/>
                <w:sz w:val="12"/>
                <w:szCs w:val="12"/>
                <w:color w:val="auto"/>
              </w:rPr>
              <w:t>(12.2)</w:t>
            </w:r>
          </w:p>
        </w:tc>
        <w:tc>
          <w:tcPr>
            <w:tcW w:w="700" w:type="dxa"/>
            <w:vAlign w:val="bottom"/>
            <w:shd w:val="clear" w:color="auto" w:fill="CFF0FC"/>
          </w:tcPr>
          <w:p>
            <w:pPr>
              <w:jc w:val="right"/>
              <w:ind w:right="566"/>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7.1</w:t>
            </w: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(19.3)</w:t>
            </w:r>
          </w:p>
        </w:tc>
        <w:tc>
          <w:tcPr>
            <w:tcW w:w="0" w:type="dxa"/>
            <w:vAlign w:val="bottom"/>
          </w:tcPr>
          <w:p>
            <w:pPr>
              <w:spacing w:after="0"/>
              <w:rPr>
                <w:sz w:val="1"/>
                <w:szCs w:val="1"/>
                <w:color w:val="auto"/>
              </w:rPr>
            </w:pPr>
          </w:p>
        </w:tc>
      </w:tr>
      <w:tr>
        <w:trPr>
          <w:trHeight w:val="27"/>
        </w:trPr>
        <w:tc>
          <w:tcPr>
            <w:tcW w:w="43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ind w:right="20" w:firstLine="418"/>
        <w:spacing w:after="0" w:line="260" w:lineRule="auto"/>
        <w:rPr>
          <w:sz w:val="20"/>
          <w:szCs w:val="20"/>
          <w:color w:val="auto"/>
        </w:rPr>
      </w:pPr>
      <w:r>
        <w:rPr>
          <w:rFonts w:ascii="Times New Roman" w:cs="Times New Roman" w:eastAsia="Times New Roman" w:hAnsi="Times New Roman"/>
          <w:sz w:val="12"/>
          <w:szCs w:val="12"/>
          <w:color w:val="auto"/>
        </w:rPr>
        <w:t xml:space="preserve">The income tax (benefit) provision in the three months ended June 30, 2022 and 2021, respectively, primarily related to U.S. federal and state taxes. The favorable change in the income tax (benefit) provision was primarily due to an enhanced FDII deduction as a result of a change to Section 174 of the TCJA in relation to capitalization and amortization of R&amp;D expenses. The income tax (benefit) in the six months ended June 30, 2022 was primarily due to the enhanced FDII deduction. The FDII deduction is discussed in Note 14,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in the “Notes to Condensed Consolidated Financial Statements” in this Form 10-Q. The income tax provision in the six months ended June 30, 2021 primarily related to a $6.6 million discrete tax expense related to employee equity activity.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7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color w:val="auto"/>
        </w:rPr>
        <w:t>Liquidity and Financial Condition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financial condition is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3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3"/>
              </w:rPr>
              <w:t>December 31, 2021</w:t>
            </w: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3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tcPr>
          <w:p>
            <w:pPr>
              <w:jc w:val="right"/>
              <w:ind w:right="596"/>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100" w:type="dxa"/>
            <w:vAlign w:val="bottom"/>
          </w:tcPr>
          <w:p>
            <w:pPr>
              <w:spacing w:after="0"/>
              <w:rPr>
                <w:sz w:val="8"/>
                <w:szCs w:val="8"/>
                <w:color w:val="auto"/>
              </w:rPr>
            </w:pPr>
          </w:p>
        </w:tc>
        <w:tc>
          <w:tcPr>
            <w:tcW w:w="860" w:type="dxa"/>
            <w:vAlign w:val="bottom"/>
            <w:gridSpan w:val="2"/>
          </w:tcPr>
          <w:p>
            <w:pPr>
              <w:jc w:val="right"/>
              <w:ind w:right="280"/>
              <w:spacing w:after="0" w:line="97" w:lineRule="exact"/>
              <w:rPr>
                <w:sz w:val="20"/>
                <w:szCs w:val="20"/>
                <w:color w:val="auto"/>
              </w:rPr>
            </w:pPr>
            <w:r>
              <w:rPr>
                <w:rFonts w:ascii="Times New Roman" w:cs="Times New Roman" w:eastAsia="Times New Roman" w:hAnsi="Times New Roman"/>
                <w:sz w:val="10"/>
                <w:szCs w:val="10"/>
                <w:b w:val="1"/>
                <w:bCs w:val="1"/>
                <w:color w:val="auto"/>
              </w:rPr>
              <w:t>Ireland</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ind w:left="240"/>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right"/>
              <w:ind w:right="400"/>
              <w:spacing w:after="0" w:line="97" w:lineRule="exact"/>
              <w:rPr>
                <w:sz w:val="20"/>
                <w:szCs w:val="20"/>
                <w:color w:val="auto"/>
              </w:rPr>
            </w:pPr>
            <w:r>
              <w:rPr>
                <w:rFonts w:ascii="Times New Roman" w:cs="Times New Roman" w:eastAsia="Times New Roman" w:hAnsi="Times New Roman"/>
                <w:sz w:val="10"/>
                <w:szCs w:val="10"/>
                <w:b w:val="1"/>
                <w:bCs w:val="1"/>
                <w:color w:val="auto"/>
              </w:rPr>
              <w:t>U.S.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right"/>
              <w:ind w:right="340"/>
              <w:spacing w:after="0" w:line="97" w:lineRule="exact"/>
              <w:rPr>
                <w:sz w:val="20"/>
                <w:szCs w:val="20"/>
                <w:color w:val="auto"/>
              </w:rPr>
            </w:pPr>
            <w:r>
              <w:rPr>
                <w:rFonts w:ascii="Times New Roman" w:cs="Times New Roman" w:eastAsia="Times New Roman" w:hAnsi="Times New Roman"/>
                <w:sz w:val="10"/>
                <w:szCs w:val="10"/>
                <w:b w:val="1"/>
                <w:bCs w:val="1"/>
                <w:color w:val="auto"/>
              </w:rPr>
              <w:t>Ireland</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jc w:val="center"/>
              <w:ind w:right="143"/>
              <w:spacing w:after="0" w:line="97"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300" w:type="dxa"/>
            <w:vAlign w:val="bottom"/>
            <w:tcBorders>
              <w:top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tcBorders>
              <w:top w:val="single" w:sz="8" w:color="auto"/>
            </w:tcBorders>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150.1</w:t>
            </w: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104.5</w:t>
            </w:r>
          </w:p>
        </w:tc>
        <w:tc>
          <w:tcPr>
            <w:tcW w:w="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gridSpan w:val="2"/>
            <w:shd w:val="clear" w:color="auto" w:fill="CFF0FC"/>
          </w:tcPr>
          <w:p>
            <w:pPr>
              <w:ind w:left="560"/>
              <w:spacing w:after="0" w:line="115" w:lineRule="exact"/>
              <w:rPr>
                <w:sz w:val="20"/>
                <w:szCs w:val="20"/>
                <w:color w:val="auto"/>
              </w:rPr>
            </w:pPr>
            <w:r>
              <w:rPr>
                <w:rFonts w:ascii="Times New Roman" w:cs="Times New Roman" w:eastAsia="Times New Roman" w:hAnsi="Times New Roman"/>
                <w:sz w:val="12"/>
                <w:szCs w:val="12"/>
                <w:color w:val="auto"/>
                <w:w w:val="96"/>
              </w:rPr>
              <w:t>254.6</w:t>
            </w:r>
          </w:p>
        </w:tc>
        <w:tc>
          <w:tcPr>
            <w:tcW w:w="8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88.6</w:t>
            </w: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248.9</w:t>
            </w:r>
          </w:p>
        </w:tc>
        <w:tc>
          <w:tcPr>
            <w:tcW w:w="1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left w:val="single" w:sz="8" w:color="CFF0FC"/>
            </w:tcBorders>
            <w:shd w:val="clear" w:color="auto" w:fill="CFF0FC"/>
          </w:tcPr>
          <w:p>
            <w:pPr>
              <w:jc w:val="right"/>
              <w:ind w:right="42"/>
              <w:spacing w:after="0" w:line="11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337.5</w:t>
            </w: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Investments—short-term</w:t>
            </w:r>
          </w:p>
        </w:tc>
        <w:tc>
          <w:tcPr>
            <w:tcW w:w="22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170.4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155.9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560"/>
              <w:spacing w:after="0" w:line="126" w:lineRule="exact"/>
              <w:rPr>
                <w:sz w:val="20"/>
                <w:szCs w:val="20"/>
                <w:color w:val="auto"/>
              </w:rPr>
            </w:pPr>
            <w:r>
              <w:rPr>
                <w:rFonts w:ascii="Times New Roman" w:cs="Times New Roman" w:eastAsia="Times New Roman" w:hAnsi="Times New Roman"/>
                <w:sz w:val="12"/>
                <w:szCs w:val="12"/>
                <w:color w:val="auto"/>
                <w:w w:val="96"/>
              </w:rPr>
              <w:t>326.3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144.5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left="604"/>
              <w:spacing w:after="0" w:line="126" w:lineRule="exact"/>
              <w:rPr>
                <w:sz w:val="20"/>
                <w:szCs w:val="20"/>
                <w:color w:val="auto"/>
              </w:rPr>
            </w:pPr>
            <w:r>
              <w:rPr>
                <w:rFonts w:ascii="Times New Roman" w:cs="Times New Roman" w:eastAsia="Times New Roman" w:hAnsi="Times New Roman"/>
                <w:sz w:val="12"/>
                <w:szCs w:val="12"/>
                <w:color w:val="auto"/>
              </w:rPr>
              <w:t>54.3</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Investments—long-term</w:t>
            </w:r>
          </w:p>
        </w:tc>
        <w:tc>
          <w:tcPr>
            <w:tcW w:w="220" w:type="dxa"/>
            <w:vAlign w:val="bottom"/>
            <w:tcBorders>
              <w:bottom w:val="single" w:sz="8" w:color="auto"/>
            </w:tcBorders>
            <w:shd w:val="clear" w:color="auto" w:fill="CFF0FC"/>
          </w:tcPr>
          <w:p>
            <w:pPr>
              <w:spacing w:after="0"/>
              <w:rPr>
                <w:sz w:val="10"/>
                <w:szCs w:val="10"/>
                <w:color w:val="auto"/>
              </w:rPr>
            </w:pPr>
          </w:p>
        </w:tc>
        <w:tc>
          <w:tcPr>
            <w:tcW w:w="740" w:type="dxa"/>
            <w:vAlign w:val="bottom"/>
            <w:tcBorders>
              <w:bottom w:val="single" w:sz="8" w:color="auto"/>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106.9</w:t>
            </w:r>
          </w:p>
        </w:tc>
        <w:tc>
          <w:tcPr>
            <w:tcW w:w="22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60" w:type="dxa"/>
            <w:vAlign w:val="bottom"/>
            <w:tcBorders>
              <w:bottom w:val="single" w:sz="8" w:color="auto"/>
            </w:tcBorders>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72.1</w:t>
            </w: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840" w:type="dxa"/>
            <w:vAlign w:val="bottom"/>
            <w:tcBorders>
              <w:bottom w:val="single" w:sz="8" w:color="auto"/>
            </w:tcBorders>
            <w:gridSpan w:val="2"/>
            <w:shd w:val="clear" w:color="auto" w:fill="CFF0FC"/>
          </w:tcPr>
          <w:p>
            <w:pPr>
              <w:ind w:left="560"/>
              <w:spacing w:after="0" w:line="126" w:lineRule="exact"/>
              <w:rPr>
                <w:sz w:val="20"/>
                <w:szCs w:val="20"/>
                <w:color w:val="auto"/>
              </w:rPr>
            </w:pPr>
            <w:r>
              <w:rPr>
                <w:rFonts w:ascii="Times New Roman" w:cs="Times New Roman" w:eastAsia="Times New Roman" w:hAnsi="Times New Roman"/>
                <w:sz w:val="12"/>
                <w:szCs w:val="12"/>
                <w:color w:val="auto"/>
                <w:w w:val="96"/>
              </w:rPr>
              <w:t>179.0</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163.0</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80" w:type="dxa"/>
            <w:vAlign w:val="bottom"/>
            <w:tcBorders>
              <w:bottom w:val="single" w:sz="8" w:color="auto"/>
            </w:tcBorders>
            <w:gridSpan w:val="2"/>
            <w:shd w:val="clear" w:color="auto" w:fill="CFF0FC"/>
          </w:tcPr>
          <w:p>
            <w:pPr>
              <w:jc w:val="center"/>
              <w:ind w:left="604"/>
              <w:spacing w:after="0" w:line="126" w:lineRule="exact"/>
              <w:rPr>
                <w:sz w:val="20"/>
                <w:szCs w:val="20"/>
                <w:color w:val="auto"/>
              </w:rPr>
            </w:pPr>
            <w:r>
              <w:rPr>
                <w:rFonts w:ascii="Times New Roman" w:cs="Times New Roman" w:eastAsia="Times New Roman" w:hAnsi="Times New Roman"/>
                <w:sz w:val="12"/>
                <w:szCs w:val="12"/>
                <w:color w:val="auto"/>
              </w:rPr>
              <w:t>66.4</w:t>
            </w: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bottom w:val="single" w:sz="8" w:color="auto"/>
            </w:tcBorders>
            <w:shd w:val="clear" w:color="auto" w:fill="CFF0FC"/>
          </w:tcPr>
          <w:p>
            <w:pPr>
              <w:spacing w:after="0"/>
              <w:rPr>
                <w:sz w:val="10"/>
                <w:szCs w:val="10"/>
                <w:color w:val="auto"/>
              </w:rPr>
            </w:pPr>
          </w:p>
        </w:tc>
        <w:tc>
          <w:tcPr>
            <w:tcW w:w="840" w:type="dxa"/>
            <w:vAlign w:val="bottom"/>
            <w:tcBorders>
              <w:bottom w:val="single" w:sz="8" w:color="auto"/>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229.4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00" w:type="dxa"/>
            <w:vAlign w:val="bottom"/>
            <w:tcBorders>
              <w:bottom w:val="single" w:sz="8" w:color="CFF0FC"/>
            </w:tcBorders>
          </w:tcPr>
          <w:p>
            <w:pPr>
              <w:spacing w:after="0" w:line="115" w:lineRule="exact"/>
              <w:rPr>
                <w:sz w:val="20"/>
                <w:szCs w:val="20"/>
                <w:color w:val="auto"/>
              </w:rPr>
            </w:pPr>
            <w:r>
              <w:rPr>
                <w:rFonts w:ascii="Times New Roman" w:cs="Times New Roman" w:eastAsia="Times New Roman" w:hAnsi="Times New Roman"/>
                <w:sz w:val="12"/>
                <w:szCs w:val="12"/>
                <w:color w:val="auto"/>
              </w:rPr>
              <w:t>Total cash and investments</w:t>
            </w:r>
          </w:p>
        </w:tc>
        <w:tc>
          <w:tcPr>
            <w:tcW w:w="22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427.4</w:t>
            </w:r>
          </w:p>
        </w:tc>
        <w:tc>
          <w:tcPr>
            <w:tcW w:w="2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2"/>
                <w:szCs w:val="12"/>
                <w:color w:val="auto"/>
              </w:rPr>
              <w:t>332.5</w:t>
            </w:r>
          </w:p>
        </w:tc>
        <w:tc>
          <w:tcPr>
            <w:tcW w:w="20" w:type="dxa"/>
            <w:vAlign w:val="bottom"/>
            <w:tcBorders>
              <w:bottom w:val="single" w:sz="8" w:color="CFF0FC"/>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gridSpan w:val="2"/>
          </w:tcPr>
          <w:p>
            <w:pPr>
              <w:ind w:left="560"/>
              <w:spacing w:after="0" w:line="115" w:lineRule="exact"/>
              <w:rPr>
                <w:sz w:val="20"/>
                <w:szCs w:val="20"/>
                <w:color w:val="auto"/>
              </w:rPr>
            </w:pPr>
            <w:r>
              <w:rPr>
                <w:rFonts w:ascii="Times New Roman" w:cs="Times New Roman" w:eastAsia="Times New Roman" w:hAnsi="Times New Roman"/>
                <w:sz w:val="12"/>
                <w:szCs w:val="12"/>
                <w:color w:val="auto"/>
                <w:w w:val="96"/>
              </w:rPr>
              <w:t>759.9</w:t>
            </w:r>
          </w:p>
        </w:tc>
        <w:tc>
          <w:tcPr>
            <w:tcW w:w="8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396.1</w:t>
            </w:r>
          </w:p>
        </w:tc>
        <w:tc>
          <w:tcPr>
            <w:tcW w:w="12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2"/>
                <w:szCs w:val="12"/>
                <w:color w:val="auto"/>
              </w:rPr>
              <w:t>369.6</w:t>
            </w:r>
          </w:p>
        </w:tc>
        <w:tc>
          <w:tcPr>
            <w:tcW w:w="18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jc w:val="right"/>
              <w:ind w:right="42"/>
              <w:spacing w:after="0" w:line="115"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765.7</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00" w:type="dxa"/>
            <w:vAlign w:val="bottom"/>
            <w:tcBorders>
              <w:bottom w:val="single" w:sz="8" w:color="CFF0FC"/>
            </w:tcBorders>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Outstanding borrowings—short and long-term</w:t>
            </w:r>
          </w:p>
        </w:tc>
        <w:tc>
          <w:tcPr>
            <w:tcW w:w="220" w:type="dxa"/>
            <w:vAlign w:val="bottom"/>
            <w:tcBorders>
              <w:bottom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294.5</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gridSpan w:val="2"/>
            <w:shd w:val="clear" w:color="auto" w:fill="CFF0FC"/>
          </w:tcPr>
          <w:p>
            <w:pPr>
              <w:ind w:left="560"/>
              <w:spacing w:after="0" w:line="126" w:lineRule="exact"/>
              <w:rPr>
                <w:sz w:val="20"/>
                <w:szCs w:val="20"/>
                <w:color w:val="auto"/>
              </w:rPr>
            </w:pPr>
            <w:r>
              <w:rPr>
                <w:rFonts w:ascii="Times New Roman" w:cs="Times New Roman" w:eastAsia="Times New Roman" w:hAnsi="Times New Roman"/>
                <w:sz w:val="12"/>
                <w:szCs w:val="12"/>
                <w:color w:val="auto"/>
                <w:w w:val="96"/>
              </w:rPr>
              <w:t>294.5</w:t>
            </w: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295.8</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left w:val="single" w:sz="8" w:color="CFF0FC"/>
              <w:bottom w:val="single" w:sz="8" w:color="auto"/>
            </w:tcBorders>
            <w:shd w:val="clear" w:color="auto" w:fill="CFF0FC"/>
          </w:tcPr>
          <w:p>
            <w:pPr>
              <w:jc w:val="right"/>
              <w:ind w:right="42"/>
              <w:spacing w:after="0" w:line="126"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295.8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3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At June 30, 2022 our investments consisted of the following:</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680"/>
              <w:spacing w:after="0"/>
              <w:rPr>
                <w:sz w:val="20"/>
                <w:szCs w:val="20"/>
                <w:color w:val="auto"/>
              </w:rPr>
            </w:pPr>
            <w:r>
              <w:rPr>
                <w:rFonts w:ascii="Times New Roman" w:cs="Times New Roman" w:eastAsia="Times New Roman" w:hAnsi="Times New Roman"/>
                <w:sz w:val="10"/>
                <w:szCs w:val="10"/>
                <w:b w:val="1"/>
                <w:bCs w:val="1"/>
                <w:color w:val="auto"/>
                <w:w w:val="87"/>
              </w:rPr>
              <w:t>Gross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w w:val="96"/>
              </w:rPr>
              <w:t>Amortized</w:t>
            </w: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0"/>
                <w:szCs w:val="10"/>
                <w:b w:val="1"/>
                <w:bCs w:val="1"/>
                <w:color w:val="auto"/>
              </w:rPr>
              <w:t>Unrealized</w:t>
            </w: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Allowance for</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Estimated</w:t>
            </w:r>
          </w:p>
        </w:tc>
        <w:tc>
          <w:tcPr>
            <w:tcW w:w="0" w:type="dxa"/>
            <w:vAlign w:val="bottom"/>
          </w:tcPr>
          <w:p>
            <w:pPr>
              <w:spacing w:after="0"/>
              <w:rPr>
                <w:sz w:val="1"/>
                <w:szCs w:val="1"/>
                <w:color w:val="auto"/>
              </w:rPr>
            </w:pPr>
          </w:p>
        </w:tc>
      </w:tr>
      <w:tr>
        <w:trPr>
          <w:trHeight w:val="97"/>
        </w:trPr>
        <w:tc>
          <w:tcPr>
            <w:tcW w:w="4300" w:type="dxa"/>
            <w:vAlign w:val="bottom"/>
            <w:tcBorders>
              <w:bottom w:val="single" w:sz="8" w:color="CFF0FC"/>
            </w:tcBorders>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(In millions)</w:t>
            </w:r>
          </w:p>
        </w:tc>
        <w:tc>
          <w:tcPr>
            <w:tcW w:w="220" w:type="dxa"/>
            <w:vAlign w:val="bottom"/>
            <w:tcBorders>
              <w:bottom w:val="single" w:sz="8" w:color="CFF0FC"/>
            </w:tcBorders>
          </w:tcPr>
          <w:p>
            <w:pPr>
              <w:spacing w:after="0"/>
              <w:rPr>
                <w:sz w:val="8"/>
                <w:szCs w:val="8"/>
                <w:color w:val="auto"/>
              </w:rPr>
            </w:pPr>
          </w:p>
        </w:tc>
        <w:tc>
          <w:tcPr>
            <w:tcW w:w="74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363"/>
              <w:spacing w:after="0" w:line="97" w:lineRule="exact"/>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Borders>
              <w:bottom w:val="single" w:sz="8" w:color="CFF0FC"/>
            </w:tcBorders>
          </w:tcPr>
          <w:p>
            <w:pPr>
              <w:spacing w:after="0"/>
              <w:rPr>
                <w:sz w:val="8"/>
                <w:szCs w:val="8"/>
                <w:color w:val="auto"/>
              </w:rPr>
            </w:pPr>
          </w:p>
        </w:tc>
        <w:tc>
          <w:tcPr>
            <w:tcW w:w="2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Gains</w:t>
            </w:r>
          </w:p>
        </w:tc>
        <w:tc>
          <w:tcPr>
            <w:tcW w:w="220" w:type="dxa"/>
            <w:vAlign w:val="bottom"/>
            <w:tcBorders>
              <w:bottom w:val="single" w:sz="8" w:color="CFF0FC"/>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22"/>
              <w:spacing w:after="0" w:line="97" w:lineRule="exact"/>
              <w:rPr>
                <w:sz w:val="20"/>
                <w:szCs w:val="20"/>
                <w:color w:val="auto"/>
              </w:rPr>
            </w:pPr>
            <w:r>
              <w:rPr>
                <w:rFonts w:ascii="Times New Roman" w:cs="Times New Roman" w:eastAsia="Times New Roman" w:hAnsi="Times New Roman"/>
                <w:sz w:val="10"/>
                <w:szCs w:val="10"/>
                <w:b w:val="1"/>
                <w:bCs w:val="1"/>
                <w:color w:val="auto"/>
              </w:rPr>
              <w:t>Losses</w:t>
            </w:r>
          </w:p>
        </w:tc>
        <w:tc>
          <w:tcPr>
            <w:tcW w:w="10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184"/>
              <w:spacing w:after="0" w:line="97" w:lineRule="exact"/>
              <w:rPr>
                <w:sz w:val="20"/>
                <w:szCs w:val="20"/>
                <w:color w:val="auto"/>
              </w:rPr>
            </w:pPr>
            <w:r>
              <w:rPr>
                <w:rFonts w:ascii="Times New Roman" w:cs="Times New Roman" w:eastAsia="Times New Roman" w:hAnsi="Times New Roman"/>
                <w:sz w:val="10"/>
                <w:szCs w:val="10"/>
                <w:b w:val="1"/>
                <w:bCs w:val="1"/>
                <w:color w:val="auto"/>
                <w:w w:val="99"/>
              </w:rPr>
              <w:t>Credit Losses</w:t>
            </w:r>
          </w:p>
        </w:tc>
        <w:tc>
          <w:tcPr>
            <w:tcW w:w="40" w:type="dxa"/>
            <w:vAlign w:val="bottom"/>
            <w:tcBorders>
              <w:bottom w:val="single" w:sz="8" w:color="CFF0FC"/>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center"/>
              <w:ind w:right="163"/>
              <w:spacing w:after="0" w:line="97" w:lineRule="exact"/>
              <w:rPr>
                <w:sz w:val="20"/>
                <w:szCs w:val="20"/>
                <w:color w:val="auto"/>
              </w:rPr>
            </w:pPr>
            <w:r>
              <w:rPr>
                <w:rFonts w:ascii="Times New Roman" w:cs="Times New Roman" w:eastAsia="Times New Roman" w:hAnsi="Times New Roman"/>
                <w:sz w:val="10"/>
                <w:szCs w:val="10"/>
                <w:b w:val="1"/>
                <w:bCs w:val="1"/>
                <w:color w:val="auto"/>
                <w:w w:val="91"/>
              </w:rPr>
              <w:t>Fair Value</w:t>
            </w:r>
          </w:p>
        </w:tc>
        <w:tc>
          <w:tcPr>
            <w:tcW w:w="10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3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Investments—short-term available-for-sale</w:t>
            </w:r>
          </w:p>
        </w:tc>
        <w:tc>
          <w:tcPr>
            <w:tcW w:w="2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329.5</w:t>
            </w: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ind w:left="56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gridSpan w:val="2"/>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rPr>
              <w:t>(3.2)</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center"/>
              <w:ind w:left="624"/>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tcBorders>
            <w:shd w:val="clear" w:color="auto" w:fill="CFF0FC"/>
          </w:tcPr>
          <w:p>
            <w:pPr>
              <w:jc w:val="right"/>
              <w:ind w:right="82"/>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326.3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Investments—long-term available-for-sale</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183.0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5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2"/>
                <w:szCs w:val="12"/>
                <w:color w:val="auto"/>
              </w:rPr>
              <w:t>(5.8)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left="584"/>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2"/>
                <w:szCs w:val="12"/>
                <w:color w:val="auto"/>
              </w:rPr>
              <w:t>Investments—long-term held-to-maturity</w:t>
            </w:r>
          </w:p>
        </w:tc>
        <w:tc>
          <w:tcPr>
            <w:tcW w:w="220" w:type="dxa"/>
            <w:vAlign w:val="bottom"/>
            <w:shd w:val="clear" w:color="auto" w:fill="CFF0FC"/>
          </w:tcPr>
          <w:p>
            <w:pPr>
              <w:spacing w:after="0"/>
              <w:rPr>
                <w:sz w:val="10"/>
                <w:szCs w:val="10"/>
                <w:color w:val="auto"/>
              </w:rPr>
            </w:pPr>
          </w:p>
        </w:tc>
        <w:tc>
          <w:tcPr>
            <w:tcW w:w="74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w:t>
            </w: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700" w:type="dxa"/>
            <w:vAlign w:val="bottom"/>
            <w:tcBorders>
              <w:bottom w:val="single" w:sz="8" w:color="auto"/>
            </w:tcBorders>
            <w:shd w:val="clear" w:color="auto" w:fill="CFF0FC"/>
          </w:tcPr>
          <w:p>
            <w:pPr>
              <w:ind w:left="56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gridSpan w:val="2"/>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720" w:type="dxa"/>
            <w:vAlign w:val="bottom"/>
            <w:tcBorders>
              <w:bottom w:val="single" w:sz="8" w:color="auto"/>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840" w:type="dxa"/>
            <w:vAlign w:val="bottom"/>
            <w:tcBorders>
              <w:bottom w:val="single" w:sz="8" w:color="auto"/>
            </w:tcBorders>
            <w:shd w:val="clear" w:color="auto" w:fill="CFF0FC"/>
          </w:tcPr>
          <w:p>
            <w:pPr>
              <w:jc w:val="center"/>
              <w:ind w:left="624"/>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tcBorders>
              <w:left w:val="single" w:sz="8" w:color="CFF0FC"/>
              <w:bottom w:val="single" w:sz="8" w:color="auto"/>
            </w:tcBorders>
            <w:shd w:val="clear" w:color="auto" w:fill="CFF0FC"/>
          </w:tcPr>
          <w:p>
            <w:pPr>
              <w:spacing w:after="0"/>
              <w:rPr>
                <w:sz w:val="10"/>
                <w:szCs w:val="10"/>
                <w:color w:val="auto"/>
              </w:rPr>
            </w:pPr>
          </w:p>
        </w:tc>
        <w:tc>
          <w:tcPr>
            <w:tcW w:w="840" w:type="dxa"/>
            <w:vAlign w:val="bottom"/>
            <w:tcBorders>
              <w:bottom w:val="single" w:sz="8" w:color="auto"/>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0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0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514.3</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Pr>
          <w:p>
            <w:pPr>
              <w:spacing w:after="0"/>
              <w:rPr>
                <w:sz w:val="10"/>
                <w:szCs w:val="10"/>
                <w:color w:val="auto"/>
              </w:rPr>
            </w:pPr>
          </w:p>
        </w:tc>
        <w:tc>
          <w:tcPr>
            <w:tcW w:w="700" w:type="dxa"/>
            <w:vAlign w:val="bottom"/>
          </w:tcPr>
          <w:p>
            <w:pPr>
              <w:ind w:left="56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gridSpan w:val="2"/>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0"/>
                <w:szCs w:val="10"/>
                <w:color w:val="auto"/>
              </w:rPr>
            </w:pPr>
          </w:p>
        </w:tc>
        <w:tc>
          <w:tcPr>
            <w:tcW w:w="82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rPr>
              <w:t>(9.0)</w:t>
            </w:r>
          </w:p>
        </w:tc>
        <w:tc>
          <w:tcPr>
            <w:tcW w:w="12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0"/>
                <w:szCs w:val="10"/>
                <w:color w:val="auto"/>
              </w:rPr>
            </w:pPr>
          </w:p>
        </w:tc>
        <w:tc>
          <w:tcPr>
            <w:tcW w:w="840" w:type="dxa"/>
            <w:vAlign w:val="bottom"/>
          </w:tcPr>
          <w:p>
            <w:pPr>
              <w:jc w:val="center"/>
              <w:ind w:left="624"/>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ind w:right="82"/>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505.3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Sources and Uses of Cash</w:t>
      </w:r>
    </w:p>
    <w:p>
      <w:pPr>
        <w:spacing w:after="0" w:line="116" w:lineRule="exact"/>
        <w:rPr>
          <w:sz w:val="20"/>
          <w:szCs w:val="20"/>
          <w:color w:val="auto"/>
        </w:rPr>
      </w:pPr>
    </w:p>
    <w:p>
      <w:pPr>
        <w:ind w:right="20" w:firstLine="418"/>
        <w:spacing w:after="0" w:line="136" w:lineRule="exact"/>
        <w:rPr>
          <w:sz w:val="20"/>
          <w:szCs w:val="20"/>
          <w:color w:val="auto"/>
        </w:rPr>
      </w:pPr>
      <w:r>
        <w:rPr>
          <w:rFonts w:ascii="Times New Roman" w:cs="Times New Roman" w:eastAsia="Times New Roman" w:hAnsi="Times New Roman"/>
          <w:sz w:val="12"/>
          <w:szCs w:val="12"/>
          <w:color w:val="auto"/>
        </w:rPr>
        <w:t>We generated $19.4 million and used $12.1 million of cash from operating activities during the six months ended June 30, 2022 and 2021, respectively. We expect that our existing cash, cash equivalents and investments will be sufficient to finance our anticipated working capital and other cash requirements, such as capital expenditures and principal and interest payments on our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debt, for at least the twelve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spacing w:after="0" w:line="116" w:lineRule="exact"/>
        <w:rPr>
          <w:sz w:val="20"/>
          <w:szCs w:val="20"/>
          <w:color w:val="auto"/>
        </w:rPr>
      </w:pPr>
    </w:p>
    <w:p>
      <w:pPr>
        <w:ind w:right="80" w:firstLine="418"/>
        <w:spacing w:after="0" w:line="235" w:lineRule="auto"/>
        <w:rPr>
          <w:sz w:val="20"/>
          <w:szCs w:val="20"/>
          <w:color w:val="auto"/>
        </w:rPr>
      </w:pPr>
      <w:r>
        <w:rPr>
          <w:rFonts w:ascii="Times New Roman" w:cs="Times New Roman" w:eastAsia="Times New Roman" w:hAnsi="Times New Roman"/>
          <w:sz w:val="12"/>
          <w:szCs w:val="12"/>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spacing w:after="0" w:line="96" w:lineRule="exact"/>
        <w:rPr>
          <w:sz w:val="20"/>
          <w:szCs w:val="20"/>
          <w:color w:val="auto"/>
        </w:rPr>
      </w:pPr>
    </w:p>
    <w:p>
      <w:pPr>
        <w:ind w:right="40" w:firstLine="418"/>
        <w:spacing w:after="0" w:line="145" w:lineRule="exact"/>
        <w:rPr>
          <w:sz w:val="20"/>
          <w:szCs w:val="20"/>
          <w:color w:val="auto"/>
        </w:rPr>
      </w:pPr>
      <w:r>
        <w:rPr>
          <w:rFonts w:ascii="Times New Roman" w:cs="Times New Roman" w:eastAsia="Times New Roman" w:hAnsi="Times New Roman"/>
          <w:sz w:val="12"/>
          <w:szCs w:val="12"/>
          <w:color w:val="auto"/>
        </w:rPr>
        <w:t>We classify available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for</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sale investments in an unrealized loss position that do not mature within twelve months as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investments. We have the intent and ability to hold these investments until recovery, which may be at maturity, and it is more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likely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than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not that we would not be required to sell these securities before recovery of their amortized cost. At June 30, 2022, we performed an analysis of our investments with unrealized losses for impairment and determined that they were not impaired.</w:t>
      </w:r>
    </w:p>
    <w:p>
      <w:pPr>
        <w:spacing w:after="0" w:line="108" w:lineRule="exact"/>
        <w:rPr>
          <w:sz w:val="20"/>
          <w:szCs w:val="20"/>
          <w:color w:val="auto"/>
        </w:rPr>
      </w:pPr>
    </w:p>
    <w:p>
      <w:pPr>
        <w:ind w:right="640" w:firstLine="418"/>
        <w:spacing w:after="0" w:line="264" w:lineRule="auto"/>
        <w:rPr>
          <w:sz w:val="20"/>
          <w:szCs w:val="20"/>
          <w:color w:val="auto"/>
        </w:rPr>
      </w:pPr>
      <w:r>
        <w:rPr>
          <w:rFonts w:ascii="Times New Roman" w:cs="Times New Roman" w:eastAsia="Times New Roman" w:hAnsi="Times New Roman"/>
          <w:sz w:val="12"/>
          <w:szCs w:val="12"/>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twelve months.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04" w:right="299" w:bottom="1440" w:gutter="0" w:footer="0" w:header="0"/>
        </w:sectPr>
      </w:pPr>
    </w:p>
    <w:bookmarkStart w:id="35" w:name="page36"/>
    <w:bookmarkEnd w:id="35"/>
    <w:p>
      <w:pPr>
        <w:ind w:left="420"/>
        <w:spacing w:after="0"/>
        <w:rPr>
          <w:sz w:val="20"/>
          <w:szCs w:val="20"/>
          <w:color w:val="auto"/>
        </w:rPr>
      </w:pPr>
      <w:r>
        <w:rPr>
          <w:rFonts w:ascii="Times New Roman" w:cs="Times New Roman" w:eastAsia="Times New Roman" w:hAnsi="Times New Roman"/>
          <w:sz w:val="12"/>
          <w:szCs w:val="12"/>
          <w:color w:val="auto"/>
        </w:rPr>
        <w:t>The following table summarizes our cash flows for the six months ended June 30, 2022 and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7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3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760" w:type="dxa"/>
            <w:vAlign w:val="bottom"/>
            <w:tcBorders>
              <w:bottom w:val="single" w:sz="8" w:color="CFF0FC"/>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623"/>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Borders>
              <w:bottom w:val="single" w:sz="8" w:color="CFF0FC"/>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42"/>
              <w:spacing w:after="0" w:line="97"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7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380" w:type="dxa"/>
            <w:vAlign w:val="bottom"/>
            <w:shd w:val="clear" w:color="auto" w:fill="CFF0FC"/>
          </w:tcPr>
          <w:p>
            <w:pPr>
              <w:jc w:val="right"/>
              <w:ind w:right="2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337.5</w:t>
            </w:r>
          </w:p>
        </w:tc>
        <w:tc>
          <w:tcPr>
            <w:tcW w:w="300" w:type="dxa"/>
            <w:vAlign w:val="bottom"/>
            <w:shd w:val="clear" w:color="auto" w:fill="CFF0FC"/>
          </w:tcPr>
          <w:p>
            <w:pPr>
              <w:spacing w:after="0"/>
              <w:rPr>
                <w:sz w:val="10"/>
                <w:szCs w:val="10"/>
                <w:color w:val="auto"/>
              </w:rPr>
            </w:pPr>
          </w:p>
        </w:tc>
        <w:tc>
          <w:tcPr>
            <w:tcW w:w="540" w:type="dxa"/>
            <w:vAlign w:val="bottom"/>
            <w:shd w:val="clear" w:color="auto" w:fill="CFF0FC"/>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273.0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7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Cash flows provided by (used in) operating activities</w:t>
            </w:r>
          </w:p>
        </w:tc>
        <w:tc>
          <w:tcPr>
            <w:tcW w:w="38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19.4</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126"/>
        </w:trPr>
        <w:tc>
          <w:tcPr>
            <w:tcW w:w="776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2"/>
                <w:szCs w:val="12"/>
                <w:color w:val="auto"/>
              </w:rPr>
              <w:t>Cash flows used in investing activities</w:t>
            </w:r>
          </w:p>
        </w:tc>
        <w:tc>
          <w:tcPr>
            <w:tcW w:w="380" w:type="dxa"/>
            <w:vAlign w:val="bottom"/>
            <w:shd w:val="clear" w:color="auto" w:fill="CFF0FC"/>
          </w:tcPr>
          <w:p>
            <w:pPr>
              <w:spacing w:after="0"/>
              <w:rPr>
                <w:sz w:val="10"/>
                <w:szCs w:val="10"/>
                <w:color w:val="auto"/>
              </w:rPr>
            </w:pPr>
          </w:p>
        </w:tc>
        <w:tc>
          <w:tcPr>
            <w:tcW w:w="1480" w:type="dxa"/>
            <w:vAlign w:val="bottom"/>
            <w:gridSpan w:val="2"/>
            <w:shd w:val="clear" w:color="auto" w:fill="CFF0FC"/>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(101.2)</w:t>
            </w:r>
          </w:p>
        </w:tc>
        <w:tc>
          <w:tcPr>
            <w:tcW w:w="54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(33.8)</w:t>
            </w:r>
          </w:p>
        </w:tc>
        <w:tc>
          <w:tcPr>
            <w:tcW w:w="0" w:type="dxa"/>
            <w:vAlign w:val="bottom"/>
          </w:tcPr>
          <w:p>
            <w:pPr>
              <w:spacing w:after="0"/>
              <w:rPr>
                <w:sz w:val="1"/>
                <w:szCs w:val="1"/>
                <w:color w:val="auto"/>
              </w:rPr>
            </w:pPr>
          </w:p>
        </w:tc>
      </w:tr>
      <w:tr>
        <w:trPr>
          <w:trHeight w:val="126"/>
        </w:trPr>
        <w:tc>
          <w:tcPr>
            <w:tcW w:w="776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Cash flows (used in) provided by financing activities</w:t>
            </w:r>
          </w:p>
        </w:tc>
        <w:tc>
          <w:tcPr>
            <w:tcW w:w="380" w:type="dxa"/>
            <w:vAlign w:val="bottom"/>
          </w:tcPr>
          <w:p>
            <w:pPr>
              <w:spacing w:after="0"/>
              <w:rPr>
                <w:sz w:val="10"/>
                <w:szCs w:val="10"/>
                <w:color w:val="auto"/>
              </w:rPr>
            </w:pPr>
          </w:p>
        </w:tc>
        <w:tc>
          <w:tcPr>
            <w:tcW w:w="148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color w:val="auto"/>
              </w:rPr>
              <w:t>(1.1)</w:t>
            </w:r>
          </w:p>
        </w:tc>
        <w:tc>
          <w:tcPr>
            <w:tcW w:w="540" w:type="dxa"/>
            <w:vAlign w:val="bottom"/>
          </w:tcPr>
          <w:p>
            <w:pPr>
              <w:spacing w:after="0"/>
              <w:rPr>
                <w:sz w:val="10"/>
                <w:szCs w:val="10"/>
                <w:color w:val="auto"/>
              </w:rPr>
            </w:pPr>
          </w:p>
        </w:tc>
        <w:tc>
          <w:tcPr>
            <w:tcW w:w="10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760" w:type="dxa"/>
            <w:vAlign w:val="bottom"/>
            <w:tcBorders>
              <w:top w:val="single" w:sz="8" w:color="CFF0FC"/>
              <w:bottom w:val="single" w:sz="8" w:color="CFF0FC"/>
            </w:tcBorders>
            <w:shd w:val="clear" w:color="auto" w:fill="CFF0FC"/>
          </w:tcPr>
          <w:p>
            <w:pPr>
              <w:spacing w:after="0" w:line="115" w:lineRule="exact"/>
              <w:rPr>
                <w:sz w:val="20"/>
                <w:szCs w:val="20"/>
                <w:color w:val="auto"/>
              </w:rPr>
            </w:pPr>
            <w:r>
              <w:rPr>
                <w:rFonts w:ascii="Times New Roman" w:cs="Times New Roman" w:eastAsia="Times New Roman" w:hAnsi="Times New Roman"/>
                <w:sz w:val="12"/>
                <w:szCs w:val="12"/>
                <w:color w:val="auto"/>
              </w:rPr>
              <w:t>Cash and cash equivalents, end of period</w:t>
            </w:r>
          </w:p>
        </w:tc>
        <w:tc>
          <w:tcPr>
            <w:tcW w:w="380" w:type="dxa"/>
            <w:vAlign w:val="bottom"/>
            <w:tcBorders>
              <w:top w:val="single" w:sz="8" w:color="auto"/>
              <w:bottom w:val="single" w:sz="8" w:color="auto"/>
            </w:tcBorders>
            <w:shd w:val="clear" w:color="auto" w:fill="CFF0FC"/>
          </w:tcPr>
          <w:p>
            <w:pPr>
              <w:jc w:val="right"/>
              <w:ind w:right="2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254.6</w:t>
            </w:r>
          </w:p>
        </w:tc>
        <w:tc>
          <w:tcPr>
            <w:tcW w:w="300" w:type="dxa"/>
            <w:vAlign w:val="bottom"/>
            <w:tcBorders>
              <w:top w:val="single" w:sz="8" w:color="CFF0FC"/>
              <w:bottom w:val="single" w:sz="8" w:color="CFF0FC"/>
            </w:tcBorders>
            <w:shd w:val="clear" w:color="auto" w:fill="CFF0FC"/>
          </w:tcPr>
          <w:p>
            <w:pPr>
              <w:spacing w:after="0"/>
              <w:rPr>
                <w:sz w:val="10"/>
                <w:szCs w:val="10"/>
                <w:color w:val="auto"/>
              </w:rPr>
            </w:pPr>
          </w:p>
        </w:tc>
        <w:tc>
          <w:tcPr>
            <w:tcW w:w="540" w:type="dxa"/>
            <w:vAlign w:val="bottom"/>
            <w:tcBorders>
              <w:top w:val="single" w:sz="8" w:color="auto"/>
              <w:bottom w:val="single" w:sz="8" w:color="auto"/>
            </w:tcBorders>
            <w:shd w:val="clear" w:color="auto" w:fill="CFF0FC"/>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258.3</w:t>
            </w: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right="20" w:firstLine="418"/>
        <w:spacing w:after="0" w:line="241" w:lineRule="auto"/>
        <w:rPr>
          <w:sz w:val="20"/>
          <w:szCs w:val="20"/>
          <w:color w:val="auto"/>
        </w:rPr>
      </w:pPr>
      <w:r>
        <w:rPr>
          <w:rFonts w:ascii="Times New Roman" w:cs="Times New Roman" w:eastAsia="Times New Roman" w:hAnsi="Times New Roman"/>
          <w:sz w:val="12"/>
          <w:szCs w:val="12"/>
          <w:color w:val="auto"/>
        </w:rPr>
        <w:t>Cash flows from operating activities represent the cash receipts and disbursements related to all of our activities other than investing and financing activities. Operating cash flow is derived by adjusting our net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97" w:lineRule="exact"/>
        <w:rPr>
          <w:sz w:val="20"/>
          <w:szCs w:val="20"/>
          <w:color w:val="auto"/>
        </w:rPr>
      </w:pPr>
    </w:p>
    <w:p>
      <w:pPr>
        <w:jc w:val="both"/>
        <w:ind w:right="40" w:firstLine="418"/>
        <w:spacing w:after="0" w:line="249" w:lineRule="auto"/>
        <w:rPr>
          <w:sz w:val="20"/>
          <w:szCs w:val="20"/>
          <w:color w:val="auto"/>
        </w:rPr>
      </w:pPr>
      <w:r>
        <w:rPr>
          <w:rFonts w:ascii="Times New Roman" w:cs="Times New Roman" w:eastAsia="Times New Roman" w:hAnsi="Times New Roman"/>
          <w:sz w:val="12"/>
          <w:szCs w:val="12"/>
          <w:color w:val="auto"/>
        </w:rPr>
        <w:t>The change in cash flows from operating activities was primarily due to an increase in cash provided by working capital, offset by an increase in our net loss, net of adjustments to reconcile net loss to cash flows from operating activities. The increase in cash from working capital was primarily related to an increase in cash flows from accounts receivable and decreases in cash flows used in inventory and accounts payable and accrued expenses, partially offset by increases in cash flows used for contract assets, prepaid expenses and other current assets and contract liabilities.</w:t>
      </w:r>
    </w:p>
    <w:p>
      <w:pPr>
        <w:spacing w:after="0" w:line="93" w:lineRule="exact"/>
        <w:rPr>
          <w:sz w:val="20"/>
          <w:szCs w:val="20"/>
          <w:color w:val="auto"/>
        </w:rPr>
      </w:pPr>
    </w:p>
    <w:p>
      <w:pPr>
        <w:ind w:right="80" w:firstLine="418"/>
        <w:spacing w:after="0" w:line="248" w:lineRule="auto"/>
        <w:rPr>
          <w:sz w:val="20"/>
          <w:szCs w:val="20"/>
          <w:color w:val="auto"/>
        </w:rPr>
      </w:pPr>
      <w:r>
        <w:rPr>
          <w:rFonts w:ascii="Times New Roman" w:cs="Times New Roman" w:eastAsia="Times New Roman" w:hAnsi="Times New Roman"/>
          <w:sz w:val="12"/>
          <w:szCs w:val="12"/>
          <w:color w:val="auto"/>
        </w:rPr>
        <w:t>The increase in cash flows used in investing activities was primarily due to a $58.7 million increase in net purchase of investments, a $6.8 million decrease in payments received in connection with the contingent consideration resulting from the Gainesville Transaction and a $3.2 million increase in capital expenditures.</w:t>
      </w:r>
    </w:p>
    <w:p>
      <w:pPr>
        <w:spacing w:after="0" w:line="93" w:lineRule="exact"/>
        <w:rPr>
          <w:sz w:val="20"/>
          <w:szCs w:val="20"/>
          <w:color w:val="auto"/>
        </w:rPr>
      </w:pPr>
    </w:p>
    <w:p>
      <w:pPr>
        <w:ind w:right="60" w:firstLine="418"/>
        <w:spacing w:after="0" w:line="264" w:lineRule="auto"/>
        <w:rPr>
          <w:sz w:val="20"/>
          <w:szCs w:val="20"/>
          <w:color w:val="auto"/>
        </w:rPr>
      </w:pPr>
      <w:r>
        <w:rPr>
          <w:rFonts w:ascii="Times New Roman" w:cs="Times New Roman" w:eastAsia="Times New Roman" w:hAnsi="Times New Roman"/>
          <w:sz w:val="12"/>
          <w:szCs w:val="12"/>
          <w:color w:val="auto"/>
        </w:rPr>
        <w:t>The change in cash flows from financing activities was primarily due to $23.6 million in proceeds from the Term Loan Refinancing, which we received in the six months ended June 30, 2021, and a $9.0 million decrease in the amount of cash that we received upon exercises of employee stock options, net of employee taxes.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w:t>
      </w:r>
    </w:p>
    <w:p>
      <w:pPr>
        <w:spacing w:after="0" w:line="114" w:lineRule="exact"/>
        <w:rPr>
          <w:sz w:val="20"/>
          <w:szCs w:val="20"/>
          <w:color w:val="auto"/>
        </w:rPr>
      </w:pPr>
    </w:p>
    <w:p>
      <w:pPr>
        <w:ind w:right="60" w:firstLine="418"/>
        <w:spacing w:after="0" w:line="252" w:lineRule="auto"/>
        <w:rPr>
          <w:sz w:val="20"/>
          <w:szCs w:val="20"/>
          <w:color w:val="auto"/>
        </w:rPr>
      </w:pPr>
      <w:r>
        <w:rPr>
          <w:rFonts w:ascii="Times New Roman" w:cs="Times New Roman" w:eastAsia="Times New Roman" w:hAnsi="Times New Roman"/>
          <w:sz w:val="12"/>
          <w:szCs w:val="12"/>
          <w:color w:val="auto"/>
        </w:rPr>
        <w:t xml:space="preserve">At June 30, 2022, the principal balance of our borrowings consisted of $296.3 million outstanding under our 2026 Term Loans. See Note 11, </w:t>
      </w:r>
      <w:r>
        <w:rPr>
          <w:rFonts w:ascii="Times New Roman" w:cs="Times New Roman" w:eastAsia="Times New Roman" w:hAnsi="Times New Roman"/>
          <w:sz w:val="12"/>
          <w:szCs w:val="12"/>
          <w:i w:val="1"/>
          <w:iCs w:val="1"/>
          <w:color w:val="auto"/>
        </w:rPr>
        <w:t>Long-Term Debt</w:t>
      </w:r>
      <w:r>
        <w:rPr>
          <w:rFonts w:ascii="Times New Roman" w:cs="Times New Roman" w:eastAsia="Times New Roman" w:hAnsi="Times New Roman"/>
          <w:sz w:val="12"/>
          <w:szCs w:val="12"/>
          <w:color w:val="auto"/>
        </w:rPr>
        <w:t>, in the “Notes to Condensed Consolidated Financial Statements” in this Form 10-Q for further discussion of our 2026 Term Loans.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Critical Accounting Estimates</w:t>
      </w:r>
    </w:p>
    <w:p>
      <w:pPr>
        <w:spacing w:after="0" w:line="116" w:lineRule="exact"/>
        <w:rPr>
          <w:sz w:val="20"/>
          <w:szCs w:val="20"/>
          <w:color w:val="auto"/>
        </w:rPr>
      </w:pPr>
    </w:p>
    <w:p>
      <w:pPr>
        <w:ind w:right="140" w:firstLine="418"/>
        <w:spacing w:after="0" w:line="239" w:lineRule="auto"/>
        <w:rPr>
          <w:sz w:val="20"/>
          <w:szCs w:val="20"/>
          <w:color w:val="auto"/>
        </w:rPr>
      </w:pPr>
      <w:r>
        <w:rPr>
          <w:rFonts w:ascii="Times New Roman" w:cs="Times New Roman" w:eastAsia="Times New Roman" w:hAnsi="Times New Roman"/>
          <w:sz w:val="12"/>
          <w:szCs w:val="12"/>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See the “Critical Accounting Estimates” section in “Part II, Item 7—Management’s Discussion and Analysis of Financial Condition and Results of Operations” in our Annual Report for a discussion of our critical accounting estimates.</w:t>
      </w:r>
    </w:p>
    <w:p>
      <w:pPr>
        <w:spacing w:after="0" w:line="98" w:lineRule="exact"/>
        <w:rPr>
          <w:sz w:val="20"/>
          <w:szCs w:val="20"/>
          <w:color w:val="auto"/>
        </w:rPr>
      </w:pPr>
    </w:p>
    <w:p>
      <w:pPr>
        <w:ind w:right="240" w:firstLine="418"/>
        <w:spacing w:after="0" w:line="249" w:lineRule="auto"/>
        <w:rPr>
          <w:sz w:val="20"/>
          <w:szCs w:val="20"/>
          <w:color w:val="auto"/>
        </w:rPr>
      </w:pPr>
      <w:r>
        <w:rPr>
          <w:rFonts w:ascii="Times New Roman" w:cs="Times New Roman" w:eastAsia="Times New Roman" w:hAnsi="Times New Roman"/>
          <w:sz w:val="12"/>
          <w:szCs w:val="12"/>
          <w:color w:val="auto"/>
        </w:rPr>
        <w:t xml:space="preserve">In relation to our contingent consideration, in light of Baudax’s disclosures regarding its ability to continue as a going concern, in March 2022 we increased our assessment of the likelihood that Baudax would default on its obligations to us to 100% from our prior determined likelihood of 55% as of December 31, 2021, and adjusted the recovery rate to 9% in March 2022 from 18% as of December 31, 2021. For further information regarding the calculation of the fair value of this contingent consideration, refer to Note 5, </w:t>
      </w:r>
      <w:r>
        <w:rPr>
          <w:rFonts w:ascii="Times New Roman" w:cs="Times New Roman" w:eastAsia="Times New Roman" w:hAnsi="Times New Roman"/>
          <w:sz w:val="12"/>
          <w:szCs w:val="12"/>
          <w:i w:val="1"/>
          <w:iCs w:val="1"/>
          <w:color w:val="auto"/>
        </w:rPr>
        <w:t>Fair Value</w:t>
      </w:r>
      <w:r>
        <w:rPr>
          <w:rFonts w:ascii="Times New Roman" w:cs="Times New Roman" w:eastAsia="Times New Roman" w:hAnsi="Times New Roman"/>
          <w:sz w:val="12"/>
          <w:szCs w:val="12"/>
          <w:color w:val="auto"/>
        </w:rPr>
        <w:t xml:space="preserve"> in the “Notes to Condensed Consolidated Financial Statements” in this Form 10-Q.</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1"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i w:val="1"/>
          <w:iCs w:val="1"/>
          <w:color w:val="auto"/>
        </w:rPr>
        <w:t>New Accounting Standards</w:t>
      </w:r>
    </w:p>
    <w:p>
      <w:pPr>
        <w:spacing w:after="0" w:line="114" w:lineRule="exact"/>
        <w:rPr>
          <w:sz w:val="20"/>
          <w:szCs w:val="20"/>
          <w:color w:val="auto"/>
        </w:rPr>
      </w:pPr>
    </w:p>
    <w:p>
      <w:pPr>
        <w:ind w:right="100" w:firstLine="418"/>
        <w:spacing w:after="0" w:line="267" w:lineRule="auto"/>
        <w:rPr>
          <w:sz w:val="20"/>
          <w:szCs w:val="20"/>
          <w:color w:val="auto"/>
        </w:rPr>
      </w:pPr>
      <w:r>
        <w:rPr>
          <w:rFonts w:ascii="Times New Roman" w:cs="Times New Roman" w:eastAsia="Times New Roman" w:hAnsi="Times New Roman"/>
          <w:sz w:val="12"/>
          <w:szCs w:val="12"/>
          <w:color w:val="auto"/>
        </w:rPr>
        <w:t xml:space="preserve">See the “New Accounting Pronouncements” section in Note 2, </w:t>
      </w:r>
      <w:r>
        <w:rPr>
          <w:rFonts w:ascii="Times New Roman" w:cs="Times New Roman" w:eastAsia="Times New Roman" w:hAnsi="Times New Roman"/>
          <w:sz w:val="12"/>
          <w:szCs w:val="12"/>
          <w:i w:val="1"/>
          <w:iCs w:val="1"/>
          <w:color w:val="auto"/>
        </w:rPr>
        <w:t>Summary of Significant Accounting Policies</w:t>
      </w:r>
      <w:r>
        <w:rPr>
          <w:rFonts w:ascii="Times New Roman" w:cs="Times New Roman" w:eastAsia="Times New Roman" w:hAnsi="Times New Roman"/>
          <w:sz w:val="12"/>
          <w:szCs w:val="12"/>
          <w:color w:val="auto"/>
        </w:rPr>
        <w:t xml:space="preserve"> in the “Notes to Condensed Consolidated Financial Statements” in this Form 10-Q for discussion of certain recent accounting standards applicable to us.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3. </w:t>
      </w:r>
      <w:r>
        <w:rPr>
          <w:rFonts w:ascii="Times New Roman" w:cs="Times New Roman" w:eastAsia="Times New Roman" w:hAnsi="Times New Roman"/>
          <w:sz w:val="12"/>
          <w:szCs w:val="12"/>
          <w:b w:val="1"/>
          <w:bCs w:val="1"/>
          <w:i w:val="1"/>
          <w:iCs w:val="1"/>
          <w:color w:val="auto"/>
        </w:rPr>
        <w:t>Quantitative and Qualitative Disclosures About Market Risk</w:t>
      </w:r>
    </w:p>
    <w:p>
      <w:pPr>
        <w:spacing w:after="0" w:line="127" w:lineRule="exact"/>
        <w:rPr>
          <w:sz w:val="20"/>
          <w:szCs w:val="20"/>
          <w:color w:val="auto"/>
        </w:rPr>
      </w:pPr>
    </w:p>
    <w:p>
      <w:pPr>
        <w:ind w:right="100" w:firstLine="418"/>
        <w:spacing w:after="0" w:line="260" w:lineRule="auto"/>
        <w:rPr>
          <w:sz w:val="20"/>
          <w:szCs w:val="20"/>
          <w:color w:val="auto"/>
        </w:rPr>
      </w:pPr>
      <w:r>
        <w:rPr>
          <w:rFonts w:ascii="Times New Roman" w:cs="Times New Roman" w:eastAsia="Times New Roman" w:hAnsi="Times New Roman"/>
          <w:sz w:val="12"/>
          <w:szCs w:val="12"/>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2021, and we do not anticipate any near-term changes in the nature of our market risk exposures or in our management’s objectives and strategies with respect to managing such exposures.</w:t>
      </w:r>
    </w:p>
    <w:p>
      <w:pPr>
        <w:spacing w:after="0" w:line="104" w:lineRule="exact"/>
        <w:rPr>
          <w:sz w:val="20"/>
          <w:szCs w:val="20"/>
          <w:color w:val="auto"/>
        </w:rPr>
      </w:pPr>
    </w:p>
    <w:p>
      <w:pPr>
        <w:ind w:right="120" w:firstLine="418"/>
        <w:spacing w:after="0" w:line="265" w:lineRule="auto"/>
        <w:rPr>
          <w:sz w:val="20"/>
          <w:szCs w:val="20"/>
          <w:color w:val="auto"/>
        </w:rPr>
      </w:pPr>
      <w:r>
        <w:rPr>
          <w:rFonts w:ascii="Times New Roman" w:cs="Times New Roman" w:eastAsia="Times New Roman" w:hAnsi="Times New Roman"/>
          <w:sz w:val="12"/>
          <w:szCs w:val="12"/>
          <w:color w:val="auto"/>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2021.</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4. </w:t>
      </w:r>
      <w:r>
        <w:rPr>
          <w:rFonts w:ascii="Times New Roman" w:cs="Times New Roman" w:eastAsia="Times New Roman" w:hAnsi="Times New Roman"/>
          <w:sz w:val="12"/>
          <w:szCs w:val="12"/>
          <w:b w:val="1"/>
          <w:bCs w:val="1"/>
          <w:i w:val="1"/>
          <w:iCs w:val="1"/>
          <w:color w:val="auto"/>
        </w:rPr>
        <w:t>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 Evaluation of Disclosure Controls and Procedures</w:t>
      </w:r>
    </w:p>
    <w:p>
      <w:pPr>
        <w:spacing w:after="0" w:line="134" w:lineRule="exact"/>
        <w:rPr>
          <w:sz w:val="20"/>
          <w:szCs w:val="20"/>
          <w:color w:val="auto"/>
        </w:rPr>
      </w:pPr>
    </w:p>
    <w:p>
      <w:pPr>
        <w:ind w:right="80" w:firstLine="418"/>
        <w:spacing w:after="0" w:line="256"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evaluated the effectiveness of the design and operation of our disclosure controls and procedures (as defined in Rule 13a-15(e) under the Exchange Act) as of June 30, 2022. Based on that evaluation, our Chief Executive Officer and Chief Financial Officer each concluded that our disclosure controls and procedures were effective as of June 30, 2022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 Change in Internal Control Over Financial Reporting</w:t>
      </w:r>
    </w:p>
    <w:p>
      <w:pPr>
        <w:spacing w:after="0" w:line="125" w:lineRule="exact"/>
        <w:rPr>
          <w:sz w:val="20"/>
          <w:szCs w:val="20"/>
          <w:color w:val="auto"/>
        </w:rPr>
      </w:pPr>
    </w:p>
    <w:p>
      <w:pPr>
        <w:ind w:firstLine="418"/>
        <w:spacing w:after="0" w:line="279" w:lineRule="auto"/>
        <w:rPr>
          <w:sz w:val="20"/>
          <w:szCs w:val="20"/>
          <w:color w:val="auto"/>
        </w:rPr>
      </w:pPr>
      <w:r>
        <w:rPr>
          <w:rFonts w:ascii="Times New Roman" w:cs="Times New Roman" w:eastAsia="Times New Roman" w:hAnsi="Times New Roman"/>
          <w:sz w:val="12"/>
          <w:szCs w:val="12"/>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379" w:right="4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1. </w:t>
      </w:r>
      <w:r>
        <w:rPr>
          <w:rFonts w:ascii="Times New Roman" w:cs="Times New Roman" w:eastAsia="Times New Roman" w:hAnsi="Times New Roman"/>
          <w:sz w:val="12"/>
          <w:szCs w:val="12"/>
          <w:b w:val="1"/>
          <w:bCs w:val="1"/>
          <w:i w:val="1"/>
          <w:iCs w:val="1"/>
          <w:color w:val="auto"/>
        </w:rPr>
        <w:t>Legal Proceedings</w:t>
      </w:r>
    </w:p>
    <w:p>
      <w:pPr>
        <w:spacing w:after="0" w:line="134" w:lineRule="exact"/>
        <w:rPr>
          <w:sz w:val="20"/>
          <w:szCs w:val="20"/>
          <w:color w:val="auto"/>
        </w:rPr>
      </w:pPr>
    </w:p>
    <w:p>
      <w:pPr>
        <w:ind w:right="260" w:firstLine="418"/>
        <w:spacing w:after="0" w:line="283" w:lineRule="auto"/>
        <w:rPr>
          <w:sz w:val="20"/>
          <w:szCs w:val="20"/>
          <w:color w:val="auto"/>
        </w:rPr>
      </w:pPr>
      <w:r>
        <w:rPr>
          <w:rFonts w:ascii="Times New Roman" w:cs="Times New Roman" w:eastAsia="Times New Roman" w:hAnsi="Times New Roman"/>
          <w:sz w:val="12"/>
          <w:szCs w:val="12"/>
          <w:color w:val="auto"/>
        </w:rPr>
        <w:t xml:space="preserve">For information regarding legal proceedings, see the discussion of legal proceedings in Note 15, </w:t>
      </w:r>
      <w:r>
        <w:rPr>
          <w:rFonts w:ascii="Times New Roman" w:cs="Times New Roman" w:eastAsia="Times New Roman" w:hAnsi="Times New Roman"/>
          <w:sz w:val="12"/>
          <w:szCs w:val="12"/>
          <w:i w:val="1"/>
          <w:iCs w:val="1"/>
          <w:color w:val="auto"/>
        </w:rPr>
        <w:t>Commitments and Contingent Liabilities</w:t>
      </w:r>
      <w:r>
        <w:rPr>
          <w:rFonts w:ascii="Times New Roman" w:cs="Times New Roman" w:eastAsia="Times New Roman" w:hAnsi="Times New Roman"/>
          <w:sz w:val="12"/>
          <w:szCs w:val="12"/>
          <w:color w:val="auto"/>
        </w:rPr>
        <w:t xml:space="preserve"> in the “Notes to Condensed Consolidated Financial Statements” in this Form 10-Q, which discussion is incorporated into this Part II, Item 1 by reference.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1A. </w:t>
      </w:r>
      <w:r>
        <w:rPr>
          <w:rFonts w:ascii="Times New Roman" w:cs="Times New Roman" w:eastAsia="Times New Roman" w:hAnsi="Times New Roman"/>
          <w:sz w:val="12"/>
          <w:szCs w:val="12"/>
          <w:b w:val="1"/>
          <w:bCs w:val="1"/>
          <w:i w:val="1"/>
          <w:iCs w:val="1"/>
          <w:color w:val="auto"/>
        </w:rPr>
        <w:t>Risk Factors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a discussion of our risk factors, see “Part I, Item 1A—Risk Factors” in our Annual Report. There have been no material changes from the risk factors disclosed in our Annual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2. </w:t>
      </w:r>
      <w:r>
        <w:rPr>
          <w:rFonts w:ascii="Times New Roman" w:cs="Times New Roman" w:eastAsia="Times New Roman" w:hAnsi="Times New Roman"/>
          <w:sz w:val="12"/>
          <w:szCs w:val="12"/>
          <w:b w:val="1"/>
          <w:bCs w:val="1"/>
          <w:i w:val="1"/>
          <w:iCs w:val="1"/>
          <w:color w:val="auto"/>
        </w:rPr>
        <w:t>Unregistered Sales of Equity Securities and Use of Proceeds</w:t>
      </w:r>
    </w:p>
    <w:p>
      <w:pPr>
        <w:spacing w:after="0" w:line="127" w:lineRule="exact"/>
        <w:rPr>
          <w:sz w:val="20"/>
          <w:szCs w:val="20"/>
          <w:color w:val="auto"/>
        </w:rPr>
      </w:pPr>
    </w:p>
    <w:p>
      <w:pPr>
        <w:jc w:val="both"/>
        <w:ind w:right="40" w:firstLine="418"/>
        <w:spacing w:after="0" w:line="265" w:lineRule="auto"/>
        <w:rPr>
          <w:sz w:val="20"/>
          <w:szCs w:val="20"/>
          <w:color w:val="auto"/>
        </w:rPr>
      </w:pPr>
      <w:r>
        <w:rPr>
          <w:rFonts w:ascii="Times New Roman" w:cs="Times New Roman" w:eastAsia="Times New Roman" w:hAnsi="Times New Roman"/>
          <w:sz w:val="12"/>
          <w:szCs w:val="12"/>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six months ended June 30, 2022. As of June 30, 2022, we had purchased a total of 8,866,342 shares under this program at an aggregate cost of $114.0 million.</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During the three months ended June 30, 2022, we acquired 18,566 of our ordinary shares, at an average price of $27.69 per share, to satisfy withholding tax obligations related to the vesting of employee equity awards.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Item 5. </w:t>
      </w:r>
      <w:r>
        <w:rPr>
          <w:rFonts w:ascii="Times New Roman" w:cs="Times New Roman" w:eastAsia="Times New Roman" w:hAnsi="Times New Roman"/>
          <w:sz w:val="12"/>
          <w:szCs w:val="12"/>
          <w:b w:val="1"/>
          <w:bCs w:val="1"/>
          <w:i w:val="1"/>
          <w:iCs w:val="1"/>
          <w:color w:val="auto"/>
        </w:rPr>
        <w:t>Other Information</w:t>
      </w:r>
    </w:p>
    <w:p>
      <w:pPr>
        <w:spacing w:after="0" w:line="127" w:lineRule="exact"/>
        <w:rPr>
          <w:sz w:val="20"/>
          <w:szCs w:val="20"/>
          <w:color w:val="auto"/>
        </w:rPr>
      </w:pPr>
    </w:p>
    <w:p>
      <w:pPr>
        <w:ind w:firstLine="418"/>
        <w:spacing w:after="0" w:line="260" w:lineRule="auto"/>
        <w:rPr>
          <w:sz w:val="20"/>
          <w:szCs w:val="20"/>
          <w:color w:val="auto"/>
        </w:rPr>
      </w:pPr>
      <w:r>
        <w:rPr>
          <w:rFonts w:ascii="Times New Roman" w:cs="Times New Roman" w:eastAsia="Times New Roman" w:hAnsi="Times New Roman"/>
          <w:sz w:val="12"/>
          <w:szCs w:val="12"/>
          <w:color w:val="auto"/>
        </w:rPr>
        <w:t>Our policy governing transactions in our securities by our directors, officers and employees permits our directors, officers and employees to enter into trading plans in accordance with Rule 10b5-1 under the Exchange Act. During the three months ended June 30, 2022, each of Dr. Craig C. Hopkinson and Mr. C. Todd Nichols, executive officers of the Company, and Mr. David W. Anstice AO, a former director of the Company, entered into a trading plan in accordance with Rule 10b5-1 and our policy governing transactions in our securities by our directors, officers and employees. We undertake no obligation to update or revise the information provided herein, including for any revision or termination of an established trading plan.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38" w:name="page39"/>
    <w:bookmarkEnd w:id="38"/>
    <w:tbl>
      <w:tblPr>
        <w:tblLayout w:type="fixed"/>
        <w:tblInd w:w="8" w:type="dxa"/>
        <w:tblCellMar>
          <w:top w:w="0" w:type="dxa"/>
          <w:left w:w="0" w:type="dxa"/>
          <w:bottom w:w="0" w:type="dxa"/>
          <w:right w:w="0" w:type="dxa"/>
        </w:tblCellMar>
      </w:tblPr>
      <w:tr>
        <w:trPr>
          <w:trHeight w:val="159"/>
        </w:trPr>
        <w:tc>
          <w:tcPr>
            <w:tcW w:w="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4"/>
              </w:rPr>
              <w:t>Item 6.</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Exhibits</w:t>
            </w:r>
          </w:p>
        </w:tc>
        <w:tc>
          <w:tcPr>
            <w:tcW w:w="1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1"/>
        </w:trPr>
        <w:tc>
          <w:tcPr>
            <w:tcW w:w="360" w:type="dxa"/>
            <w:vAlign w:val="bottom"/>
          </w:tcPr>
          <w:p>
            <w:pPr>
              <w:spacing w:after="0"/>
              <w:rPr>
                <w:sz w:val="22"/>
                <w:szCs w:val="22"/>
                <w:color w:val="auto"/>
              </w:rPr>
            </w:pPr>
          </w:p>
        </w:tc>
        <w:tc>
          <w:tcPr>
            <w:tcW w:w="10940" w:type="dxa"/>
            <w:vAlign w:val="bottom"/>
            <w:gridSpan w:val="10"/>
          </w:tcPr>
          <w:p>
            <w:pPr>
              <w:ind w:left="60"/>
              <w:spacing w:after="0"/>
              <w:rPr>
                <w:sz w:val="20"/>
                <w:szCs w:val="20"/>
                <w:color w:val="auto"/>
              </w:rPr>
            </w:pPr>
            <w:r>
              <w:rPr>
                <w:rFonts w:ascii="Times New Roman" w:cs="Times New Roman" w:eastAsia="Times New Roman" w:hAnsi="Times New Roman"/>
                <w:sz w:val="12"/>
                <w:szCs w:val="12"/>
                <w:color w:val="auto"/>
              </w:rPr>
              <w:t>The following exhibits are filed or furnished as part of this Form 10-Q:</w:t>
            </w:r>
          </w:p>
        </w:tc>
      </w:tr>
      <w:tr>
        <w:trPr>
          <w:trHeight w:val="270"/>
        </w:trPr>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960" w:type="dxa"/>
            <w:vAlign w:val="bottom"/>
            <w:gridSpan w:val="6"/>
          </w:tcPr>
          <w:p>
            <w:pPr>
              <w:ind w:left="20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88"/>
        </w:trPr>
        <w:tc>
          <w:tcPr>
            <w:tcW w:w="36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52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13"/>
        </w:trPr>
        <w:tc>
          <w:tcPr>
            <w:tcW w:w="360" w:type="dxa"/>
            <w:vAlign w:val="bottom"/>
            <w:tcBorders>
              <w:top w:val="single" w:sz="8" w:color="auto"/>
              <w:bottom w:val="single" w:sz="8" w:color="CFF0FC"/>
            </w:tcBorders>
            <w:shd w:val="clear" w:color="auto" w:fill="CFF0FC"/>
          </w:tcPr>
          <w:p>
            <w:pPr>
              <w:ind w:left="60"/>
              <w:spacing w:after="0" w:line="106" w:lineRule="exact"/>
              <w:rPr>
                <w:sz w:val="20"/>
                <w:szCs w:val="20"/>
                <w:color w:val="auto"/>
              </w:rPr>
            </w:pPr>
            <w:r>
              <w:rPr>
                <w:rFonts w:ascii="Times New Roman" w:cs="Times New Roman" w:eastAsia="Times New Roman" w:hAnsi="Times New Roman"/>
                <w:sz w:val="12"/>
                <w:szCs w:val="12"/>
                <w:color w:val="auto"/>
              </w:rPr>
              <w:t>3.1 #</w:t>
            </w:r>
          </w:p>
        </w:tc>
        <w:tc>
          <w:tcPr>
            <w:tcW w:w="460" w:type="dxa"/>
            <w:vAlign w:val="bottom"/>
            <w:tcBorders>
              <w:top w:val="single" w:sz="8" w:color="auto"/>
              <w:bottom w:val="single" w:sz="8" w:color="CFF0FC"/>
            </w:tcBorders>
            <w:shd w:val="clear" w:color="auto" w:fill="CFF0FC"/>
          </w:tcPr>
          <w:p>
            <w:pPr>
              <w:spacing w:after="0"/>
              <w:rPr>
                <w:sz w:val="9"/>
                <w:szCs w:val="9"/>
                <w:color w:val="auto"/>
              </w:rPr>
            </w:pPr>
          </w:p>
        </w:tc>
        <w:tc>
          <w:tcPr>
            <w:tcW w:w="520" w:type="dxa"/>
            <w:vAlign w:val="bottom"/>
            <w:tcBorders>
              <w:top w:val="single" w:sz="8" w:color="auto"/>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4340" w:type="dxa"/>
            <w:vAlign w:val="bottom"/>
            <w:tcBorders>
              <w:top w:val="single" w:sz="8" w:color="auto"/>
              <w:bottom w:val="single" w:sz="8" w:color="0000EE"/>
            </w:tcBorders>
            <w:gridSpan w:val="2"/>
            <w:shd w:val="clear" w:color="auto" w:fill="CFF0FC"/>
          </w:tcPr>
          <w:p>
            <w:pPr>
              <w:ind w:left="20"/>
              <w:spacing w:after="0" w:line="106" w:lineRule="exact"/>
              <w:rPr>
                <w:sz w:val="20"/>
                <w:szCs w:val="20"/>
                <w:color w:val="auto"/>
              </w:rPr>
            </w:pPr>
            <w:r>
              <w:rPr>
                <w:rFonts w:ascii="Times New Roman" w:cs="Times New Roman" w:eastAsia="Times New Roman" w:hAnsi="Times New Roman"/>
                <w:sz w:val="12"/>
                <w:szCs w:val="12"/>
                <w:color w:val="0000EE"/>
                <w:w w:val="99"/>
              </w:rPr>
              <w:t>Memorandum and Articles of Association of Alkermes plc, as amended on May 13, 2022.</w:t>
            </w:r>
          </w:p>
        </w:tc>
        <w:tc>
          <w:tcPr>
            <w:tcW w:w="5520" w:type="dxa"/>
            <w:vAlign w:val="bottom"/>
            <w:tcBorders>
              <w:top w:val="single" w:sz="8" w:color="auto"/>
              <w:bottom w:val="single" w:sz="8" w:color="CFF0FC"/>
            </w:tcBorders>
            <w:gridSpan w:val="5"/>
            <w:shd w:val="clear" w:color="auto" w:fill="CFF0FC"/>
          </w:tcPr>
          <w:p>
            <w:pPr>
              <w:spacing w:after="0"/>
              <w:rPr>
                <w:sz w:val="9"/>
                <w:szCs w:val="9"/>
                <w:color w:val="auto"/>
              </w:rPr>
            </w:pPr>
          </w:p>
        </w:tc>
      </w:tr>
      <w:tr>
        <w:trPr>
          <w:trHeight w:val="124"/>
        </w:trPr>
        <w:tc>
          <w:tcPr>
            <w:tcW w:w="360" w:type="dxa"/>
            <w:vAlign w:val="bottom"/>
          </w:tcPr>
          <w:p>
            <w:pPr>
              <w:ind w:left="60"/>
              <w:spacing w:after="0" w:line="117" w:lineRule="exact"/>
              <w:rPr>
                <w:sz w:val="20"/>
                <w:szCs w:val="20"/>
                <w:color w:val="auto"/>
              </w:rPr>
            </w:pPr>
            <w:r>
              <w:rPr>
                <w:rFonts w:ascii="Times New Roman" w:cs="Times New Roman" w:eastAsia="Times New Roman" w:hAnsi="Times New Roman"/>
                <w:sz w:val="12"/>
                <w:szCs w:val="12"/>
                <w:color w:val="auto"/>
                <w:w w:val="93"/>
              </w:rPr>
              <w:t>10.1 †</w:t>
            </w: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60" w:type="dxa"/>
            <w:vAlign w:val="bottom"/>
            <w:gridSpan w:val="7"/>
          </w:tcPr>
          <w:p>
            <w:pPr>
              <w:ind w:left="20"/>
              <w:spacing w:after="0" w:line="117" w:lineRule="exact"/>
              <w:rPr>
                <w:rFonts w:ascii="Times New Roman" w:cs="Times New Roman" w:eastAsia="Times New Roman" w:hAnsi="Times New Roman"/>
                <w:sz w:val="12"/>
                <w:szCs w:val="12"/>
                <w:color w:val="0000EE"/>
                <w:w w:val="99"/>
              </w:rPr>
            </w:pPr>
            <w:hyperlink r:id="rId68">
              <w:r>
                <w:rPr>
                  <w:rFonts w:ascii="Times New Roman" w:cs="Times New Roman" w:eastAsia="Times New Roman" w:hAnsi="Times New Roman"/>
                  <w:sz w:val="12"/>
                  <w:szCs w:val="12"/>
                  <w:color w:val="0000EE"/>
                  <w:w w:val="99"/>
                </w:rPr>
                <w:t>Alkermes plc 2018 Stock Option and Incentive Plan, as amended (incorporated by reference from Exhibit 10.1 to the Alkermes plc Current Report on Form 8-K (File No. 001-35299) filed on July 7, 2022).</w:t>
              </w:r>
            </w:hyperlink>
          </w:p>
        </w:tc>
      </w:tr>
      <w:tr>
        <w:trPr>
          <w:trHeight w:val="117"/>
        </w:trPr>
        <w:tc>
          <w:tcPr>
            <w:tcW w:w="36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2"/>
                <w:szCs w:val="12"/>
                <w:color w:val="auto"/>
                <w:w w:val="93"/>
              </w:rPr>
              <w:t>10.1.1</w:t>
            </w:r>
          </w:p>
        </w:tc>
        <w:tc>
          <w:tcPr>
            <w:tcW w:w="1080" w:type="dxa"/>
            <w:vAlign w:val="bottom"/>
            <w:gridSpan w:val="3"/>
            <w:shd w:val="clear" w:color="auto" w:fill="CFF0FC"/>
          </w:tcPr>
          <w:p>
            <w:pPr>
              <w:ind w:left="20"/>
              <w:spacing w:after="0" w:line="117" w:lineRule="exact"/>
              <w:rPr>
                <w:sz w:val="20"/>
                <w:szCs w:val="20"/>
                <w:color w:val="auto"/>
              </w:rPr>
            </w:pPr>
            <w:r>
              <w:rPr>
                <w:rFonts w:ascii="Times New Roman" w:cs="Times New Roman" w:eastAsia="Times New Roman" w:hAnsi="Times New Roman"/>
                <w:sz w:val="12"/>
                <w:szCs w:val="12"/>
                <w:color w:val="auto"/>
              </w:rPr>
              <w:t>#†</w:t>
            </w:r>
          </w:p>
        </w:tc>
        <w:tc>
          <w:tcPr>
            <w:tcW w:w="9840" w:type="dxa"/>
            <w:vAlign w:val="bottom"/>
            <w:tcBorders>
              <w:top w:val="single" w:sz="8" w:color="0000EE"/>
            </w:tcBorders>
            <w:gridSpan w:val="6"/>
            <w:shd w:val="clear" w:color="auto" w:fill="CFF0FC"/>
          </w:tcPr>
          <w:p>
            <w:pPr>
              <w:ind w:left="20"/>
              <w:spacing w:after="0" w:line="117" w:lineRule="exact"/>
              <w:rPr>
                <w:sz w:val="20"/>
                <w:szCs w:val="20"/>
                <w:color w:val="auto"/>
              </w:rPr>
            </w:pPr>
            <w:r>
              <w:rPr>
                <w:rFonts w:ascii="Times New Roman" w:cs="Times New Roman" w:eastAsia="Times New Roman" w:hAnsi="Times New Roman"/>
                <w:sz w:val="12"/>
                <w:szCs w:val="12"/>
                <w:color w:val="0000EE"/>
              </w:rPr>
              <w:t>Form of Non-Employee Director New Director Grant Non-Qualified Stock Option Award Certificate under the Alkermes plc 2018 Stock Option and Incentive Plan, as amended.</w:t>
            </w:r>
          </w:p>
        </w:tc>
        <w:tc>
          <w:tcPr>
            <w:tcW w:w="20" w:type="dxa"/>
            <w:vAlign w:val="bottom"/>
            <w:shd w:val="clear" w:color="auto" w:fill="CFF0FC"/>
          </w:tcPr>
          <w:p>
            <w:pPr>
              <w:spacing w:after="0"/>
              <w:rPr>
                <w:sz w:val="10"/>
                <w:szCs w:val="10"/>
                <w:color w:val="auto"/>
              </w:rPr>
            </w:pPr>
          </w:p>
        </w:tc>
      </w:tr>
      <w:tr>
        <w:trPr>
          <w:trHeight w:val="27"/>
        </w:trPr>
        <w:tc>
          <w:tcPr>
            <w:tcW w:w="3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24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2700" w:type="dxa"/>
            <w:vAlign w:val="bottom"/>
            <w:shd w:val="clear" w:color="auto" w:fill="0000EE"/>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24"/>
        </w:trPr>
        <w:tc>
          <w:tcPr>
            <w:tcW w:w="360" w:type="dxa"/>
            <w:vAlign w:val="bottom"/>
          </w:tcPr>
          <w:p>
            <w:pPr>
              <w:ind w:left="60"/>
              <w:spacing w:after="0" w:line="117" w:lineRule="exact"/>
              <w:rPr>
                <w:sz w:val="20"/>
                <w:szCs w:val="20"/>
                <w:color w:val="auto"/>
              </w:rPr>
            </w:pPr>
            <w:r>
              <w:rPr>
                <w:rFonts w:ascii="Times New Roman" w:cs="Times New Roman" w:eastAsia="Times New Roman" w:hAnsi="Times New Roman"/>
                <w:sz w:val="12"/>
                <w:szCs w:val="12"/>
                <w:color w:val="auto"/>
                <w:w w:val="93"/>
              </w:rPr>
              <w:t>10.1.2</w:t>
            </w:r>
          </w:p>
        </w:tc>
        <w:tc>
          <w:tcPr>
            <w:tcW w:w="108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2"/>
                <w:szCs w:val="12"/>
                <w:color w:val="auto"/>
              </w:rPr>
              <w:t>#†</w:t>
            </w:r>
          </w:p>
        </w:tc>
        <w:tc>
          <w:tcPr>
            <w:tcW w:w="9860" w:type="dxa"/>
            <w:vAlign w:val="bottom"/>
            <w:gridSpan w:val="7"/>
          </w:tcPr>
          <w:p>
            <w:pPr>
              <w:ind w:left="20"/>
              <w:spacing w:after="0" w:line="117" w:lineRule="exact"/>
              <w:rPr>
                <w:sz w:val="20"/>
                <w:szCs w:val="20"/>
                <w:color w:val="auto"/>
              </w:rPr>
            </w:pPr>
            <w:r>
              <w:rPr>
                <w:rFonts w:ascii="Times New Roman" w:cs="Times New Roman" w:eastAsia="Times New Roman" w:hAnsi="Times New Roman"/>
                <w:sz w:val="12"/>
                <w:szCs w:val="12"/>
                <w:color w:val="0000EE"/>
              </w:rPr>
              <w:t>Form of Non-Employee Director New Director Grant Restricted Stock Unit (Time-Vesting) Award Certificate under the Alkermes plc 2018 Stock Option and Incentive Plan, as amended.</w:t>
            </w:r>
          </w:p>
        </w:tc>
      </w:tr>
      <w:tr>
        <w:trPr>
          <w:trHeight w:val="117"/>
        </w:trPr>
        <w:tc>
          <w:tcPr>
            <w:tcW w:w="36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2"/>
                <w:szCs w:val="12"/>
                <w:color w:val="auto"/>
                <w:w w:val="93"/>
              </w:rPr>
              <w:t>31.1 #</w:t>
            </w:r>
          </w:p>
        </w:tc>
        <w:tc>
          <w:tcPr>
            <w:tcW w:w="4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940" w:type="dxa"/>
            <w:vAlign w:val="bottom"/>
            <w:tcBorders>
              <w:top w:val="single" w:sz="8" w:color="0000EE"/>
            </w:tcBorders>
            <w:gridSpan w:val="5"/>
            <w:shd w:val="clear" w:color="auto" w:fill="CFF0FC"/>
          </w:tcPr>
          <w:p>
            <w:pPr>
              <w:ind w:left="20"/>
              <w:spacing w:after="0" w:line="117" w:lineRule="exact"/>
              <w:rPr>
                <w:sz w:val="20"/>
                <w:szCs w:val="20"/>
                <w:color w:val="auto"/>
              </w:rPr>
            </w:pPr>
            <w:r>
              <w:rPr>
                <w:rFonts w:ascii="Times New Roman" w:cs="Times New Roman" w:eastAsia="Times New Roman" w:hAnsi="Times New Roman"/>
                <w:sz w:val="12"/>
                <w:szCs w:val="12"/>
                <w:color w:val="0000EE"/>
              </w:rPr>
              <w:t>Rule 13a-14(a)/15d-14(a) Certification.</w:t>
            </w:r>
          </w:p>
        </w:tc>
        <w:tc>
          <w:tcPr>
            <w:tcW w:w="920" w:type="dxa"/>
            <w:vAlign w:val="bottom"/>
            <w:gridSpan w:val="2"/>
            <w:shd w:val="clear" w:color="auto" w:fill="CFF0FC"/>
          </w:tcPr>
          <w:p>
            <w:pPr>
              <w:spacing w:after="0"/>
              <w:rPr>
                <w:sz w:val="10"/>
                <w:szCs w:val="10"/>
                <w:color w:val="auto"/>
              </w:rPr>
            </w:pPr>
          </w:p>
        </w:tc>
      </w:tr>
      <w:tr>
        <w:trPr>
          <w:trHeight w:val="27"/>
        </w:trPr>
        <w:tc>
          <w:tcPr>
            <w:tcW w:w="3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244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27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17"/>
        </w:trPr>
        <w:tc>
          <w:tcPr>
            <w:tcW w:w="360" w:type="dxa"/>
            <w:vAlign w:val="bottom"/>
          </w:tcPr>
          <w:p>
            <w:pPr>
              <w:ind w:left="60"/>
              <w:spacing w:after="0" w:line="117" w:lineRule="exact"/>
              <w:rPr>
                <w:sz w:val="20"/>
                <w:szCs w:val="20"/>
                <w:color w:val="auto"/>
              </w:rPr>
            </w:pPr>
            <w:r>
              <w:rPr>
                <w:rFonts w:ascii="Times New Roman" w:cs="Times New Roman" w:eastAsia="Times New Roman" w:hAnsi="Times New Roman"/>
                <w:sz w:val="12"/>
                <w:szCs w:val="12"/>
                <w:color w:val="auto"/>
                <w:w w:val="93"/>
              </w:rPr>
              <w:t>31.2 #</w:t>
            </w: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60" w:type="dxa"/>
            <w:vAlign w:val="bottom"/>
            <w:gridSpan w:val="7"/>
          </w:tcPr>
          <w:p>
            <w:pPr>
              <w:ind w:left="20"/>
              <w:spacing w:after="0" w:line="117" w:lineRule="exact"/>
              <w:rPr>
                <w:sz w:val="20"/>
                <w:szCs w:val="20"/>
                <w:color w:val="auto"/>
              </w:rPr>
            </w:pPr>
            <w:r>
              <w:rPr>
                <w:rFonts w:ascii="Times New Roman" w:cs="Times New Roman" w:eastAsia="Times New Roman" w:hAnsi="Times New Roman"/>
                <w:sz w:val="12"/>
                <w:szCs w:val="12"/>
                <w:color w:val="0000EE"/>
              </w:rPr>
              <w:t>Rule 13a-14(a)/15d-14(a) Certification.</w:t>
            </w:r>
          </w:p>
        </w:tc>
      </w:tr>
      <w:tr>
        <w:trPr>
          <w:trHeight w:val="27"/>
        </w:trPr>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24"/>
        </w:trPr>
        <w:tc>
          <w:tcPr>
            <w:tcW w:w="360" w:type="dxa"/>
            <w:vAlign w:val="bottom"/>
            <w:tcBorders>
              <w:bottom w:val="single" w:sz="8" w:color="CFF0FC"/>
            </w:tcBorders>
            <w:shd w:val="clear" w:color="auto" w:fill="CFF0FC"/>
          </w:tcPr>
          <w:p>
            <w:pPr>
              <w:ind w:left="60"/>
              <w:spacing w:after="0" w:line="117" w:lineRule="exact"/>
              <w:rPr>
                <w:sz w:val="20"/>
                <w:szCs w:val="20"/>
                <w:color w:val="auto"/>
              </w:rPr>
            </w:pPr>
            <w:r>
              <w:rPr>
                <w:rFonts w:ascii="Times New Roman" w:cs="Times New Roman" w:eastAsia="Times New Roman" w:hAnsi="Times New Roman"/>
                <w:sz w:val="12"/>
                <w:szCs w:val="12"/>
                <w:color w:val="auto"/>
                <w:w w:val="93"/>
              </w:rPr>
              <w:t>32.1 ‡</w:t>
            </w:r>
          </w:p>
        </w:tc>
        <w:tc>
          <w:tcPr>
            <w:tcW w:w="46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820" w:type="dxa"/>
            <w:vAlign w:val="bottom"/>
            <w:tcBorders>
              <w:bottom w:val="single" w:sz="8" w:color="0000EE"/>
            </w:tcBorders>
            <w:gridSpan w:val="3"/>
            <w:shd w:val="clear" w:color="auto" w:fill="CFF0FC"/>
          </w:tcPr>
          <w:p>
            <w:pPr>
              <w:ind w:left="20"/>
              <w:spacing w:after="0" w:line="117" w:lineRule="exact"/>
              <w:rPr>
                <w:sz w:val="20"/>
                <w:szCs w:val="20"/>
                <w:color w:val="auto"/>
              </w:rPr>
            </w:pPr>
            <w:r>
              <w:rPr>
                <w:rFonts w:ascii="Times New Roman" w:cs="Times New Roman" w:eastAsia="Times New Roman" w:hAnsi="Times New Roman"/>
                <w:sz w:val="12"/>
                <w:szCs w:val="12"/>
                <w:color w:val="0000EE"/>
                <w:w w:val="99"/>
              </w:rPr>
              <w:t>Certification pursuant to 18 U.S.C. Section 1350, as adopted pursuant to Section 906 of the Sarbanes-Oxley Act of 2002.</w:t>
            </w:r>
          </w:p>
        </w:tc>
        <w:tc>
          <w:tcPr>
            <w:tcW w:w="4040" w:type="dxa"/>
            <w:vAlign w:val="bottom"/>
            <w:tcBorders>
              <w:bottom w:val="single" w:sz="8" w:color="CFF0FC"/>
            </w:tcBorders>
            <w:gridSpan w:val="4"/>
            <w:shd w:val="clear" w:color="auto" w:fill="CFF0FC"/>
          </w:tcPr>
          <w:p>
            <w:pPr>
              <w:spacing w:after="0"/>
              <w:rPr>
                <w:sz w:val="10"/>
                <w:szCs w:val="10"/>
                <w:color w:val="auto"/>
              </w:rPr>
            </w:pPr>
          </w:p>
        </w:tc>
      </w:tr>
      <w:tr>
        <w:trPr>
          <w:trHeight w:val="144"/>
        </w:trPr>
        <w:tc>
          <w:tcPr>
            <w:tcW w:w="14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101.SCH #</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144"/>
        </w:trPr>
        <w:tc>
          <w:tcPr>
            <w:tcW w:w="144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101.CAL #</w:t>
            </w:r>
          </w:p>
        </w:tc>
        <w:tc>
          <w:tcPr>
            <w:tcW w:w="98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144"/>
        </w:trPr>
        <w:tc>
          <w:tcPr>
            <w:tcW w:w="14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101.LAB #</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144"/>
        </w:trPr>
        <w:tc>
          <w:tcPr>
            <w:tcW w:w="1440" w:type="dxa"/>
            <w:vAlign w:val="bottom"/>
            <w:gridSpan w:val="4"/>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101.PRE #</w:t>
            </w:r>
          </w:p>
        </w:tc>
        <w:tc>
          <w:tcPr>
            <w:tcW w:w="98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r>
        <w:trPr>
          <w:trHeight w:val="144"/>
        </w:trPr>
        <w:tc>
          <w:tcPr>
            <w:tcW w:w="14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101.DEF #</w:t>
            </w:r>
          </w:p>
        </w:tc>
        <w:tc>
          <w:tcPr>
            <w:tcW w:w="9860" w:type="dxa"/>
            <w:vAlign w:val="bottom"/>
            <w:gridSpan w:val="7"/>
          </w:tcPr>
          <w:p>
            <w:pPr>
              <w:ind w:left="20"/>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144"/>
        </w:trPr>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104 #</w:t>
            </w:r>
          </w:p>
        </w:tc>
        <w:tc>
          <w:tcPr>
            <w:tcW w:w="4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with applicable taxonomy extension information contained in Exhibits 101)</w:t>
            </w:r>
          </w:p>
        </w:tc>
      </w:tr>
      <w:tr>
        <w:trPr>
          <w:trHeight w:val="90"/>
        </w:trPr>
        <w:tc>
          <w:tcPr>
            <w:tcW w:w="3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1" w:lineRule="exact"/>
        <w:rPr>
          <w:sz w:val="20"/>
          <w:szCs w:val="20"/>
          <w:color w:val="auto"/>
        </w:rPr>
      </w:pPr>
    </w:p>
    <w:p>
      <w:pPr>
        <w:ind w:left="568" w:hanging="568"/>
        <w:spacing w:after="0"/>
        <w:tabs>
          <w:tab w:leader="none" w:pos="56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78" w:lineRule="exact"/>
        <w:rPr>
          <w:sz w:val="20"/>
          <w:szCs w:val="20"/>
          <w:color w:val="auto"/>
        </w:rPr>
      </w:pPr>
    </w:p>
    <w:p>
      <w:pPr>
        <w:ind w:left="568" w:hanging="568"/>
        <w:spacing w:after="0"/>
        <w:tabs>
          <w:tab w:leader="none" w:pos="56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Furnished herewith.</w:t>
      </w:r>
    </w:p>
    <w:p>
      <w:pPr>
        <w:spacing w:after="0" w:line="78" w:lineRule="exact"/>
        <w:rPr>
          <w:sz w:val="20"/>
          <w:szCs w:val="20"/>
          <w:color w:val="auto"/>
        </w:rPr>
      </w:pPr>
    </w:p>
    <w:p>
      <w:pPr>
        <w:ind w:left="568" w:hanging="568"/>
        <w:spacing w:after="0"/>
        <w:tabs>
          <w:tab w:leader="none" w:pos="56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a management contract or any compensatory plan, contract or arrangement.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39" w:name="page40"/>
    <w:bookmarkEnd w:id="39"/>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2"/>
          <w:szCs w:val="12"/>
          <w:color w:val="auto"/>
        </w:rPr>
        <w:t>ALKERMES PLC</w:t>
      </w:r>
    </w:p>
    <w:p>
      <w:pPr>
        <w:spacing w:after="0" w:line="15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2"/>
          <w:szCs w:val="12"/>
          <w:color w:val="auto"/>
        </w:rPr>
        <w:t>(Registrant)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00" w:type="dxa"/>
            <w:vAlign w:val="bottom"/>
          </w:tcPr>
          <w:p>
            <w:pPr>
              <w:ind w:left="3380"/>
              <w:spacing w:after="0"/>
              <w:rPr>
                <w:sz w:val="20"/>
                <w:szCs w:val="20"/>
                <w:color w:val="auto"/>
              </w:rPr>
            </w:pPr>
            <w:r>
              <w:rPr>
                <w:rFonts w:ascii="Times New Roman" w:cs="Times New Roman" w:eastAsia="Times New Roman" w:hAnsi="Times New Roman"/>
                <w:sz w:val="12"/>
                <w:szCs w:val="12"/>
                <w:color w:val="auto"/>
              </w:rPr>
              <w:t>By:</w:t>
            </w: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/s/ Richard F. Pops</w:t>
            </w:r>
          </w:p>
        </w:tc>
      </w:tr>
      <w:tr>
        <w:trPr>
          <w:trHeight w:val="122"/>
        </w:trPr>
        <w:tc>
          <w:tcPr>
            <w:tcW w:w="3700" w:type="dxa"/>
            <w:vAlign w:val="bottom"/>
          </w:tcPr>
          <w:p>
            <w:pPr>
              <w:spacing w:after="0"/>
              <w:rPr>
                <w:sz w:val="10"/>
                <w:szCs w:val="10"/>
                <w:color w:val="auto"/>
              </w:rPr>
            </w:pPr>
          </w:p>
        </w:tc>
        <w:tc>
          <w:tcPr>
            <w:tcW w:w="4960" w:type="dxa"/>
            <w:vAlign w:val="bottom"/>
          </w:tcPr>
          <w:p>
            <w:pPr>
              <w:ind w:left="140"/>
              <w:spacing w:after="0" w:line="122" w:lineRule="exact"/>
              <w:rPr>
                <w:sz w:val="20"/>
                <w:szCs w:val="20"/>
                <w:color w:val="auto"/>
              </w:rPr>
            </w:pPr>
            <w:r>
              <w:rPr>
                <w:rFonts w:ascii="Times New Roman" w:cs="Times New Roman" w:eastAsia="Times New Roman" w:hAnsi="Times New Roman"/>
                <w:sz w:val="12"/>
                <w:szCs w:val="12"/>
                <w:color w:val="auto"/>
              </w:rPr>
              <w:t>Richard F. Pops</w:t>
            </w:r>
          </w:p>
        </w:tc>
      </w:tr>
      <w:tr>
        <w:trPr>
          <w:trHeight w:val="144"/>
        </w:trPr>
        <w:tc>
          <w:tcPr>
            <w:tcW w:w="3700" w:type="dxa"/>
            <w:vAlign w:val="bottom"/>
          </w:tcPr>
          <w:p>
            <w:pPr>
              <w:spacing w:after="0"/>
              <w:rPr>
                <w:sz w:val="12"/>
                <w:szCs w:val="12"/>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Chairman and Chief Executive Officer</w:t>
            </w:r>
          </w:p>
        </w:tc>
      </w:tr>
      <w:tr>
        <w:trPr>
          <w:trHeight w:val="155"/>
        </w:trPr>
        <w:tc>
          <w:tcPr>
            <w:tcW w:w="3700" w:type="dxa"/>
            <w:vAlign w:val="bottom"/>
          </w:tcPr>
          <w:p>
            <w:pPr>
              <w:spacing w:after="0"/>
              <w:rPr>
                <w:sz w:val="13"/>
                <w:szCs w:val="13"/>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432"/>
        </w:trPr>
        <w:tc>
          <w:tcPr>
            <w:tcW w:w="3700" w:type="dxa"/>
            <w:vAlign w:val="bottom"/>
          </w:tcPr>
          <w:p>
            <w:pPr>
              <w:ind w:left="3380"/>
              <w:spacing w:after="0"/>
              <w:rPr>
                <w:sz w:val="20"/>
                <w:szCs w:val="20"/>
                <w:color w:val="auto"/>
              </w:rPr>
            </w:pPr>
            <w:r>
              <w:rPr>
                <w:rFonts w:ascii="Times New Roman" w:cs="Times New Roman" w:eastAsia="Times New Roman" w:hAnsi="Times New Roman"/>
                <w:sz w:val="12"/>
                <w:szCs w:val="12"/>
                <w:color w:val="auto"/>
              </w:rPr>
              <w:t>By:</w:t>
            </w:r>
          </w:p>
        </w:tc>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/s/ Iain M. Brown</w:t>
            </w:r>
          </w:p>
        </w:tc>
      </w:tr>
      <w:tr>
        <w:trPr>
          <w:trHeight w:val="122"/>
        </w:trPr>
        <w:tc>
          <w:tcPr>
            <w:tcW w:w="3700" w:type="dxa"/>
            <w:vAlign w:val="bottom"/>
          </w:tcPr>
          <w:p>
            <w:pPr>
              <w:spacing w:after="0"/>
              <w:rPr>
                <w:sz w:val="10"/>
                <w:szCs w:val="10"/>
                <w:color w:val="auto"/>
              </w:rPr>
            </w:pPr>
          </w:p>
        </w:tc>
        <w:tc>
          <w:tcPr>
            <w:tcW w:w="4960" w:type="dxa"/>
            <w:vAlign w:val="bottom"/>
          </w:tcPr>
          <w:p>
            <w:pPr>
              <w:ind w:left="140"/>
              <w:spacing w:after="0" w:line="122" w:lineRule="exact"/>
              <w:rPr>
                <w:sz w:val="20"/>
                <w:szCs w:val="20"/>
                <w:color w:val="auto"/>
              </w:rPr>
            </w:pPr>
            <w:r>
              <w:rPr>
                <w:rFonts w:ascii="Times New Roman" w:cs="Times New Roman" w:eastAsia="Times New Roman" w:hAnsi="Times New Roman"/>
                <w:sz w:val="12"/>
                <w:szCs w:val="12"/>
                <w:color w:val="auto"/>
              </w:rPr>
              <w:t>Iain M. Brown</w:t>
            </w:r>
          </w:p>
        </w:tc>
      </w:tr>
      <w:tr>
        <w:trPr>
          <w:trHeight w:val="144"/>
        </w:trPr>
        <w:tc>
          <w:tcPr>
            <w:tcW w:w="3700" w:type="dxa"/>
            <w:vAlign w:val="bottom"/>
          </w:tcPr>
          <w:p>
            <w:pPr>
              <w:spacing w:after="0"/>
              <w:rPr>
                <w:sz w:val="12"/>
                <w:szCs w:val="12"/>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Senior Vice President, Chief Financial Officer</w:t>
            </w:r>
          </w:p>
        </w:tc>
      </w:tr>
      <w:tr>
        <w:trPr>
          <w:trHeight w:val="155"/>
        </w:trPr>
        <w:tc>
          <w:tcPr>
            <w:tcW w:w="3700" w:type="dxa"/>
            <w:vAlign w:val="bottom"/>
          </w:tcPr>
          <w:p>
            <w:pPr>
              <w:spacing w:after="0"/>
              <w:rPr>
                <w:sz w:val="13"/>
                <w:szCs w:val="13"/>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(Principal Financial Officer and Principal Accounting Officer)</w:t>
            </w:r>
          </w:p>
        </w:tc>
      </w:tr>
      <w:tr>
        <w:trPr>
          <w:trHeight w:val="288"/>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Date: July 27, 2022</w:t>
            </w:r>
          </w:p>
        </w:tc>
        <w:tc>
          <w:tcPr>
            <w:tcW w:w="4960" w:type="dxa"/>
            <w:vAlign w:val="bottom"/>
          </w:tcPr>
          <w:p>
            <w:pPr>
              <w:spacing w:after="0"/>
              <w:rPr>
                <w:sz w:val="24"/>
                <w:szCs w:val="24"/>
                <w:color w:val="auto"/>
              </w:rPr>
            </w:pPr>
          </w:p>
        </w:tc>
      </w:tr>
      <w:tr>
        <w:trPr>
          <w:trHeight w:val="432"/>
        </w:trPr>
        <w:tc>
          <w:tcPr>
            <w:tcW w:w="3700" w:type="dxa"/>
            <w:vAlign w:val="bottom"/>
          </w:tcPr>
          <w:p>
            <w:pPr>
              <w:spacing w:after="0"/>
              <w:rPr>
                <w:sz w:val="24"/>
                <w:szCs w:val="24"/>
                <w:color w:val="auto"/>
              </w:rPr>
            </w:pPr>
          </w:p>
        </w:tc>
        <w:tc>
          <w:tcPr>
            <w:tcW w:w="49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40</w:t>
            </w:r>
          </w:p>
        </w:tc>
      </w:tr>
    </w:tbl>
    <w:p>
      <w:pPr>
        <w:sectPr>
          <w:pgSz w:w="11900" w:h="16838" w:orient="portrait"/>
          <w:cols w:equalWidth="0" w:num="1">
            <w:col w:w="10159"/>
          </w:cols>
          <w:pgMar w:left="300" w:top="413"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2"/>
          <w:szCs w:val="1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2"/>
          <w:szCs w:val="12"/>
          <w:b w:val="1"/>
          <w:bCs w:val="1"/>
          <w:color w:val="auto"/>
        </w:rPr>
        <w:t>Companies Act 2014</w:t>
      </w:r>
    </w:p>
    <w:p>
      <w:pPr>
        <w:spacing w:after="0" w:line="200" w:lineRule="exact"/>
        <w:rPr>
          <w:sz w:val="20"/>
          <w:szCs w:val="20"/>
          <w:color w:val="auto"/>
        </w:rPr>
      </w:pPr>
    </w:p>
    <w:p>
      <w:pPr>
        <w:spacing w:after="0" w:line="23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2"/>
          <w:szCs w:val="12"/>
          <w:b w:val="1"/>
          <w:bCs w:val="1"/>
          <w:color w:val="auto"/>
        </w:rPr>
        <w:t>A PUBLIC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470535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CONSTITUTION</w:t>
      </w:r>
    </w:p>
    <w:p>
      <w:pPr>
        <w:spacing w:after="0" w:line="1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of</w:t>
      </w:r>
    </w:p>
    <w:p>
      <w:pPr>
        <w:spacing w:after="0" w:line="15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2"/>
          <w:szCs w:val="12"/>
          <w:b w:val="1"/>
          <w:bCs w:val="1"/>
          <w:color w:val="auto"/>
        </w:rPr>
        <w:t>ALKERMES PUBLIC LIMITED COMPANY</w:t>
      </w:r>
    </w:p>
    <w:p>
      <w:pPr>
        <w:spacing w:after="0" w:line="37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2"/>
          <w:szCs w:val="12"/>
          <w:b w:val="1"/>
          <w:bCs w:val="1"/>
          <w:color w:val="auto"/>
        </w:rPr>
        <w:t>(amended and restated by Special Resolution dated 13 May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207645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2"/>
          <w:szCs w:val="12"/>
          <w:b w:val="1"/>
          <w:bCs w:val="1"/>
          <w:color w:val="auto"/>
        </w:rPr>
        <w:t>Incorporated 4 May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201930</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-741045</wp:posOffset>
            </wp:positionH>
            <wp:positionV relativeFrom="paragraph">
              <wp:posOffset>1749425</wp:posOffset>
            </wp:positionV>
            <wp:extent cx="72148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1" w:name="page42"/>
    <w:bookmarkEnd w:id="4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Companies Act 2014</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 PUBLIC LIMITED COMPANY</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MEMORANDUM OF ASSOCIATION</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of</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ALKERMES PUBLIC LIMITED COMPANY</w:t>
      </w:r>
    </w:p>
    <w:p>
      <w:pPr>
        <w:spacing w:after="0" w:line="298" w:lineRule="exact"/>
        <w:rPr>
          <w:sz w:val="20"/>
          <w:szCs w:val="20"/>
          <w:color w:val="auto"/>
        </w:rPr>
      </w:pPr>
    </w:p>
    <w:p>
      <w:pPr>
        <w:ind w:left="908" w:hanging="908"/>
        <w:spacing w:after="0"/>
        <w:tabs>
          <w:tab w:leader="none" w:pos="9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the Company is Alkermes public limited company.</w:t>
      </w:r>
    </w:p>
    <w:p>
      <w:pPr>
        <w:spacing w:after="0" w:line="150"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registered office of the Company shall be at Connaught House, 1 Burlington Road, Dublin 4 or at such other place as the Board may from time to time decide.</w:t>
      </w:r>
    </w:p>
    <w:p>
      <w:pPr>
        <w:spacing w:after="0" w:line="150"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a public limited company deemed to be a PLC to which Part 17 of the Companies Act 2014 applies.</w:t>
      </w:r>
    </w:p>
    <w:p>
      <w:pPr>
        <w:spacing w:after="0" w:line="150"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objects for which the Company is established are:</w:t>
      </w:r>
    </w:p>
    <w:p>
      <w:pPr>
        <w:spacing w:after="0" w:line="200" w:lineRule="exact"/>
        <w:rPr>
          <w:rFonts w:ascii="Times New Roman" w:cs="Times New Roman" w:eastAsia="Times New Roman" w:hAnsi="Times New Roman"/>
          <w:sz w:val="12"/>
          <w:szCs w:val="12"/>
          <w:color w:val="auto"/>
        </w:rPr>
      </w:pPr>
    </w:p>
    <w:p>
      <w:pPr>
        <w:spacing w:after="0" w:line="382" w:lineRule="exact"/>
        <w:rPr>
          <w:rFonts w:ascii="Times New Roman" w:cs="Times New Roman" w:eastAsia="Times New Roman" w:hAnsi="Times New Roman"/>
          <w:sz w:val="12"/>
          <w:szCs w:val="12"/>
          <w:color w:val="auto"/>
        </w:rPr>
      </w:pPr>
    </w:p>
    <w:p>
      <w:pPr>
        <w:jc w:val="both"/>
        <w:ind w:left="2028" w:hanging="903"/>
        <w:spacing w:after="0" w:line="260" w:lineRule="auto"/>
        <w:tabs>
          <w:tab w:leader="none" w:pos="2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carry on all or any of the businesses of manufacturers, buyers, sellers, and distributing agents of and dealers in all kinds of patent, pharmaceutical, medicinal, and medicated preparations, patent medicines, drugs, herbs, and of and in pharmaceutical, medicinal, proprietary and industrial preparations, compounds, and articles of all kinds; and to manufacture, make up, prepare, buy, sell, and deal in all articles, substances, and things commonly or conveniently used in or for making up, preparing, or packing any of the products in which the Company is authorised to deal, or which may be required by customers of or persons having dealings with the Company.</w:t>
      </w:r>
    </w:p>
    <w:p>
      <w:pPr>
        <w:spacing w:after="0" w:line="122" w:lineRule="exact"/>
        <w:rPr>
          <w:rFonts w:ascii="Times New Roman" w:cs="Times New Roman" w:eastAsia="Times New Roman" w:hAnsi="Times New Roman"/>
          <w:sz w:val="12"/>
          <w:szCs w:val="12"/>
          <w:color w:val="auto"/>
        </w:rPr>
      </w:pPr>
    </w:p>
    <w:p>
      <w:pPr>
        <w:ind w:left="2028" w:hanging="903"/>
        <w:spacing w:after="0"/>
        <w:tabs>
          <w:tab w:leader="none" w:pos="2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establish, maintain and operate laboratories for the purpose of carrying on chemical, physical and other research in medicine, chemistry, industry or other unrelated or related fields.</w:t>
      </w:r>
    </w:p>
    <w:p>
      <w:pPr>
        <w:spacing w:after="0" w:line="150" w:lineRule="exact"/>
        <w:rPr>
          <w:rFonts w:ascii="Times New Roman" w:cs="Times New Roman" w:eastAsia="Times New Roman" w:hAnsi="Times New Roman"/>
          <w:sz w:val="12"/>
          <w:szCs w:val="12"/>
          <w:color w:val="auto"/>
        </w:rPr>
      </w:pPr>
    </w:p>
    <w:p>
      <w:pPr>
        <w:jc w:val="both"/>
        <w:ind w:left="2028" w:hanging="903"/>
        <w:spacing w:after="0" w:line="260" w:lineRule="auto"/>
        <w:tabs>
          <w:tab w:leader="none" w:pos="2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its branches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Company’s Board and to exercise its powers as a shareholder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163195</wp:posOffset>
            </wp:positionV>
            <wp:extent cx="72148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548"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4"/>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4.2</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acquire and hold shares, stocks, debenture stock, bonds, mortgages, obligations and securities and interests of any kind issued or guaranteed by any company, corporation or undertaking of whatever</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nature and wherever constituted or carrying on business, whether in Ireland or elsewhere, and to vary, transpose, dispose of or otherwise deal with, from time to time as may be considered expedient, any of</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Company’s investments for the time being.</w:t>
            </w:r>
          </w:p>
        </w:tc>
      </w:tr>
      <w:tr>
        <w:trPr>
          <w:trHeight w:val="277"/>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4.3</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acquire any such shares and other securities as are mentioned in the preceding paragraph by subscription, syndicate participation, tender, purchase, exchange or otherwise and to subscribe for the same,</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either conditionally or otherwise, and to guarantee the subscription thereof and to exercise and enforce all rights and powers conferred by or incident to the ownership thereof.</w:t>
            </w:r>
          </w:p>
        </w:tc>
      </w:tr>
      <w:tr>
        <w:trPr>
          <w:trHeight w:val="288"/>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4.4</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lease, acquire by purchase or otherwise and hold, sell, dispose of and deal in real property and in personal property of all kinds wheresoever situated.</w:t>
            </w:r>
          </w:p>
        </w:tc>
      </w:tr>
      <w:tr>
        <w:trPr>
          <w:trHeight w:val="277"/>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4.5</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enter into any guarantee, contract of indemnity or suretyship and to assure, support or secure with or without consideration or benefit the performance of any obligations of any person or persons and to</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guarantee the fidelity of individuals filling or about to fill situations of trust or confidence.</w:t>
            </w:r>
          </w:p>
        </w:tc>
      </w:tr>
      <w:tr>
        <w:trPr>
          <w:trHeight w:val="288"/>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4.6</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acquire or undertake the whole or any part of the business, property and liabilities of any person carrying on any business that the Company is authorised to carry on.</w:t>
            </w:r>
          </w:p>
        </w:tc>
      </w:tr>
      <w:tr>
        <w:trPr>
          <w:trHeight w:val="277"/>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4.7</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apply for, register, purchase, lease, acquire, hold, use, control, licence, sell, assign or dispose of patents, patent rights, copyrights, trade marks, formulae, licences, inventions, processes, distinctive marks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and similar rights.</w:t>
            </w:r>
          </w:p>
        </w:tc>
      </w:tr>
      <w:tr>
        <w:trPr>
          <w:trHeight w:val="277"/>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4.8</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enter into partnership or into any arrangement for sharing of profits, union of interests, co-operation, joint venture, reciprocal concession or otherwise with any person carrying on or engaged in or about to</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carry on or engage in any business or transaction that the Company is authorised to carry on or engage in or any business or transaction capable of being conducted so as to benefit the Company.</w:t>
            </w:r>
          </w:p>
        </w:tc>
      </w:tr>
      <w:tr>
        <w:trPr>
          <w:trHeight w:val="277"/>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4.9</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take or otherwise acquire and hold securities in any other body corporate having objects altogether or in part similar to those of the Company or carrying on any business capable of being conducted so as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benefit the Company.</w:t>
            </w:r>
          </w:p>
        </w:tc>
      </w:tr>
      <w:tr>
        <w:trPr>
          <w:trHeight w:val="277"/>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4.10</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lend money to any employee or to any person having dealings with the Company or with whom the Company proposes to have dealings or to any other body corporate any of whose shares are held by the</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Company.</w:t>
            </w:r>
          </w:p>
        </w:tc>
      </w:tr>
      <w:tr>
        <w:trPr>
          <w:trHeight w:val="277"/>
        </w:trPr>
        <w:tc>
          <w:tcPr>
            <w:tcW w:w="10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4.11</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apply for, secure or acquire by grant, legislative enactment, assignment, transfer, purchase or otherwise and to exercise, carry out and enjoy any charter, licence, power, authority, franchise, concession,</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right or privilege, that any government or authority or any body corporate or other public body may be empowered to grant, and to pay for, aid in and contribute toward carrying it into effect and to assume</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any liabilities or obligations incidental thereto and to enter into any arrangements with any governments or authorities, supreme, municipal, local or otherwise, that may seem conducive to the Company’s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objects or any of them.</w:t>
            </w:r>
          </w:p>
        </w:tc>
      </w:tr>
      <w:tr>
        <w:trPr>
          <w:trHeight w:val="288"/>
        </w:trPr>
        <w:tc>
          <w:tcPr>
            <w:tcW w:w="10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64"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55"/>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4.12</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perform any duty or duties imposed on the Company by or under any enactment and to exercise any power conferred on the Company by or under any enactment.</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4.13</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incorporate or cause to be incorporated any one or more subsidiaries of the Company (within the meaning of the Companies Act 2014) for the purpose of carrying on any business.</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4.14</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establish and support or aid in the establishment and support of associations, institutions, funds or trusts for the benefit of employees, directors and/or consultants or former employees, directors and/or</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consultants of the Company or its predecessors or any of its subsidiary or associated companies, or the dependants or connections of such employees, directors and/or consultants or former employees,</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directors and/or consultants and grant gratuities, pensions and allowances, including the establishment of share option schemes, enabling employees, directors and/or consultants of the Company or other</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persons aforesaid to become shareholders in the Company, or otherwise to participate in the profits of the Company upon such terms and in such manner as the Company thinks fit, and to make payments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towards insurance or for any object similar to those set forth in this paragraph.</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4.15</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establish and contribute to any scheme for the purchase by trustees of Shares in the Company to be held for the benefit of the Company’s employees or the employees of any of its subsidiary or associated</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companies and to lend or otherwise provide money to the trustees of such schemes or the Company’s employees or the employees of any of its subsidiary or associated companies to enable them to purchase</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Shares of the Company.</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4.16</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grant bonuses to any person or persons who are or have been in the employment of the Company or any of its subsidiary or associated companies or any person or persons who are or have been directors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of, or consultants to, the Company or any of its subsidiary or associated companies.</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4.17</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establish any scheme or otherwise to provide for the purchase by or on behalf of customers of the Company of shares in the Company.</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4.18</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subscribe or guarantee money for charitable, benevolent or educational objects or for any exhibition or for any public, general or useful objects.</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4.19</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promote any company for the purpose of acquiring or taking over any of the property and liabilities of the Company or for any other purpose that may benefit the Company.</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4.20</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purchase, lease, take in exchange, hire or otherwise acquire any personal property and any rights or privileges that the Company considers necessary or convenient for the purposes of its business.</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4.21</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construct, maintain, alter, renovate and demolish any buildings or works necessary or convenient for its objects.</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4.22</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construct, improve, maintain, work, manage, carry out or control any roads, ways, tramways, branches or sidings, bridges, reservoirs, watercourses, wharves, factories, warehouses, electric works, shops,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stores and other works and conveniences that may advance the interests of the Company and contribute to, subsidise or otherwise assist or</w:t>
            </w:r>
          </w:p>
        </w:tc>
      </w:tr>
      <w:tr>
        <w:trPr>
          <w:trHeight w:val="288"/>
        </w:trPr>
        <w:tc>
          <w:tcPr>
            <w:tcW w:w="10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64" w:right="2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take part in the construction, improvement, maintenance, working, management and carrying out of control thereof.</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4.23</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raise and assist in raising money for, and aid by way of bonus, loan, promise, endorsement, guarantee or otherwise, any person and guarantee the performance or fulfilment of any contracts or obligations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of any person, and in particular guarantee the payment of the principal of and interest on the debt obligations of any such person.</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4.24</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guarantee, support, secure, whether by personal covenant or by mortgaging or charging all or any part of the undertaking, property and assets (both present and future) and uncalled capital of the</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Company, or by both such methods, the performance of the obligations of, and the repayment or payment of the principal amounts of and premiums, interest and dividends on any securities of, any person,</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firm, or company including (without prejudice to the generality of the foregoing) any company which is for the time being the Company’s holding company as defined by the Companies Act 2014, or a</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subsidiary as therein defined of any such holding company or otherwise associated by the Company in business.</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4.25</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borrow or secure the payment of money in such manner as the Company shall think fit, and in particular by the issue of debentures, debenture stocks, bonds, obligations and securities of all kinds, either</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perpetual or terminable and either redeemable or otherwise and to secure the repayment of any money borrowed, raised or owing by trust deed, mortgage, charge, or lien upon the whole or any part of the</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Company’s property or assets (whether present or future) including its uncalled capital, and also by a similar trust deed, mortgage, charge or lien to secure and guarantee the performance by the Company of</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any obligation or liability it may undertake.</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4.26</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engage in currency exchange, interest rate and/or commodity or index linked transactions (whether in connection with or incidental to any other contract, undertaking or business entered into or carried on</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by the Company or whether as an independent object or activity) including, but not limited to, dealings in foreign currency, spot and forward rate exchange contracts, futures, options, forward rate</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agreements, swaps, caps, floors, collars, commodity or index linked swaps and any other foreign exchange, interest rate or commodity or index linked arrangements and such other instruments as are similar</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or derive from any of the foregoing whether for the purpose of making a profit or avoiding a loss or managing a currency or interest rate exposure or any other purpose and to enter into any contract for and</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exercise and enforce all rights and powers conferred by or incidental, directly or indirectly, to such transactions or termination of any such transactions.</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4.27</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remunerate any person or company for services rendered or to be rendered in placing or assisting to place or guaranteeing the placing of any of the shares of the Company’s capital or any debentures,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debenture stock or other securities of the Company or in or about the formation or promotion of the Company or the conduct of its business.</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4.28</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draw, make, accept, endorse, discount, execute and issue bills of exchange, promissory notes, bills of lading, warrants and other negotiable or transferable instruments.</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4.29</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sell, lease, exchange or otherwise dispose of the undertaking of the Company or any part thereof as an entirety or substantially as an entirety for such consideration as the Company thinks fit.</w:t>
            </w:r>
          </w:p>
        </w:tc>
      </w:tr>
      <w:tr>
        <w:trPr>
          <w:trHeight w:val="288"/>
        </w:trPr>
        <w:tc>
          <w:tcPr>
            <w:tcW w:w="10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64" w:right="2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55"/>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4.30</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sell, improve, manage, develop, exchange, lease, dispose of, turn to account or otherwise deal with the property of the Company in the ordinary course of its business.</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4.31</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adopt such means of making known the products of the Company as may seem expedient, and in particular by advertising, by purchase and exhibition of works of art or interest, by publication of books</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and periodicals and by granting prizes and rewards and making donations.</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4.32</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cause the Company to be registered and recognised in any foreign jurisdiction, and designate persons therein according to the laws of that foreign jurisdiction or to represent the Company and to accept</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service for and on behalf of the Company of any process or suit.</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4.33</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allot and issue fully-paid shares of the Company in payment or part payment of any property purchased or otherwise acquired by the Company or for any past services performed for the Company.</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4.34</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distribute among the Members of the Company in cash, kind, specie or otherwise as may be resolved, by way of dividend, bonus or in any other manner considered advisable, any property of the</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Company, but not so as to decrease the capital of the Company unless the distribution is made for the purpose of enabling the Company to be dissolved or the distribution, apart from this paragraph, would be</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otherwise lawful.</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4.35</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promote freedom of contract, and to resist, insure against, counteract and discourage interference therewith, to join any lawful federation, union or association or do any other lawful act or thing with a</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view to preventing or resisting directly or indirectly any interruption of or interference with the Company’s or any other trade or business or providing or safeguarding against the same, or resisting strike,</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movement or organisation, which may be thought detrimental to the interests or opposing any of the Company or its employees and to subscribe to any association or fund for any such purposes.</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4.36</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make or receive gifts by way of capital contribution or otherwise.</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4.37</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establish agencies and branches.</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4.38</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take or hold mortgages, hypothecations, liens and charges to secure payment of the purchase price, or of any unpaid balance of the purchase price, of any part of the property of the Company of</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whatsoever kind sold by the Company, or for any money due to the Company from purchasers and others and to sell or otherwise dispose of any such mortgage, hypothec, lien or charge.</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4.39</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pay all costs and expenses of or incidental to the incorporation and organization of the Company.</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4.40</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invest and deal with the monies of the Company not immediately required for the objects of the Company in such manner as may be determined.</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4.41</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do any of the things authorised by this memorandum as principals, agents, contractors, trustees or otherwise, and either alone or in conjunction with others.</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4.42</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 do all such other things as are incidental or conducive to the attainment of the objects and the exercise of the powers of the Company.</w:t>
            </w:r>
          </w:p>
        </w:tc>
      </w:tr>
      <w:tr>
        <w:trPr>
          <w:trHeight w:val="288"/>
        </w:trPr>
        <w:tc>
          <w:tcPr>
            <w:tcW w:w="10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64" w:right="279" w:bottom="1440" w:gutter="0" w:footer="0" w:header="0"/>
        </w:sectPr>
      </w:pPr>
    </w:p>
    <w:bookmarkStart w:id="46" w:name="page47"/>
    <w:bookmarkEnd w:id="46"/>
    <w:p>
      <w:pPr>
        <w:jc w:val="both"/>
        <w:ind w:left="448"/>
        <w:spacing w:after="0" w:line="260" w:lineRule="auto"/>
        <w:rPr>
          <w:sz w:val="20"/>
          <w:szCs w:val="20"/>
          <w:color w:val="auto"/>
        </w:rPr>
      </w:pPr>
      <w:r>
        <w:rPr>
          <w:rFonts w:ascii="Times New Roman" w:cs="Times New Roman" w:eastAsia="Times New Roman" w:hAnsi="Times New Roman"/>
          <w:sz w:val="12"/>
          <w:szCs w:val="12"/>
          <w:color w:val="auto"/>
        </w:rPr>
        <w:t>The objects set forth in any sub-clause of this clause shall be regarded as independent objects and shall not, except, where the context expressly so requires, be in any way limited or restricted by reference to or inference from the terms of any other sub-clause,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spacing w:after="0" w:line="266" w:lineRule="exact"/>
        <w:rPr>
          <w:sz w:val="20"/>
          <w:szCs w:val="20"/>
          <w:color w:val="auto"/>
        </w:rPr>
      </w:pPr>
    </w:p>
    <w:p>
      <w:pPr>
        <w:ind w:left="908" w:hanging="908"/>
        <w:spacing w:after="0"/>
        <w:tabs>
          <w:tab w:leader="none" w:pos="9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liability of each Member is limited to the amount from time to time unpaid on such Member’s Shares.</w:t>
      </w:r>
    </w:p>
    <w:p>
      <w:pPr>
        <w:spacing w:after="0" w:line="150"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authorised share capital of the Company is €40,000 and US$5,000,000 divided into 40,000 ordinary shares of €1.00 each, 450,000,000 ordinary shares of US$0.01 each and 50,000,000 undesignated preferred shares of US$0.01 each.</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122"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Capitalised terms that are not defined in this memorandum of association bear the same meaning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729615</wp:posOffset>
            </wp:positionV>
            <wp:extent cx="72148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47" w:name="page48"/>
    <w:bookmarkEnd w:id="4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Companies Act 2014</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 PUBLIC LIMITED COMPANY</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ARTICLES OF ASSOCIATION</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of</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ALKERMES PUBLIC LIMITED COMPANY</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(amended and restated by Special Resolution dated 13 May 2022)</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PRELIMINARY</w:t>
      </w:r>
    </w:p>
    <w:p>
      <w:pPr>
        <w:spacing w:after="0" w:line="154" w:lineRule="exact"/>
        <w:rPr>
          <w:sz w:val="20"/>
          <w:szCs w:val="20"/>
          <w:color w:val="auto"/>
        </w:rPr>
      </w:pPr>
    </w:p>
    <w:p>
      <w:pPr>
        <w:ind w:left="908" w:hanging="908"/>
        <w:spacing w:after="0" w:line="279" w:lineRule="auto"/>
        <w:tabs>
          <w:tab w:leader="none" w:pos="90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set out in these articles of association shall constitute the whole of the regulations applicable to the Company and no “optional provision” as defined by section 1007(2) of the Companies Acts (with the exception of sections 83 and 84) shall apply to the Company</w:t>
      </w:r>
      <w:r>
        <w:rPr>
          <w:rFonts w:ascii="Times New Roman" w:cs="Times New Roman" w:eastAsia="Times New Roman" w:hAnsi="Times New Roman"/>
          <w:sz w:val="12"/>
          <w:szCs w:val="12"/>
          <w:b w:val="1"/>
          <w:bCs w:val="1"/>
          <w:color w:val="auto"/>
        </w:rPr>
        <w:t>.</w:t>
      </w:r>
    </w:p>
    <w:p>
      <w:pPr>
        <w:spacing w:after="0" w:line="399" w:lineRule="exact"/>
        <w:rPr>
          <w:sz w:val="20"/>
          <w:szCs w:val="20"/>
          <w:color w:val="auto"/>
        </w:rPr>
      </w:pPr>
    </w:p>
    <w:p>
      <w:pPr>
        <w:ind w:left="448"/>
        <w:spacing w:after="0"/>
        <w:tabs>
          <w:tab w:leader="none" w:pos="1328"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1"/>
          <w:szCs w:val="11"/>
          <w:color w:val="auto"/>
        </w:rPr>
        <w:t>In these Articles:</w:t>
      </w:r>
    </w:p>
    <w:p>
      <w:pPr>
        <w:spacing w:after="0" w:line="146" w:lineRule="exact"/>
        <w:rPr>
          <w:sz w:val="20"/>
          <w:szCs w:val="20"/>
          <w:color w:val="auto"/>
        </w:rPr>
      </w:pPr>
    </w:p>
    <w:p>
      <w:pPr>
        <w:ind w:left="908" w:right="2440"/>
        <w:spacing w:after="0" w:line="50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Address</w:t>
      </w:r>
      <w:r>
        <w:rPr>
          <w:rFonts w:ascii="Times New Roman" w:cs="Times New Roman" w:eastAsia="Times New Roman" w:hAnsi="Times New Roman"/>
          <w:sz w:val="12"/>
          <w:szCs w:val="12"/>
          <w:color w:val="auto"/>
        </w:rPr>
        <w:t>” includes, without limitation, any number or address used for the purposes of communication by way of electronic mail or other electronic communication; “</w:t>
      </w:r>
      <w:r>
        <w:rPr>
          <w:rFonts w:ascii="Times New Roman" w:cs="Times New Roman" w:eastAsia="Times New Roman" w:hAnsi="Times New Roman"/>
          <w:sz w:val="12"/>
          <w:szCs w:val="12"/>
          <w:b w:val="1"/>
          <w:bCs w:val="1"/>
          <w:color w:val="auto"/>
        </w:rPr>
        <w:t>Articles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Articles of Association</w:t>
      </w:r>
      <w:r>
        <w:rPr>
          <w:rFonts w:ascii="Times New Roman" w:cs="Times New Roman" w:eastAsia="Times New Roman" w:hAnsi="Times New Roman"/>
          <w:sz w:val="12"/>
          <w:szCs w:val="12"/>
          <w:color w:val="auto"/>
        </w:rPr>
        <w:t>” means these articles of association of the Company, as amended from time to time by Special Resolution; “</w:t>
      </w:r>
      <w:r>
        <w:rPr>
          <w:rFonts w:ascii="Times New Roman" w:cs="Times New Roman" w:eastAsia="Times New Roman" w:hAnsi="Times New Roman"/>
          <w:sz w:val="12"/>
          <w:szCs w:val="12"/>
          <w:b w:val="1"/>
          <w:bCs w:val="1"/>
          <w:color w:val="auto"/>
        </w:rPr>
        <w:t>Assistant Secretary</w:t>
      </w:r>
      <w:r>
        <w:rPr>
          <w:rFonts w:ascii="Times New Roman" w:cs="Times New Roman" w:eastAsia="Times New Roman" w:hAnsi="Times New Roman"/>
          <w:sz w:val="12"/>
          <w:szCs w:val="12"/>
          <w:color w:val="auto"/>
        </w:rPr>
        <w:t>” means any person appointed by the Secretary from time to time to assist the Secretary’;</w:t>
      </w:r>
    </w:p>
    <w:p>
      <w:pPr>
        <w:spacing w:after="0" w:line="2" w:lineRule="exact"/>
        <w:rPr>
          <w:sz w:val="20"/>
          <w:szCs w:val="20"/>
          <w:color w:val="auto"/>
        </w:rPr>
      </w:pPr>
    </w:p>
    <w:p>
      <w:pPr>
        <w:ind w:left="9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Auditors</w:t>
      </w:r>
      <w:r>
        <w:rPr>
          <w:rFonts w:ascii="Times New Roman" w:cs="Times New Roman" w:eastAsia="Times New Roman" w:hAnsi="Times New Roman"/>
          <w:sz w:val="12"/>
          <w:szCs w:val="12"/>
          <w:color w:val="auto"/>
        </w:rPr>
        <w:t>” means the persons for the time being performing the duties of auditors of the Company;</w:t>
      </w:r>
    </w:p>
    <w:p>
      <w:pPr>
        <w:spacing w:after="0" w:line="150" w:lineRule="exact"/>
        <w:rPr>
          <w:sz w:val="20"/>
          <w:szCs w:val="20"/>
          <w:color w:val="auto"/>
        </w:rPr>
      </w:pPr>
    </w:p>
    <w:p>
      <w:pPr>
        <w:ind w:left="9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Available Director Positions</w:t>
      </w:r>
      <w:r>
        <w:rPr>
          <w:rFonts w:ascii="Times New Roman" w:cs="Times New Roman" w:eastAsia="Times New Roman" w:hAnsi="Times New Roman"/>
          <w:sz w:val="12"/>
          <w:szCs w:val="12"/>
          <w:color w:val="auto"/>
        </w:rPr>
        <w:t>” shall have the meaning given to such term in Article 151.2;</w:t>
      </w:r>
    </w:p>
    <w:p>
      <w:pPr>
        <w:spacing w:after="0" w:line="150" w:lineRule="exact"/>
        <w:rPr>
          <w:sz w:val="20"/>
          <w:szCs w:val="20"/>
          <w:color w:val="auto"/>
        </w:rPr>
      </w:pPr>
    </w:p>
    <w:p>
      <w:pPr>
        <w:ind w:left="9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means the board of directors for the time being of the Company;</w:t>
      </w:r>
    </w:p>
    <w:p>
      <w:pPr>
        <w:spacing w:after="0" w:line="150" w:lineRule="exact"/>
        <w:rPr>
          <w:sz w:val="20"/>
          <w:szCs w:val="20"/>
          <w:color w:val="auto"/>
        </w:rPr>
      </w:pPr>
    </w:p>
    <w:p>
      <w:pPr>
        <w:ind w:left="9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clear days</w:t>
      </w:r>
      <w:r>
        <w:rPr>
          <w:rFonts w:ascii="Times New Roman" w:cs="Times New Roman" w:eastAsia="Times New Roman" w:hAnsi="Times New Roman"/>
          <w:sz w:val="12"/>
          <w:szCs w:val="12"/>
          <w:color w:val="auto"/>
        </w:rPr>
        <w:t>” means, in relation to a period of notice, that period excluding the day when the notice is given or deemed to be given and the day for which it is given or on which it is to take effect;</w:t>
      </w:r>
    </w:p>
    <w:p>
      <w:pPr>
        <w:spacing w:after="0" w:line="150" w:lineRule="exact"/>
        <w:rPr>
          <w:sz w:val="20"/>
          <w:szCs w:val="20"/>
          <w:color w:val="auto"/>
        </w:rPr>
      </w:pPr>
    </w:p>
    <w:p>
      <w:pPr>
        <w:ind w:left="90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Companies Acts</w:t>
      </w:r>
      <w:r>
        <w:rPr>
          <w:rFonts w:ascii="Times New Roman" w:cs="Times New Roman" w:eastAsia="Times New Roman" w:hAnsi="Times New Roman"/>
          <w:sz w:val="12"/>
          <w:szCs w:val="12"/>
          <w:color w:val="auto"/>
        </w:rPr>
        <w:t>” means the Companies Act 2014, all statutory instruments which are to be read as one with, or construed or read together as one with, the Companies Acts and every statutory modification and re-enactment thereof for the time being in force;</w:t>
      </w:r>
    </w:p>
    <w:p>
      <w:pPr>
        <w:spacing w:after="0" w:line="103" w:lineRule="exact"/>
        <w:rPr>
          <w:sz w:val="20"/>
          <w:szCs w:val="20"/>
          <w:color w:val="auto"/>
        </w:rPr>
      </w:pPr>
    </w:p>
    <w:p>
      <w:pPr>
        <w:ind w:left="90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means the above-named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92075</wp:posOffset>
            </wp:positionV>
            <wp:extent cx="72148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548"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contested election</w:t>
      </w:r>
      <w:r>
        <w:rPr>
          <w:rFonts w:ascii="Times New Roman" w:cs="Times New Roman" w:eastAsia="Times New Roman" w:hAnsi="Times New Roman"/>
          <w:sz w:val="12"/>
          <w:szCs w:val="12"/>
          <w:color w:val="auto"/>
        </w:rPr>
        <w:t>” shall have the meaning given to such term in Article 151.2;</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Court</w:t>
      </w:r>
      <w:r>
        <w:rPr>
          <w:rFonts w:ascii="Times New Roman" w:cs="Times New Roman" w:eastAsia="Times New Roman" w:hAnsi="Times New Roman"/>
          <w:sz w:val="12"/>
          <w:szCs w:val="12"/>
          <w:color w:val="auto"/>
        </w:rPr>
        <w:t>” means the Irish High Court;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Director Nominees</w:t>
      </w:r>
      <w:r>
        <w:rPr>
          <w:rFonts w:ascii="Times New Roman" w:cs="Times New Roman" w:eastAsia="Times New Roman" w:hAnsi="Times New Roman"/>
          <w:sz w:val="12"/>
          <w:szCs w:val="12"/>
          <w:color w:val="auto"/>
        </w:rPr>
        <w:t>” shall have the meaning given to such term in Article 151.2;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Directors</w:t>
      </w:r>
      <w:r>
        <w:rPr>
          <w:rFonts w:ascii="Times New Roman" w:cs="Times New Roman" w:eastAsia="Times New Roman" w:hAnsi="Times New Roman"/>
          <w:sz w:val="12"/>
          <w:szCs w:val="12"/>
          <w:color w:val="auto"/>
        </w:rPr>
        <w:t>” means the directors for the time being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dividend</w:t>
      </w:r>
      <w:r>
        <w:rPr>
          <w:rFonts w:ascii="Times New Roman" w:cs="Times New Roman" w:eastAsia="Times New Roman" w:hAnsi="Times New Roman"/>
          <w:sz w:val="12"/>
          <w:szCs w:val="12"/>
          <w:color w:val="auto"/>
        </w:rPr>
        <w:t>” includes interim dividends and bonus dividends;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Dividend Periods</w:t>
      </w:r>
      <w:r>
        <w:rPr>
          <w:rFonts w:ascii="Times New Roman" w:cs="Times New Roman" w:eastAsia="Times New Roman" w:hAnsi="Times New Roman"/>
          <w:sz w:val="12"/>
          <w:szCs w:val="12"/>
          <w:color w:val="auto"/>
        </w:rPr>
        <w:t>” shall have the meaning given to such term in Article 14.2;</w:t>
      </w:r>
    </w:p>
    <w:p>
      <w:pPr>
        <w:spacing w:after="0" w:line="150" w:lineRule="exact"/>
        <w:rPr>
          <w:sz w:val="20"/>
          <w:szCs w:val="20"/>
          <w:color w:val="auto"/>
        </w:rPr>
      </w:pPr>
    </w:p>
    <w:p>
      <w:pPr>
        <w:ind w:right="4940"/>
        <w:spacing w:after="0" w:line="546"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electronic communication</w:t>
      </w:r>
      <w:r>
        <w:rPr>
          <w:rFonts w:ascii="Times New Roman" w:cs="Times New Roman" w:eastAsia="Times New Roman" w:hAnsi="Times New Roman"/>
          <w:sz w:val="11"/>
          <w:szCs w:val="11"/>
          <w:color w:val="auto"/>
        </w:rPr>
        <w:t>” shall have the meaning given to those words in the Electronic Commerce Act 2000; “</w:t>
      </w:r>
      <w:r>
        <w:rPr>
          <w:rFonts w:ascii="Times New Roman" w:cs="Times New Roman" w:eastAsia="Times New Roman" w:hAnsi="Times New Roman"/>
          <w:sz w:val="11"/>
          <w:szCs w:val="11"/>
          <w:b w:val="1"/>
          <w:bCs w:val="1"/>
          <w:color w:val="auto"/>
        </w:rPr>
        <w:t>electronic signature</w:t>
      </w:r>
      <w:r>
        <w:rPr>
          <w:rFonts w:ascii="Times New Roman" w:cs="Times New Roman" w:eastAsia="Times New Roman" w:hAnsi="Times New Roman"/>
          <w:sz w:val="11"/>
          <w:szCs w:val="11"/>
          <w:color w:val="auto"/>
        </w:rPr>
        <w:t>” shall have the meaning given to those words in the Electronic Commerce Act 2000;</w:t>
      </w: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w:t>
      </w:r>
      <w:r>
        <w:rPr>
          <w:rFonts w:ascii="Times New Roman" w:cs="Times New Roman" w:eastAsia="Times New Roman" w:hAnsi="Times New Roman"/>
          <w:sz w:val="12"/>
          <w:szCs w:val="12"/>
          <w:color w:val="auto"/>
        </w:rPr>
        <w:t>” means any securities exchange or other system on which the Shares of the Company may be listed or otherwise authorised for trading from time to time;</w:t>
      </w:r>
    </w:p>
    <w:p>
      <w:pPr>
        <w:spacing w:after="0" w:line="1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shall have the meaning given to such term in Article 99;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IAS Regulation</w:t>
      </w:r>
      <w:r>
        <w:rPr>
          <w:rFonts w:ascii="Times New Roman" w:cs="Times New Roman" w:eastAsia="Times New Roman" w:hAnsi="Times New Roman"/>
          <w:sz w:val="12"/>
          <w:szCs w:val="12"/>
          <w:color w:val="auto"/>
        </w:rPr>
        <w:t>” means Regulation (EC) No. 1606/2002 of the European Parliament and of the Council of 19 July 2002 on the application of international accounting standards;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Members</w:t>
      </w:r>
      <w:r>
        <w:rPr>
          <w:rFonts w:ascii="Times New Roman" w:cs="Times New Roman" w:eastAsia="Times New Roman" w:hAnsi="Times New Roman"/>
          <w:sz w:val="12"/>
          <w:szCs w:val="12"/>
          <w:color w:val="auto"/>
        </w:rPr>
        <w:t>” mean persons who have agreed to become a Member of the Company and whose name is entered in the Register of Members as a registered holder of Shares and each and any of them individually a Member;</w:t>
      </w:r>
    </w:p>
    <w:p>
      <w:pPr>
        <w:spacing w:after="0" w:line="103" w:lineRule="exact"/>
        <w:rPr>
          <w:sz w:val="20"/>
          <w:szCs w:val="20"/>
          <w:color w:val="auto"/>
        </w:rPr>
      </w:pPr>
    </w:p>
    <w:p>
      <w:pPr>
        <w:ind w:right="4280"/>
        <w:spacing w:after="0" w:line="50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Memorandum</w:t>
      </w:r>
      <w:r>
        <w:rPr>
          <w:rFonts w:ascii="Times New Roman" w:cs="Times New Roman" w:eastAsia="Times New Roman" w:hAnsi="Times New Roman"/>
          <w:sz w:val="12"/>
          <w:szCs w:val="12"/>
          <w:color w:val="auto"/>
        </w:rPr>
        <w:t>” means the memorandum of association of the Company as amended from time to time by Special Resolution; “</w:t>
      </w:r>
      <w:r>
        <w:rPr>
          <w:rFonts w:ascii="Times New Roman" w:cs="Times New Roman" w:eastAsia="Times New Roman" w:hAnsi="Times New Roman"/>
          <w:sz w:val="12"/>
          <w:szCs w:val="12"/>
          <w:b w:val="1"/>
          <w:bCs w:val="1"/>
          <w:color w:val="auto"/>
        </w:rPr>
        <w:t>month</w:t>
      </w:r>
      <w:r>
        <w:rPr>
          <w:rFonts w:ascii="Times New Roman" w:cs="Times New Roman" w:eastAsia="Times New Roman" w:hAnsi="Times New Roman"/>
          <w:sz w:val="12"/>
          <w:szCs w:val="12"/>
          <w:color w:val="auto"/>
        </w:rPr>
        <w:t>” means a calendar month;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officer</w:t>
      </w:r>
      <w:r>
        <w:rPr>
          <w:rFonts w:ascii="Times New Roman" w:cs="Times New Roman" w:eastAsia="Times New Roman" w:hAnsi="Times New Roman"/>
          <w:sz w:val="12"/>
          <w:szCs w:val="12"/>
          <w:color w:val="auto"/>
        </w:rPr>
        <w:t>” means any executive of the Company that has been designated by the Company the title “officer” and for the avoidance of doubt does not have the meaning given to such term under the Companies Acts;</w:t>
      </w:r>
    </w:p>
    <w:p>
      <w:pPr>
        <w:spacing w:after="0" w:line="15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Ordinary Resolution</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means an ordinary resolution of the Company’s Members within the meaning of the Companies Acts;</w:t>
      </w:r>
    </w:p>
    <w:p>
      <w:pPr>
        <w:spacing w:after="0" w:line="150" w:lineRule="exact"/>
        <w:rPr>
          <w:sz w:val="20"/>
          <w:szCs w:val="20"/>
          <w:color w:val="auto"/>
        </w:rPr>
      </w:pPr>
    </w:p>
    <w:p>
      <w:pPr>
        <w:ind w:right="3400"/>
        <w:spacing w:after="0" w:line="50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paid-up</w:t>
      </w:r>
      <w:r>
        <w:rPr>
          <w:rFonts w:ascii="Times New Roman" w:cs="Times New Roman" w:eastAsia="Times New Roman" w:hAnsi="Times New Roman"/>
          <w:sz w:val="12"/>
          <w:szCs w:val="12"/>
          <w:color w:val="auto"/>
        </w:rPr>
        <w:t>” means paid-up as to the nominal value and any premium payable in respect of the issue of any Shares and includes credited as paid-up; “</w:t>
      </w:r>
      <w:r>
        <w:rPr>
          <w:rFonts w:ascii="Times New Roman" w:cs="Times New Roman" w:eastAsia="Times New Roman" w:hAnsi="Times New Roman"/>
          <w:sz w:val="12"/>
          <w:szCs w:val="12"/>
          <w:b w:val="1"/>
          <w:bCs w:val="1"/>
          <w:color w:val="auto"/>
        </w:rPr>
        <w:t>Redeemable Shares</w:t>
      </w:r>
      <w:r>
        <w:rPr>
          <w:rFonts w:ascii="Times New Roman" w:cs="Times New Roman" w:eastAsia="Times New Roman" w:hAnsi="Times New Roman"/>
          <w:sz w:val="12"/>
          <w:szCs w:val="12"/>
          <w:color w:val="auto"/>
        </w:rPr>
        <w:t>” means redeemable shares in accordance with the Companies Acts;</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Register of Members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Register</w:t>
      </w:r>
      <w:r>
        <w:rPr>
          <w:rFonts w:ascii="Times New Roman" w:cs="Times New Roman" w:eastAsia="Times New Roman" w:hAnsi="Times New Roman"/>
          <w:sz w:val="12"/>
          <w:szCs w:val="12"/>
          <w:color w:val="auto"/>
        </w:rPr>
        <w:t>” means the register of Members of the Company maintained by or on behalf of the Company, in accordance with the Companies Acts and includes (except where otherwise stated) any duplicate Register of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62230</wp:posOffset>
            </wp:positionV>
            <wp:extent cx="72148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400"/>
          </w:cols>
          <w:pgMar w:left="1200" w:top="404"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registered office</w:t>
            </w:r>
            <w:r>
              <w:rPr>
                <w:rFonts w:ascii="Times New Roman" w:cs="Times New Roman" w:eastAsia="Times New Roman" w:hAnsi="Times New Roman"/>
                <w:sz w:val="12"/>
                <w:szCs w:val="12"/>
                <w:color w:val="auto"/>
              </w:rPr>
              <w:t>” means the registered office for the time being of the Company;</w:t>
            </w:r>
          </w:p>
        </w:tc>
      </w:tr>
      <w:tr>
        <w:trPr>
          <w:trHeight w:val="288"/>
        </w:trPr>
        <w:tc>
          <w:tcPr>
            <w:tcW w:w="300" w:type="dxa"/>
            <w:vAlign w:val="bottom"/>
          </w:tcPr>
          <w:p>
            <w:pPr>
              <w:spacing w:after="0"/>
              <w:rPr>
                <w:sz w:val="24"/>
                <w:szCs w:val="24"/>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Seal</w:t>
            </w:r>
            <w:r>
              <w:rPr>
                <w:rFonts w:ascii="Times New Roman" w:cs="Times New Roman" w:eastAsia="Times New Roman" w:hAnsi="Times New Roman"/>
                <w:sz w:val="12"/>
                <w:szCs w:val="12"/>
                <w:color w:val="auto"/>
              </w:rPr>
              <w:t>” means the seal of the Company, if any, and includes every duplicate seal;</w:t>
            </w:r>
          </w:p>
        </w:tc>
      </w:tr>
      <w:tr>
        <w:trPr>
          <w:trHeight w:val="277"/>
        </w:trPr>
        <w:tc>
          <w:tcPr>
            <w:tcW w:w="300" w:type="dxa"/>
            <w:vAlign w:val="bottom"/>
          </w:tcPr>
          <w:p>
            <w:pPr>
              <w:spacing w:after="0"/>
              <w:rPr>
                <w:sz w:val="24"/>
                <w:szCs w:val="24"/>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Secretary</w:t>
            </w:r>
            <w:r>
              <w:rPr>
                <w:rFonts w:ascii="Times New Roman" w:cs="Times New Roman" w:eastAsia="Times New Roman" w:hAnsi="Times New Roman"/>
                <w:sz w:val="12"/>
                <w:szCs w:val="12"/>
                <w:color w:val="auto"/>
              </w:rPr>
              <w:t>” means the person appointed by the Board to perform any or all of the duties of secretary of the Company and includes an Assistant Secretary and any person appointed by the Board to perform the duties</w:t>
            </w:r>
          </w:p>
        </w:tc>
      </w:tr>
      <w:tr>
        <w:trPr>
          <w:trHeight w:val="155"/>
        </w:trPr>
        <w:tc>
          <w:tcPr>
            <w:tcW w:w="300" w:type="dxa"/>
            <w:vAlign w:val="bottom"/>
          </w:tcPr>
          <w:p>
            <w:pPr>
              <w:spacing w:after="0"/>
              <w:rPr>
                <w:sz w:val="13"/>
                <w:szCs w:val="13"/>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of secretary of the Company;</w:t>
            </w:r>
          </w:p>
        </w:tc>
      </w:tr>
      <w:tr>
        <w:trPr>
          <w:trHeight w:val="288"/>
        </w:trPr>
        <w:tc>
          <w:tcPr>
            <w:tcW w:w="300" w:type="dxa"/>
            <w:vAlign w:val="bottom"/>
          </w:tcPr>
          <w:p>
            <w:pPr>
              <w:spacing w:after="0"/>
              <w:rPr>
                <w:sz w:val="24"/>
                <w:szCs w:val="24"/>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2"/>
                <w:szCs w:val="12"/>
                <w:color w:val="auto"/>
              </w:rPr>
              <w:t>” means a share or shares in the capital of the Company;</w:t>
            </w:r>
          </w:p>
        </w:tc>
      </w:tr>
      <w:tr>
        <w:trPr>
          <w:trHeight w:val="277"/>
        </w:trPr>
        <w:tc>
          <w:tcPr>
            <w:tcW w:w="300" w:type="dxa"/>
            <w:vAlign w:val="bottom"/>
          </w:tcPr>
          <w:p>
            <w:pPr>
              <w:spacing w:after="0"/>
              <w:rPr>
                <w:sz w:val="24"/>
                <w:szCs w:val="24"/>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Shareholder Rights Plan</w:t>
            </w:r>
            <w:r>
              <w:rPr>
                <w:rFonts w:ascii="Times New Roman" w:cs="Times New Roman" w:eastAsia="Times New Roman" w:hAnsi="Times New Roman"/>
                <w:sz w:val="12"/>
                <w:szCs w:val="12"/>
                <w:color w:val="auto"/>
              </w:rPr>
              <w:t>” means a shareholder rights plan providing for the right of Members to purchase securities of the Company in the event of any proposed acquisition of a majority of the Shares where such</w:t>
            </w:r>
          </w:p>
        </w:tc>
      </w:tr>
      <w:tr>
        <w:trPr>
          <w:trHeight w:val="155"/>
        </w:trPr>
        <w:tc>
          <w:tcPr>
            <w:tcW w:w="300" w:type="dxa"/>
            <w:vAlign w:val="bottom"/>
          </w:tcPr>
          <w:p>
            <w:pPr>
              <w:spacing w:after="0"/>
              <w:rPr>
                <w:sz w:val="13"/>
                <w:szCs w:val="13"/>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acquisition is not approved or recommended by the Board; and</w:t>
            </w:r>
          </w:p>
        </w:tc>
      </w:tr>
      <w:tr>
        <w:trPr>
          <w:trHeight w:val="288"/>
        </w:trPr>
        <w:tc>
          <w:tcPr>
            <w:tcW w:w="300" w:type="dxa"/>
            <w:vAlign w:val="bottom"/>
          </w:tcPr>
          <w:p>
            <w:pPr>
              <w:spacing w:after="0"/>
              <w:rPr>
                <w:sz w:val="24"/>
                <w:szCs w:val="24"/>
                <w:color w:val="auto"/>
              </w:rPr>
            </w:pPr>
          </w:p>
        </w:tc>
        <w:tc>
          <w:tcPr>
            <w:tcW w:w="10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Special Resolution</w:t>
            </w:r>
            <w:r>
              <w:rPr>
                <w:rFonts w:ascii="Times New Roman" w:cs="Times New Roman" w:eastAsia="Times New Roman" w:hAnsi="Times New Roman"/>
                <w:sz w:val="12"/>
                <w:szCs w:val="12"/>
                <w:color w:val="auto"/>
              </w:rPr>
              <w:t>” means a special resolution of the Company’s Members within the meaning the Companies Acts.</w:t>
            </w:r>
          </w:p>
        </w:tc>
      </w:tr>
      <w:tr>
        <w:trPr>
          <w:trHeight w:val="288"/>
        </w:trPr>
        <w:tc>
          <w:tcPr>
            <w:tcW w:w="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3"/>
              </w:rPr>
              <w:t>2.2</w:t>
            </w:r>
          </w:p>
        </w:tc>
        <w:tc>
          <w:tcPr>
            <w:tcW w:w="105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In the Articles:</w:t>
            </w:r>
          </w:p>
        </w:tc>
      </w:tr>
    </w:tbl>
    <w:p>
      <w:pPr>
        <w:spacing w:after="0" w:line="133" w:lineRule="exact"/>
        <w:rPr>
          <w:sz w:val="20"/>
          <w:szCs w:val="20"/>
          <w:color w:val="auto"/>
        </w:rPr>
      </w:pPr>
    </w:p>
    <w:p>
      <w:pPr>
        <w:ind w:left="1580" w:hanging="903"/>
        <w:spacing w:after="0"/>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importing the singular number include the plural number and vice-versa;</w:t>
      </w:r>
    </w:p>
    <w:p>
      <w:pPr>
        <w:spacing w:after="0" w:line="150" w:lineRule="exact"/>
        <w:rPr>
          <w:rFonts w:ascii="Times New Roman" w:cs="Times New Roman" w:eastAsia="Times New Roman" w:hAnsi="Times New Roman"/>
          <w:sz w:val="12"/>
          <w:szCs w:val="12"/>
          <w:color w:val="auto"/>
        </w:rPr>
      </w:pPr>
    </w:p>
    <w:p>
      <w:pPr>
        <w:ind w:left="1580" w:hanging="903"/>
        <w:spacing w:after="0"/>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importing the feminine gender include the masculine gender;</w:t>
      </w:r>
    </w:p>
    <w:p>
      <w:pPr>
        <w:spacing w:after="0" w:line="150" w:lineRule="exact"/>
        <w:rPr>
          <w:rFonts w:ascii="Times New Roman" w:cs="Times New Roman" w:eastAsia="Times New Roman" w:hAnsi="Times New Roman"/>
          <w:sz w:val="12"/>
          <w:szCs w:val="12"/>
          <w:color w:val="auto"/>
        </w:rPr>
      </w:pPr>
    </w:p>
    <w:p>
      <w:pPr>
        <w:ind w:left="1580" w:hanging="903"/>
        <w:spacing w:after="0" w:line="279" w:lineRule="auto"/>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importing persons include any company, partnership or other body of persons, whether corporate or not, any trust and any government, governmental body or agency or public authority, whether of Ireland or elsewhere;</w:t>
      </w:r>
    </w:p>
    <w:p>
      <w:pPr>
        <w:spacing w:after="0" w:line="111" w:lineRule="exact"/>
        <w:rPr>
          <w:rFonts w:ascii="Times New Roman" w:cs="Times New Roman" w:eastAsia="Times New Roman" w:hAnsi="Times New Roman"/>
          <w:sz w:val="12"/>
          <w:szCs w:val="12"/>
          <w:color w:val="auto"/>
        </w:rPr>
      </w:pPr>
    </w:p>
    <w:p>
      <w:pPr>
        <w:ind w:left="1580" w:hanging="903"/>
        <w:spacing w:after="0"/>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“written” and “in writing” include all modes of representing or reproducing words in visible form, including electronic communication;</w:t>
      </w:r>
    </w:p>
    <w:p>
      <w:pPr>
        <w:spacing w:after="0" w:line="150" w:lineRule="exact"/>
        <w:rPr>
          <w:rFonts w:ascii="Times New Roman" w:cs="Times New Roman" w:eastAsia="Times New Roman" w:hAnsi="Times New Roman"/>
          <w:sz w:val="12"/>
          <w:szCs w:val="12"/>
          <w:color w:val="auto"/>
        </w:rPr>
      </w:pPr>
    </w:p>
    <w:p>
      <w:pPr>
        <w:ind w:left="1580" w:hanging="903"/>
        <w:spacing w:after="0"/>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references to a company include any body corporate or other legal entity, whether incorporated or established in Ireland or elsewhere;</w:t>
      </w:r>
    </w:p>
    <w:p>
      <w:pPr>
        <w:spacing w:after="0" w:line="150" w:lineRule="exact"/>
        <w:rPr>
          <w:rFonts w:ascii="Times New Roman" w:cs="Times New Roman" w:eastAsia="Times New Roman" w:hAnsi="Times New Roman"/>
          <w:sz w:val="12"/>
          <w:szCs w:val="12"/>
          <w:color w:val="auto"/>
        </w:rPr>
      </w:pPr>
    </w:p>
    <w:p>
      <w:pPr>
        <w:ind w:left="1580" w:hanging="903"/>
        <w:spacing w:after="0"/>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references to provisions of any law or regulation shall be construed as references to those provisions as amended, modified, re-enacted or replaced from time to time;</w:t>
      </w:r>
    </w:p>
    <w:p>
      <w:pPr>
        <w:spacing w:after="0" w:line="150" w:lineRule="exact"/>
        <w:rPr>
          <w:rFonts w:ascii="Times New Roman" w:cs="Times New Roman" w:eastAsia="Times New Roman" w:hAnsi="Times New Roman"/>
          <w:sz w:val="12"/>
          <w:szCs w:val="12"/>
          <w:color w:val="auto"/>
        </w:rPr>
      </w:pPr>
    </w:p>
    <w:p>
      <w:pPr>
        <w:ind w:left="1580" w:hanging="903"/>
        <w:spacing w:after="0" w:line="279" w:lineRule="auto"/>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phrase introduced by the terms “including”, “include”, “in particular” or any similar expression shall be construed as illustrative and shall not limit the sense of the words preceding those terms;</w:t>
      </w:r>
    </w:p>
    <w:p>
      <w:pPr>
        <w:spacing w:after="0" w:line="111" w:lineRule="exact"/>
        <w:rPr>
          <w:rFonts w:ascii="Times New Roman" w:cs="Times New Roman" w:eastAsia="Times New Roman" w:hAnsi="Times New Roman"/>
          <w:sz w:val="12"/>
          <w:szCs w:val="12"/>
          <w:color w:val="auto"/>
        </w:rPr>
      </w:pPr>
    </w:p>
    <w:p>
      <w:pPr>
        <w:ind w:left="1580" w:hanging="903"/>
        <w:spacing w:after="0"/>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headings are inserted for reference only and shall be ignored in construing these Articles; and</w:t>
      </w:r>
    </w:p>
    <w:p>
      <w:pPr>
        <w:spacing w:after="0" w:line="150" w:lineRule="exact"/>
        <w:rPr>
          <w:rFonts w:ascii="Times New Roman" w:cs="Times New Roman" w:eastAsia="Times New Roman" w:hAnsi="Times New Roman"/>
          <w:sz w:val="12"/>
          <w:szCs w:val="12"/>
          <w:color w:val="auto"/>
        </w:rPr>
      </w:pPr>
    </w:p>
    <w:p>
      <w:pPr>
        <w:ind w:left="1580" w:right="20" w:hanging="903"/>
        <w:spacing w:after="0" w:line="279" w:lineRule="auto"/>
        <w:tabs>
          <w:tab w:leader="none" w:pos="15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references to US$, USD, $ or dollars shall mean United States dollars, the lawful currency of the United States of America and references to €, euro, or EUR shall mean the euro, the lawful currency of Ireland.</w:t>
      </w:r>
    </w:p>
    <w:p>
      <w:pPr>
        <w:spacing w:after="0" w:line="1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SHARE CAPITAL; ISSUE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183515</wp:posOffset>
            </wp:positionV>
            <wp:extent cx="72148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860"/>
          </w:cols>
          <w:pgMar w:left="740" w:top="404" w:right="299" w:bottom="1440" w:gutter="0" w:footer="0" w:header="0"/>
        </w:sectPr>
      </w:pPr>
    </w:p>
    <w:bookmarkStart w:id="50" w:name="page51"/>
    <w:bookmarkEnd w:id="50"/>
    <w:p>
      <w:pPr>
        <w:ind w:left="908" w:right="20" w:hanging="908"/>
        <w:spacing w:after="0" w:line="279" w:lineRule="auto"/>
        <w:tabs>
          <w:tab w:leader="none" w:pos="9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authorised share capital of the Company is €40,000 and US$5,000,000 divided into 40,000 ordinary shares of €1.00 each, 450,000,000 ordinary shares of US$0.01 each and 50,000,000 undesignated preferred shares of US$0.01 each.</w:t>
      </w:r>
    </w:p>
    <w:p>
      <w:pPr>
        <w:spacing w:after="0" w:line="111"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Companies Acts and the rights conferred on the holders of any other class of shares, any Share in the Company may be issued with or have attached to it such preferential, deferred, qualified or special rights, privileges or conditions as the Company may by Ordinary Resolution decide or, insofar as the Ordinary Resolution does not make specific provision, as the Board may from time to time determine.</w:t>
      </w:r>
    </w:p>
    <w:p>
      <w:pPr>
        <w:spacing w:after="0" w:line="111" w:lineRule="exact"/>
        <w:rPr>
          <w:rFonts w:ascii="Times New Roman" w:cs="Times New Roman" w:eastAsia="Times New Roman" w:hAnsi="Times New Roman"/>
          <w:sz w:val="12"/>
          <w:szCs w:val="12"/>
          <w:color w:val="auto"/>
        </w:rPr>
      </w:pPr>
    </w:p>
    <w:p>
      <w:pPr>
        <w:jc w:val="both"/>
        <w:ind w:left="908" w:right="20" w:hanging="908"/>
        <w:spacing w:after="0" w:line="260" w:lineRule="auto"/>
        <w:tabs>
          <w:tab w:leader="none" w:pos="9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these Articles relating to new Shares, the Shares shall be at the disposal of the Directors, and they may (subject to the provisions of the Companies Acts) allot, grant options over or otherwise dispose of them to such persons, on such terms and conditions and at such times as they may consider to be in the best interests of the Company and its Members, but so that no Share shall be issued at a discount save in accordance with the Companies Acts, and so that, in the case of Shares offered to the public for subscription, the amount payable on application on each Share shall not be less than one-quarter of the nominal amount of the Share and the whole of any premium thereon.</w:t>
      </w:r>
    </w:p>
    <w:p>
      <w:pPr>
        <w:spacing w:after="0" w:line="122" w:lineRule="exact"/>
        <w:rPr>
          <w:rFonts w:ascii="Times New Roman" w:cs="Times New Roman" w:eastAsia="Times New Roman" w:hAnsi="Times New Roman"/>
          <w:sz w:val="12"/>
          <w:szCs w:val="12"/>
          <w:color w:val="auto"/>
        </w:rPr>
      </w:pPr>
    </w:p>
    <w:p>
      <w:pPr>
        <w:jc w:val="both"/>
        <w:ind w:left="908" w:right="20" w:hanging="908"/>
        <w:spacing w:after="0" w:line="265" w:lineRule="auto"/>
        <w:tabs>
          <w:tab w:leader="none" w:pos="9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any requirement to obtain the approval of Members under any laws, regulations or the rules of any Exchange, the Board is authorised, from time to time, in its discretion, to grant such persons, for such periods and upon such terms as the Board deems advisable, options to purchase or subscribe for any number of Shares of any class or classes or of any series of any class as the Board may deem advisable, and to cause warrants or other appropriate instruments evidencing such options to be issued.</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Part XI of the 1990 Act and the other provisions of this Article 7, the Company may:</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7.1</w:t>
            </w: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pursuant the Companies Acts, issue any Shares of the Company which are to be redeemed or are liable to be redeemed at the option of the Company or the Member on such terms and in such manner as may</w:t>
            </w:r>
          </w:p>
        </w:tc>
      </w:tr>
      <w:tr>
        <w:trPr>
          <w:trHeight w:val="155"/>
        </w:trPr>
        <w:tc>
          <w:tcPr>
            <w:tcW w:w="960" w:type="dxa"/>
            <w:vAlign w:val="bottom"/>
          </w:tcPr>
          <w:p>
            <w:pPr>
              <w:spacing w:after="0"/>
              <w:rPr>
                <w:sz w:val="13"/>
                <w:szCs w:val="13"/>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be determined by the Company in general meeting (by Special Resolution) on the recommendation of the Directors;</w:t>
            </w:r>
          </w:p>
        </w:tc>
      </w:tr>
      <w:tr>
        <w:trPr>
          <w:trHeight w:val="277"/>
        </w:trPr>
        <w:tc>
          <w:tcPr>
            <w:tcW w:w="9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7.2</w:t>
            </w: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redeem Shares of the Company on such terms as may be contained in, or be determined pursuant to the provisions of, these Articles. Subject as aforesaid, the Company may cancel any Shares so redeemed or</w:t>
            </w:r>
          </w:p>
        </w:tc>
      </w:tr>
      <w:tr>
        <w:trPr>
          <w:trHeight w:val="155"/>
        </w:trPr>
        <w:tc>
          <w:tcPr>
            <w:tcW w:w="960" w:type="dxa"/>
            <w:vAlign w:val="bottom"/>
          </w:tcPr>
          <w:p>
            <w:pPr>
              <w:spacing w:after="0"/>
              <w:rPr>
                <w:sz w:val="13"/>
                <w:szCs w:val="13"/>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may hold them as treasury shares and re-issue such treasury shares as Shares of any class or classes or cancel them;</w:t>
            </w:r>
          </w:p>
        </w:tc>
      </w:tr>
      <w:tr>
        <w:trPr>
          <w:trHeight w:val="277"/>
        </w:trPr>
        <w:tc>
          <w:tcPr>
            <w:tcW w:w="9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7.3</w:t>
            </w: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subject to or in accordance with the provisions of the Companies Acts and without prejudice to any relevant special rights attached to any class of shares, pursuant to the Companies Acts, purchase any of its</w:t>
            </w:r>
          </w:p>
        </w:tc>
      </w:tr>
      <w:tr>
        <w:trPr>
          <w:trHeight w:val="144"/>
        </w:trPr>
        <w:tc>
          <w:tcPr>
            <w:tcW w:w="960" w:type="dxa"/>
            <w:vAlign w:val="bottom"/>
          </w:tcPr>
          <w:p>
            <w:pPr>
              <w:spacing w:after="0"/>
              <w:rPr>
                <w:sz w:val="12"/>
                <w:szCs w:val="12"/>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own Shares (including any Redeemable Shares and without any obligation to purchase on any pro rata basis as between Members or Members of the same class) and may cancel any shares so purchased or</w:t>
            </w:r>
          </w:p>
        </w:tc>
      </w:tr>
      <w:tr>
        <w:trPr>
          <w:trHeight w:val="155"/>
        </w:trPr>
        <w:tc>
          <w:tcPr>
            <w:tcW w:w="960" w:type="dxa"/>
            <w:vAlign w:val="bottom"/>
          </w:tcPr>
          <w:p>
            <w:pPr>
              <w:spacing w:after="0"/>
              <w:rPr>
                <w:sz w:val="13"/>
                <w:szCs w:val="13"/>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hold them as treasury (as defined by the Companies Acts) and may reissue any such shares as shares of any class or classes or cancel them; or</w:t>
            </w:r>
          </w:p>
        </w:tc>
      </w:tr>
      <w:tr>
        <w:trPr>
          <w:trHeight w:val="277"/>
        </w:trPr>
        <w:tc>
          <w:tcPr>
            <w:tcW w:w="9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7.4</w:t>
            </w: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pursuant to the Companies Acts, convert any of its Shares into Redeemable Shares provided that the total number of Shares which shall be redeemable pursuant to this authority shall not exceed the limit in</w:t>
            </w:r>
          </w:p>
        </w:tc>
      </w:tr>
      <w:tr>
        <w:trPr>
          <w:trHeight w:val="155"/>
        </w:trPr>
        <w:tc>
          <w:tcPr>
            <w:tcW w:w="960" w:type="dxa"/>
            <w:vAlign w:val="bottom"/>
          </w:tcPr>
          <w:p>
            <w:pPr>
              <w:spacing w:after="0"/>
              <w:rPr>
                <w:sz w:val="13"/>
                <w:szCs w:val="13"/>
                <w:color w:val="auto"/>
              </w:rPr>
            </w:pPr>
          </w:p>
        </w:tc>
        <w:tc>
          <w:tcPr>
            <w:tcW w:w="103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the Companies Acts.</w:t>
            </w:r>
          </w:p>
        </w:tc>
      </w:tr>
      <w:tr>
        <w:trPr>
          <w:trHeight w:val="288"/>
        </w:trPr>
        <w:tc>
          <w:tcPr>
            <w:tcW w:w="96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8"/>
          </w:cols>
          <w:pgMar w:left="292" w:top="408" w:right="279" w:bottom="1440" w:gutter="0" w:footer="0" w:header="0"/>
        </w:sectPr>
      </w:pPr>
    </w:p>
    <w:bookmarkStart w:id="51" w:name="page52"/>
    <w:bookmarkEnd w:id="51"/>
    <w:p>
      <w:pPr>
        <w:ind w:left="908" w:hanging="908"/>
        <w:spacing w:after="0"/>
        <w:tabs>
          <w:tab w:leader="none" w:pos="90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issue bearer instruments in accordance with the Companies Acts.</w:t>
      </w:r>
    </w:p>
    <w:p>
      <w:pPr>
        <w:spacing w:after="0" w:line="150"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special rights previously conferred on the holders of any existing Shares or class of Shares or to the authority conferred on the Directors pursuant to Article 14 to issue the preferred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118"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pay commission to any person in consideration of any person subscribing or agreeing to subscribe, whether absolutely or conditionally, for the shares in the Company or procuring or agreeing to procure subscriptions, whether absolute or conditional, for any shares in the Company on such terms and, subject to the provisions of the Companies Acts and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ORDINARY SHARES</w:t>
      </w:r>
    </w:p>
    <w:p>
      <w:pPr>
        <w:spacing w:after="0" w:line="154" w:lineRule="exact"/>
        <w:rPr>
          <w:sz w:val="20"/>
          <w:szCs w:val="20"/>
          <w:color w:val="auto"/>
        </w:rPr>
      </w:pPr>
    </w:p>
    <w:p>
      <w:pPr>
        <w:ind w:left="908" w:hanging="908"/>
        <w:spacing w:after="0"/>
        <w:tabs>
          <w:tab w:leader="none" w:pos="90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the ordinary shares shall be:</w:t>
      </w:r>
    </w:p>
    <w:p>
      <w:pPr>
        <w:spacing w:after="0" w:line="150" w:lineRule="exact"/>
        <w:rPr>
          <w:sz w:val="20"/>
          <w:szCs w:val="20"/>
          <w:color w:val="auto"/>
        </w:rPr>
      </w:pPr>
    </w:p>
    <w:tbl>
      <w:tblPr>
        <w:tblLayout w:type="fixed"/>
        <w:tblInd w:w="448" w:type="dxa"/>
        <w:tblCellMar>
          <w:top w:w="0" w:type="dxa"/>
          <w:left w:w="0" w:type="dxa"/>
          <w:bottom w:w="0" w:type="dxa"/>
          <w:right w:w="0" w:type="dxa"/>
        </w:tblCellMar>
      </w:tblPr>
      <w:tr>
        <w:trPr>
          <w:trHeight w:val="155"/>
        </w:trPr>
        <w:tc>
          <w:tcPr>
            <w:tcW w:w="5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5"/>
              </w:rPr>
              <w:t>11.1</w:t>
            </w:r>
          </w:p>
        </w:tc>
        <w:tc>
          <w:tcPr>
            <w:tcW w:w="102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entitled to dividends on a pro rata basis in accordance with the relevant provisions of these Articles;</w:t>
            </w:r>
          </w:p>
        </w:tc>
      </w:tr>
      <w:tr>
        <w:trPr>
          <w:trHeight w:val="288"/>
        </w:trPr>
        <w:tc>
          <w:tcPr>
            <w:tcW w:w="5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5"/>
              </w:rPr>
              <w:t>11.2</w:t>
            </w:r>
          </w:p>
        </w:tc>
        <w:tc>
          <w:tcPr>
            <w:tcW w:w="102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entitled to participate pro rata in the total assets of the Company in the event of the Company’s winding up; and</w:t>
            </w:r>
          </w:p>
        </w:tc>
      </w:tr>
      <w:tr>
        <w:trPr>
          <w:trHeight w:val="277"/>
        </w:trPr>
        <w:tc>
          <w:tcPr>
            <w:tcW w:w="5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85"/>
              </w:rPr>
              <w:t>11.3</w:t>
            </w:r>
          </w:p>
        </w:tc>
        <w:tc>
          <w:tcPr>
            <w:tcW w:w="102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entitled, subject to the right of the Company to set record dates for the purpose of determining the identity of Members entitled to notice of and/or vote at a general meeting, to attend general meetings of the</w:t>
            </w:r>
          </w:p>
        </w:tc>
      </w:tr>
      <w:tr>
        <w:trPr>
          <w:trHeight w:val="155"/>
        </w:trPr>
        <w:tc>
          <w:tcPr>
            <w:tcW w:w="560" w:type="dxa"/>
            <w:vAlign w:val="bottom"/>
          </w:tcPr>
          <w:p>
            <w:pPr>
              <w:spacing w:after="0"/>
              <w:rPr>
                <w:sz w:val="13"/>
                <w:szCs w:val="13"/>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Company and shall be entitled to one vote for each ordinary share registered in her name in the Register of Members, both in accordance with the relevant provisions of these Articles.</w:t>
            </w:r>
          </w:p>
        </w:tc>
      </w:tr>
    </w:tbl>
    <w:p>
      <w:pPr>
        <w:spacing w:after="0" w:line="133" w:lineRule="exact"/>
        <w:rPr>
          <w:sz w:val="20"/>
          <w:szCs w:val="20"/>
          <w:color w:val="auto"/>
        </w:rPr>
      </w:pPr>
    </w:p>
    <w:p>
      <w:pPr>
        <w:ind w:left="908"/>
        <w:spacing w:after="0"/>
        <w:rPr>
          <w:sz w:val="20"/>
          <w:szCs w:val="20"/>
          <w:color w:val="auto"/>
        </w:rPr>
      </w:pPr>
      <w:r>
        <w:rPr>
          <w:rFonts w:ascii="Times New Roman" w:cs="Times New Roman" w:eastAsia="Times New Roman" w:hAnsi="Times New Roman"/>
          <w:sz w:val="12"/>
          <w:szCs w:val="12"/>
          <w:color w:val="auto"/>
        </w:rPr>
        <w:t>The rights attaching to the ordinary shares may be subject to the terms of issue of any series or class of preferred share allotted by the Directors from time to time in accordance with Article 14.</w:t>
      </w:r>
    </w:p>
    <w:p>
      <w:pPr>
        <w:spacing w:after="0" w:line="294" w:lineRule="exact"/>
        <w:rPr>
          <w:sz w:val="20"/>
          <w:szCs w:val="20"/>
          <w:color w:val="auto"/>
        </w:rPr>
      </w:pPr>
    </w:p>
    <w:p>
      <w:pPr>
        <w:jc w:val="both"/>
        <w:ind w:left="908" w:hanging="908"/>
        <w:spacing w:after="0" w:line="265" w:lineRule="auto"/>
        <w:tabs>
          <w:tab w:leader="none" w:pos="90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Board specifically elects to treat such acquisition as a purchase for the purposes of the Companies Acts, an ordinary share shall be deemed to be a Redeemable Share on, and from the time of, the existence or creation of an agreement, transaction or trade between the Company and any third party pursuant to which the Company acquires or will acquire ordinary shares, or an interest in ordinary shares, from the relevant third party. In these circumstances, the acquisition of such shares by the Company shall constitute the redemption of a Redeemable Share in accordance with the Companies Acts.</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ordinary shares shall rank pari passu with each other in all respects.</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183515</wp:posOffset>
            </wp:positionV>
            <wp:extent cx="72148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552" w:right="299" w:bottom="1440" w:gutter="0" w:footer="0" w:header="0"/>
        </w:sectPr>
      </w:pPr>
    </w:p>
    <w:bookmarkStart w:id="52" w:name="page53"/>
    <w:bookmarkEnd w:id="52"/>
    <w:p>
      <w:pPr>
        <w:jc w:val="both"/>
        <w:ind w:left="908" w:hanging="908"/>
        <w:spacing w:after="0" w:line="260" w:lineRule="auto"/>
        <w:tabs>
          <w:tab w:leader="none" w:pos="90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are authorised to issue all or any of the authorised but unissued preferred shares from time to time in one or more classes or series, and to fix for each such class or series such voting powers (full or limited or without voting powers), designations, preferences and relative, participating, optional or other special rights and qualifications, limitations or restrictions thereof as are stated and expressed, or in any resolution or resolutions providing for the issue of such class or series adopted by the Board as hereinafter provided, including, without limitation, and subject to the Memorandum and Articles and applicable law, the authority to provide that any such class or series may be:</w:t>
      </w:r>
    </w:p>
    <w:p>
      <w:pPr>
        <w:spacing w:after="0" w:line="122" w:lineRule="exact"/>
        <w:rPr>
          <w:sz w:val="20"/>
          <w:szCs w:val="20"/>
          <w:color w:val="auto"/>
        </w:rPr>
      </w:pPr>
    </w:p>
    <w:tbl>
      <w:tblPr>
        <w:tblLayout w:type="fixed"/>
        <w:tblInd w:w="448" w:type="dxa"/>
        <w:tblCellMar>
          <w:top w:w="0" w:type="dxa"/>
          <w:left w:w="0" w:type="dxa"/>
          <w:bottom w:w="0" w:type="dxa"/>
          <w:right w:w="0" w:type="dxa"/>
        </w:tblCellMar>
      </w:tblPr>
      <w:tr>
        <w:trPr>
          <w:trHeight w:val="144"/>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14.1</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redeemable at the option of the Company, or the Members, or both, with the manner of the redemption to be set by the Board, and redeemable at such time or times, including upon a fixed date, and at such</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price or prices;</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14.2</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entitled to receive dividends (which may be cumulative or non-cumulative) at such rates, on such conditions at such times and in respect of such dividend periods (the “ Dividend Periods”), and payable in</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preference to, or in such relation to, the dividends payable on any other class or classes of shares or any other series;</w:t>
            </w:r>
          </w:p>
        </w:tc>
      </w:tr>
      <w:tr>
        <w:trPr>
          <w:trHeight w:val="288"/>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14.3</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entitled to such rights upon the dissolution of, or upon any distribution of the assets of, the Company; or</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14.4</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convertible into, or exchangeable for, shares of any other class or classes of shares, or of any other series of the same or any other class or classes of shares, of the Company at such price or prices or at such</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rates of exchange and with such adjustments as the Directors determine,</w:t>
            </w:r>
          </w:p>
        </w:tc>
      </w:tr>
    </w:tbl>
    <w:p>
      <w:pPr>
        <w:spacing w:after="0" w:line="133" w:lineRule="exact"/>
        <w:rPr>
          <w:sz w:val="20"/>
          <w:szCs w:val="20"/>
          <w:color w:val="auto"/>
        </w:rPr>
      </w:pPr>
    </w:p>
    <w:p>
      <w:pPr>
        <w:ind w:left="908"/>
        <w:spacing w:after="0" w:line="279" w:lineRule="auto"/>
        <w:rPr>
          <w:sz w:val="20"/>
          <w:szCs w:val="20"/>
          <w:color w:val="auto"/>
        </w:rPr>
      </w:pPr>
      <w:r>
        <w:rPr>
          <w:rFonts w:ascii="Times New Roman" w:cs="Times New Roman" w:eastAsia="Times New Roman" w:hAnsi="Times New Roman"/>
          <w:sz w:val="12"/>
          <w:szCs w:val="12"/>
          <w:color w:val="auto"/>
        </w:rPr>
        <w:t>which rights and restrictions may be as stated in such resolution or resolutions of the Directors as determined by them in accordance with this Article 14. The Board may at any time before the allotment of any preferred share by further resolution in any way amend the designations, preferences, rights, qualifications, limitations or restrictions, or vary or revoke the designations of such preferred shares.</w:t>
      </w:r>
    </w:p>
    <w:p>
      <w:pPr>
        <w:spacing w:after="0" w:line="111" w:lineRule="exact"/>
        <w:rPr>
          <w:sz w:val="20"/>
          <w:szCs w:val="20"/>
          <w:color w:val="auto"/>
        </w:rPr>
      </w:pPr>
    </w:p>
    <w:p>
      <w:pPr>
        <w:ind w:left="908" w:right="20"/>
        <w:spacing w:after="0" w:line="279" w:lineRule="auto"/>
        <w:rPr>
          <w:sz w:val="20"/>
          <w:szCs w:val="20"/>
          <w:color w:val="auto"/>
        </w:rPr>
      </w:pPr>
      <w:r>
        <w:rPr>
          <w:rFonts w:ascii="Times New Roman" w:cs="Times New Roman" w:eastAsia="Times New Roman" w:hAnsi="Times New Roman"/>
          <w:sz w:val="12"/>
          <w:szCs w:val="12"/>
          <w:color w:val="auto"/>
        </w:rPr>
        <w:t>Notwithstanding the fixing of the number of preferred shares constituting a particular series upon the issuance thereof, the Board at any time thereafter may authorise the issuance of additional preferred shares of the same series subject always to the Companies Acts, the Memorandum and these Articles.</w:t>
      </w:r>
    </w:p>
    <w:p>
      <w:pPr>
        <w:spacing w:after="0" w:line="111" w:lineRule="exact"/>
        <w:rPr>
          <w:sz w:val="20"/>
          <w:szCs w:val="20"/>
          <w:color w:val="auto"/>
        </w:rPr>
      </w:pPr>
    </w:p>
    <w:p>
      <w:pPr>
        <w:ind w:left="908"/>
        <w:spacing w:after="0" w:line="279" w:lineRule="auto"/>
        <w:rPr>
          <w:sz w:val="20"/>
          <w:szCs w:val="20"/>
          <w:color w:val="auto"/>
        </w:rPr>
      </w:pPr>
      <w:r>
        <w:rPr>
          <w:rFonts w:ascii="Times New Roman" w:cs="Times New Roman" w:eastAsia="Times New Roman" w:hAnsi="Times New Roman"/>
          <w:sz w:val="12"/>
          <w:szCs w:val="12"/>
          <w:color w:val="auto"/>
        </w:rPr>
        <w:t>The rights conferred upon a Member holding any pre-existing shares in the share capital of the Company shall be deemed not to be varied by the creation, issue and allotment of preferred shares in accordance with this Article 14.</w:t>
      </w:r>
    </w:p>
    <w:p>
      <w:pPr>
        <w:spacing w:after="0" w:line="111" w:lineRule="exact"/>
        <w:rPr>
          <w:sz w:val="20"/>
          <w:szCs w:val="20"/>
          <w:color w:val="auto"/>
        </w:rPr>
      </w:pPr>
    </w:p>
    <w:p>
      <w:pPr>
        <w:jc w:val="both"/>
        <w:ind w:left="908" w:hanging="908"/>
        <w:spacing w:after="0" w:line="265" w:lineRule="auto"/>
        <w:tabs>
          <w:tab w:leader="none" w:pos="90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dividend shall be declared and set apart for payment on any series of preferred shares in respect of any Dividend Period unless there shall likewise be or have been paid, or declared and set apart for payment, on all preferred shares of each other series entitled to cumulative dividends at the time outstanding that rank senior or equally as to dividends with the series in question, dividends rateably in accordance with the sums which would be payable on the said preferred shares through the end of the last preceding Dividend Period if all dividends were declared and paid in full.</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upon the winding up of the Company, the assets of the Company distributable among the holders of any one or more series of preferred shares which (i) are entitled to a preference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148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408" w:right="299" w:bottom="1440" w:gutter="0" w:footer="0" w:header="0"/>
        </w:sectPr>
      </w:pPr>
    </w:p>
    <w:bookmarkStart w:id="53" w:name="page54"/>
    <w:bookmarkEnd w:id="53"/>
    <w:p>
      <w:pPr>
        <w:jc w:val="both"/>
        <w:ind w:left="908"/>
        <w:spacing w:after="0" w:line="265" w:lineRule="auto"/>
        <w:rPr>
          <w:sz w:val="20"/>
          <w:szCs w:val="20"/>
          <w:color w:val="auto"/>
        </w:rPr>
      </w:pPr>
      <w:r>
        <w:rPr>
          <w:rFonts w:ascii="Times New Roman" w:cs="Times New Roman" w:eastAsia="Times New Roman" w:hAnsi="Times New Roman"/>
          <w:sz w:val="12"/>
          <w:szCs w:val="12"/>
          <w:color w:val="auto"/>
        </w:rPr>
        <w:t>the holders of the ordinary shares upon such winding up, and (ii) rank equally in connection with any such distribution, shall be insufficient to pay in full the preferential amount to which the holders of such preferred shares shall be entitled, then such assets, or the proceeds thereof, shall be distributed among the holders of each such series of the preferred shares rateably in accordance with the sums which would be payable on such distribution if all sums payable were discharged in full.</w:t>
      </w:r>
    </w:p>
    <w:p>
      <w:pPr>
        <w:spacing w:after="0" w:line="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ISSUE OF WARRANTS</w:t>
      </w:r>
    </w:p>
    <w:p>
      <w:pPr>
        <w:spacing w:after="0" w:line="154" w:lineRule="exact"/>
        <w:rPr>
          <w:sz w:val="20"/>
          <w:szCs w:val="20"/>
          <w:color w:val="auto"/>
        </w:rPr>
      </w:pPr>
    </w:p>
    <w:p>
      <w:pPr>
        <w:ind w:left="908" w:hanging="908"/>
        <w:spacing w:after="0"/>
        <w:tabs>
          <w:tab w:leader="none" w:pos="9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issue warrants to subscribe for any class of Shares or other securities of the Company on such terms as it may from time to time determine.</w:t>
      </w:r>
    </w:p>
    <w:p>
      <w:pPr>
        <w:spacing w:after="0" w:line="146" w:lineRule="exact"/>
        <w:rPr>
          <w:rFonts w:ascii="Times New Roman" w:cs="Times New Roman" w:eastAsia="Times New Roman" w:hAnsi="Times New Roman"/>
          <w:sz w:val="12"/>
          <w:szCs w:val="12"/>
          <w:color w:val="auto"/>
        </w:rPr>
      </w:pPr>
    </w:p>
    <w:p>
      <w:pPr>
        <w:ind w:left="480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CERTIFICATES FOR SHARES</w:t>
      </w:r>
    </w:p>
    <w:p>
      <w:pPr>
        <w:spacing w:after="0" w:line="154"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provided for by the Board or the rights attaching to or by the terms of issue of any particular Shares, or to the extent required by any stock exchange, depository, or any operator of any clearance or settlement system, no person whose name is entered as a Member in the Register of Members shall be entitled to receive a share certificate for all her Shares of each class held by her (nor on transferring a part of holding, to a certificate for the balance).</w:t>
      </w:r>
    </w:p>
    <w:p>
      <w:pPr>
        <w:spacing w:after="0" w:line="118" w:lineRule="exact"/>
        <w:rPr>
          <w:rFonts w:ascii="Times New Roman" w:cs="Times New Roman" w:eastAsia="Times New Roman" w:hAnsi="Times New Roman"/>
          <w:sz w:val="12"/>
          <w:szCs w:val="12"/>
          <w:color w:val="auto"/>
        </w:rPr>
      </w:pPr>
    </w:p>
    <w:p>
      <w:pPr>
        <w:jc w:val="both"/>
        <w:ind w:left="908" w:hanging="908"/>
        <w:spacing w:after="0" w:line="256" w:lineRule="auto"/>
        <w:tabs>
          <w:tab w:leader="none" w:pos="9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share certificate, if issued, shall specify the number of Shares in respect of which it is issued and the amount paid thereon or the fact that they are fully paid, as the case may be, and may otherwise be in such form as shall be determined by the Board.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Board may authorise certificates to be issued with the seal and authorised signature(s) affixed by some method or system of mechanical process. In respect of a Share or Shares held jointly by several persons, the Company shall not be bound to issue a certificate or certificates to each such person, and the issue and delivery of a certificate or certificates to one of several joint holders shall be sufficient delivery to all such holders.</w:t>
      </w:r>
    </w:p>
    <w:p>
      <w:pPr>
        <w:spacing w:after="0" w:line="124"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share certificate is defaced, worn out, lost or destroyed, it may be renewed on such terms (if any) as to evidence and indemnity and on the payment of such expenses reasonably incurred by the Company in investigating such evidence, as the Board may prescribe, and, in the case of defacement or wearing out, upon delivery of the old certificate.</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REGISTER OF MEMBERS</w:t>
      </w:r>
    </w:p>
    <w:p>
      <w:pPr>
        <w:spacing w:after="0" w:line="154" w:lineRule="exact"/>
        <w:rPr>
          <w:sz w:val="20"/>
          <w:szCs w:val="20"/>
          <w:color w:val="auto"/>
        </w:rPr>
      </w:pPr>
    </w:p>
    <w:p>
      <w:pPr>
        <w:ind w:left="908" w:hanging="908"/>
        <w:spacing w:after="0"/>
        <w:tabs>
          <w:tab w:leader="none" w:pos="9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maintain or cause to be maintained a Register of its Members in accordance with the Companies Acts.</w:t>
      </w:r>
    </w:p>
    <w:p>
      <w:pPr>
        <w:spacing w:after="0" w:line="150"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Board considers it necessary or appropriate, the Company may establish and maintain a duplicate Register or Registers of Members at such location or locations within or outside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148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54" w:name="page55"/>
    <w:bookmarkEnd w:id="54"/>
    <w:p>
      <w:pPr>
        <w:ind w:left="908"/>
        <w:spacing w:after="0"/>
        <w:rPr>
          <w:sz w:val="20"/>
          <w:szCs w:val="20"/>
          <w:color w:val="auto"/>
        </w:rPr>
      </w:pPr>
      <w:r>
        <w:rPr>
          <w:rFonts w:ascii="Times New Roman" w:cs="Times New Roman" w:eastAsia="Times New Roman" w:hAnsi="Times New Roman"/>
          <w:sz w:val="12"/>
          <w:szCs w:val="12"/>
          <w:color w:val="auto"/>
        </w:rPr>
        <w:t>Ireland as the Board thinks fit. The original Register of Members shall be treated as the Register of Members for the purposes of these Articles and the Companies Acts.</w:t>
      </w:r>
    </w:p>
    <w:p>
      <w:pPr>
        <w:spacing w:after="0" w:line="150" w:lineRule="exact"/>
        <w:rPr>
          <w:sz w:val="20"/>
          <w:szCs w:val="20"/>
          <w:color w:val="auto"/>
        </w:rPr>
      </w:pPr>
    </w:p>
    <w:p>
      <w:pPr>
        <w:jc w:val="both"/>
        <w:ind w:left="908" w:right="40" w:hanging="908"/>
        <w:spacing w:after="0" w:line="265" w:lineRule="auto"/>
        <w:tabs>
          <w:tab w:leader="none" w:pos="90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or any agent(s) appointed by it to maintain the duplicate Register of Members in accordance with these Articles, shall as soon as practicable and on a regular basis record or procure the recording in the original Register of Members all transfers of Shares effected on any duplicate Register of Members and shall at all times maintain the original Register of Members in such manner as to show at all times the Members for the time being and the Shares respectively held by them, in all respects in accordance with the Companies Acts.</w:t>
      </w:r>
    </w:p>
    <w:p>
      <w:pPr>
        <w:spacing w:after="0" w:line="118"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be bound to register more than four persons as joint holders of any Share. If any Share shall stand in the names of two or more persons, the person first named in the Register of Members shall be deemed the sole holder thereof as regards service of notices and, subject to the provisions of these Articles, all or any other matters connected with the Company.</w:t>
      </w:r>
    </w:p>
    <w:p>
      <w:pPr>
        <w:spacing w:after="0" w:line="3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TRANSFER OF SHARES</w:t>
      </w:r>
    </w:p>
    <w:p>
      <w:pPr>
        <w:spacing w:after="0" w:line="154" w:lineRule="exact"/>
        <w:rPr>
          <w:sz w:val="20"/>
          <w:szCs w:val="20"/>
          <w:color w:val="auto"/>
        </w:rPr>
      </w:pPr>
    </w:p>
    <w:p>
      <w:pPr>
        <w:ind w:left="908" w:right="40" w:hanging="908"/>
        <w:spacing w:after="0" w:line="279" w:lineRule="auto"/>
        <w:tabs>
          <w:tab w:leader="none" w:pos="90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transfers of Shares may be effected by an instrument of transfer in the usual common form or in such other form as the Board may approve. All instruments of transfer must be left at the registered office or at such other place as the Board may appoint and all such instruments of transfer shall be retained by the Company.</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26.</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26.1</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instrument of transfer shall be executed by or on behalf of the transferor. The instrument of transfer of any Share shall be in writing and shall be executed with a manual signature or facsimile signature</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(which may be machine imprinted or otherwise) by or on behalf of the transferor provided that in the case of execution by facsimile signature by or on behalf of a transferor, the Board shall have previously</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been provided with a list of specimen signatures of the authorised signatories of such transferor and the Board shall be reasonably satisfied that such facsimile signature corresponds to one of those specimen</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signatures.</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26.2</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instrument of transfer of any Share may be executed for and on behalf of the transferor by the Secretary or an Assistant Secretary, and the Secretary or Assistant Secretary shall be deemed to have been</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irrevocably appointed agent for the transferor of such Share or Shares with full power to execute, complete and deliver in the name of and on behalf of the transferor of such Share or Shares all such transfers</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of Shares held by the Members in the share capital of the Company. Any document which records the name of the transferor, the name of the transferee, the class and number of Shares agreed to be</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transferred, the date of the agreement to transfer Shares, shall, once executed by the transferor or the Secretary or Assistant Secretary as agent for the transferor, be deemed to be a proper instrument of</w:t>
            </w:r>
          </w:p>
        </w:tc>
      </w:tr>
      <w:tr>
        <w:trPr>
          <w:trHeight w:val="144"/>
        </w:trPr>
        <w:tc>
          <w:tcPr>
            <w:tcW w:w="1000" w:type="dxa"/>
            <w:vAlign w:val="bottom"/>
          </w:tcPr>
          <w:p>
            <w:pPr>
              <w:spacing w:after="0"/>
              <w:rPr>
                <w:sz w:val="12"/>
                <w:szCs w:val="12"/>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transfer for the purposes of the Companies Acts. The transferor shall be deemed to remain the holder of the Share until the name of the transferee is entered on the Register in respect thereof, and neither the</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title of the transferee nor the title of the transferor shall be affected by any irregularity or invalidity in the proceedings in reference to the sale should the Directors so determine.</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26.3</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Company, at its absolute discretion, may, or may procure that a subsidiary of the Company shall, pay Irish stamp duty arising on a transfer of Shares on behalf of the</w:t>
            </w:r>
          </w:p>
        </w:tc>
      </w:tr>
      <w:tr>
        <w:trPr>
          <w:trHeight w:val="288"/>
        </w:trPr>
        <w:tc>
          <w:tcPr>
            <w:tcW w:w="10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-23495</wp:posOffset>
            </wp:positionV>
            <wp:extent cx="311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8"/>
          </w:cols>
          <w:pgMar w:left="292" w:top="264" w:right="279" w:bottom="1440" w:gutter="0" w:footer="0" w:header="0"/>
        </w:sectPr>
      </w:pPr>
    </w:p>
    <w:bookmarkStart w:id="55" w:name="page56"/>
    <w:bookmarkEnd w:id="55"/>
    <w:tbl>
      <w:tblPr>
        <w:tblLayout w:type="fixed"/>
        <w:tblInd w:w="448" w:type="dxa"/>
        <w:tblCellMar>
          <w:top w:w="0" w:type="dxa"/>
          <w:left w:w="0" w:type="dxa"/>
          <w:bottom w:w="0" w:type="dxa"/>
          <w:right w:w="0" w:type="dxa"/>
        </w:tblCellMar>
      </w:tblP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transferee of such Shares of the Company. If stamp duty resulting from the transfer of Shares in the Company which would otherwise be payable by the transferee is paid by the Company or any subsidiary of</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Company on behalf of the transferee, then in those circumstances, the Company shall, on its behalf or on behalf of its subsidiary (as the case may be), be entitled to (i) seek reimbursement of the stamp</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duty from the transferee, (ii) set-off the stamp duty against any dividends payable to the transferee of those Shares and (iii) to claim a first and permanent lien on the Shares on which stamp duty has been</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paid by the Company or its subsidiary for the amount of stamp duty paid. The Company’s lien shall extend to all dividends paid on those Shares.</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26.4</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Notwithstanding the provisions of these Articles and subject to any regulations made under section 239 of the Companies Act 1990 or section 1086 of the Companies Act 2014, title to any Shares in the</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Company may also be evidenced and transferred without a written instrument in accordance with section 239 of the Companies Act 1990 or section 1086 of the Companies Act 2014, or any regulations made</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thereunder. The Directors shall have power to permit any class of Shares to be held in uncertificated form and to implement any arrangements they think fit for such evidencing and transfer which accord with</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such regulations and in particular shall, where appropriate, be entitled to disapply or modify all or part of the provisions in these Articles with respect to the requirement for written instruments of transfer and</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share certificates (if any), in order to give effect to such regulations.</w:t>
            </w:r>
          </w:p>
        </w:tc>
      </w:tr>
    </w:tbl>
    <w:p>
      <w:pPr>
        <w:spacing w:after="0" w:line="133" w:lineRule="exact"/>
        <w:rPr>
          <w:sz w:val="20"/>
          <w:szCs w:val="20"/>
          <w:color w:val="auto"/>
        </w:rPr>
      </w:pPr>
    </w:p>
    <w:p>
      <w:pPr>
        <w:ind w:left="908" w:right="20" w:hanging="908"/>
        <w:spacing w:after="0" w:line="279" w:lineRule="auto"/>
        <w:tabs>
          <w:tab w:leader="none" w:pos="90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in its absolute discretion and without assigning any reason for its decision, decline to register any transfer of any Share which is not a fully paid Share. The Board may also, in its absolute discretion, and without assigning any reason, refuse to register a transfer of any Share unless:</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27.1</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instrument of transfer is lodged with the Company accompanied by the certificate for the Shares (if any) to which it relates (which shall upon registration of the transfer be cancelled) and such other</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evidence as the Board may reasonably require to show the right of the transferor to make the transfer;</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27.2</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instrument of transfer is in respect of only one class of Shares;</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27.3</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instrument of transfer is properly stamped (in circumstances where stamping is required);</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27.4</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in the case of a transfer to joint holders, the number of joint holders to which the Share is to be transferred does not exceed four;</w:t>
            </w:r>
          </w:p>
        </w:tc>
      </w:tr>
      <w:tr>
        <w:trPr>
          <w:trHeight w:val="277"/>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27.5</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it is satisfied, acting reasonably, that all applicable consents, authorisations, permissions or approvals of any governmental body or agency in Ireland or any other applicable jurisdiction required to be</w:t>
            </w:r>
          </w:p>
        </w:tc>
      </w:tr>
      <w:tr>
        <w:trPr>
          <w:trHeight w:val="155"/>
        </w:trPr>
        <w:tc>
          <w:tcPr>
            <w:tcW w:w="1000" w:type="dxa"/>
            <w:vAlign w:val="bottom"/>
          </w:tcPr>
          <w:p>
            <w:pPr>
              <w:spacing w:after="0"/>
              <w:rPr>
                <w:sz w:val="13"/>
                <w:szCs w:val="13"/>
                <w:color w:val="auto"/>
              </w:rPr>
            </w:pP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obtained under relevant law prior to such transfer have been obtained; and</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27.6</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it is satisfied, acting reasonably, that the transfer would not violate the terms of any agreement to which the Company (or any of its subsidiaries) and the transferor are party or subject.</w:t>
            </w:r>
          </w:p>
        </w:tc>
      </w:tr>
      <w:tr>
        <w:trPr>
          <w:trHeight w:val="288"/>
        </w:trPr>
        <w:tc>
          <w:tcPr>
            <w:tcW w:w="10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8"/>
          </w:cols>
          <w:pgMar w:left="292" w:top="264" w:right="279" w:bottom="1440" w:gutter="0" w:footer="0" w:header="0"/>
        </w:sectPr>
      </w:pPr>
    </w:p>
    <w:bookmarkStart w:id="56" w:name="page57"/>
    <w:bookmarkEnd w:id="56"/>
    <w:p>
      <w:pPr>
        <w:ind w:left="908" w:hanging="908"/>
        <w:spacing w:after="0" w:line="279" w:lineRule="auto"/>
        <w:tabs>
          <w:tab w:leader="none" w:pos="9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Board shall refuse to register a transfer of any Share, it shall, within two (2) months after the date on which the transfer was lodged with the Company, send to each of the transferor and the transferee notice of such refusal.</w:t>
      </w:r>
    </w:p>
    <w:p>
      <w:pPr>
        <w:spacing w:after="0" w:line="111"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every transfer of Shares the certificate (if any) held by the transferor shall be given up to be cancelled, and shall forthwith be cancelled accordingly, and subject to Article 18 a new certificate may be issued without charge to the transferee in respect of the Shares transferred to her, and if any of the Shares included in the certificate so given up shall be retained by the transferor, a new certificate in respect thereof may be issued to her without charge. The Company shall also retain the instrument(s) of transfer.</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REDEMPTION AND REPURCHASE OF SHARES</w:t>
      </w:r>
    </w:p>
    <w:p>
      <w:pPr>
        <w:spacing w:after="0" w:line="154" w:lineRule="exact"/>
        <w:rPr>
          <w:sz w:val="20"/>
          <w:szCs w:val="20"/>
          <w:color w:val="auto"/>
        </w:rPr>
      </w:pPr>
    </w:p>
    <w:p>
      <w:pPr>
        <w:ind w:left="908" w:right="20" w:hanging="908"/>
        <w:spacing w:after="0" w:line="279" w:lineRule="auto"/>
        <w:tabs>
          <w:tab w:leader="none" w:pos="90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the Companies Acts and these Articles, the Company may, pursuant to the Companies Acts, issue any Shares of the Company which are to be redeemed or are liable to be redeemed at the option of the Company or the Member of the Company on such terms and in such manner as may be determined by the Company in general meeting (by Special Resolution) on the recommendation of the Board.</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Companies Acts, the Company may, without prejudice to any relevant special rights attached to any class of Shares pursuant to the Companies Acts, purchase any of its own Shares (including any Redeemable Shares and without any obligation to purchase on any pro rata basis as between Members or Members of the same class) and may cancel any Shares so purchased or hold them as treasury shares (as defined by the Companies Acts) and may reissue any such Shares as Shares of any class or classes.</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make a payment in respect of the redemption or purchase of its own Shares in any manner permitted by the Companies Acts.</w:t>
      </w:r>
    </w:p>
    <w:p>
      <w:pPr>
        <w:spacing w:after="0" w:line="150"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VARIATION OF RIGHTS OF SHARES</w:t>
      </w:r>
    </w:p>
    <w:p>
      <w:pPr>
        <w:spacing w:after="0" w:line="154" w:lineRule="exact"/>
        <w:rPr>
          <w:sz w:val="20"/>
          <w:szCs w:val="20"/>
          <w:color w:val="auto"/>
        </w:rPr>
      </w:pPr>
    </w:p>
    <w:p>
      <w:pPr>
        <w:jc w:val="both"/>
        <w:ind w:left="908" w:hanging="908"/>
        <w:spacing w:after="0" w:line="265" w:lineRule="auto"/>
        <w:tabs>
          <w:tab w:leader="none" w:pos="90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the share capital of the Company is divided into different classes of Shares, the rights attached to any class (unless otherwise provided by the terms of issue of the Shares of that class) may be varied or abrogated with the consent in writing of the holders of three-quarters of all the votes of the issued Shares of that class, or with the sanction of a Special Resolution passed at a general meeting of the holders of the Shares of that class.</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these Articles relating to general meetings of the Company shall apply mutatis mutandis to every such general meeting of the holders of one class of Shares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148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552" w:right="299" w:bottom="1440" w:gutter="0" w:footer="0" w:header="0"/>
        </w:sectPr>
      </w:pPr>
    </w:p>
    <w:bookmarkStart w:id="57" w:name="page58"/>
    <w:bookmarkEnd w:id="57"/>
    <w:p>
      <w:pPr>
        <w:ind w:left="908"/>
        <w:spacing w:after="0"/>
        <w:rPr>
          <w:sz w:val="20"/>
          <w:szCs w:val="20"/>
          <w:color w:val="auto"/>
        </w:rPr>
      </w:pPr>
      <w:r>
        <w:rPr>
          <w:rFonts w:ascii="Times New Roman" w:cs="Times New Roman" w:eastAsia="Times New Roman" w:hAnsi="Times New Roman"/>
          <w:sz w:val="12"/>
          <w:szCs w:val="12"/>
          <w:color w:val="auto"/>
        </w:rPr>
        <w:t>that the necessary quorum shall be one or more persons holding or representing by proxy at least one-half of the issued Shares of the class.</w:t>
      </w:r>
    </w:p>
    <w:p>
      <w:pPr>
        <w:spacing w:after="0" w:line="150" w:lineRule="exact"/>
        <w:rPr>
          <w:sz w:val="20"/>
          <w:szCs w:val="20"/>
          <w:color w:val="auto"/>
        </w:rPr>
      </w:pPr>
    </w:p>
    <w:p>
      <w:pPr>
        <w:jc w:val="both"/>
        <w:ind w:left="908" w:right="20" w:hanging="908"/>
        <w:spacing w:after="0" w:line="265" w:lineRule="auto"/>
        <w:tabs>
          <w:tab w:leader="none" w:pos="90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conferred upon the holders of the Shares of any class issued with preferred or other rights shall not, unless otherwise expressly provided by the terms of issue of the Shares of that class, be deemed to be varied by (i) the creation or issue of further Shares ranking pari passu therewith; (ii) a purchase or redemption by the Company of its own Shares; or (iii) the creation or issue for full value (as determined by the Board) of further Shares ranking as regards participation in the profits or assets of the Company or otherwise in priority to them.</w:t>
      </w:r>
    </w:p>
    <w:p>
      <w:pPr>
        <w:spacing w:after="0" w:line="11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LIEN ON SHARES</w:t>
      </w:r>
    </w:p>
    <w:p>
      <w:pPr>
        <w:spacing w:after="0" w:line="154" w:lineRule="exact"/>
        <w:rPr>
          <w:sz w:val="20"/>
          <w:szCs w:val="20"/>
          <w:color w:val="auto"/>
        </w:rPr>
      </w:pPr>
    </w:p>
    <w:p>
      <w:pPr>
        <w:ind w:left="908" w:right="20" w:hanging="908"/>
        <w:spacing w:after="0" w:line="279" w:lineRule="auto"/>
        <w:tabs>
          <w:tab w:leader="none" w:pos="9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a first and paramount lien on every Share (not being a fully paid Share) for all monies (whether presently payable or not) payable at a fixed time or called in respect of that Share. The Directors, at any time, may declare any Share to be wholly or in part exempt from the provisions of this Article. The Company’s lien on a Share shall extend to all monies payable in respect of it.</w:t>
      </w:r>
    </w:p>
    <w:p>
      <w:pPr>
        <w:spacing w:after="0" w:line="111" w:lineRule="exact"/>
        <w:rPr>
          <w:rFonts w:ascii="Times New Roman" w:cs="Times New Roman" w:eastAsia="Times New Roman" w:hAnsi="Times New Roman"/>
          <w:sz w:val="12"/>
          <w:szCs w:val="12"/>
          <w:color w:val="auto"/>
        </w:rPr>
      </w:pPr>
    </w:p>
    <w:p>
      <w:pPr>
        <w:jc w:val="both"/>
        <w:ind w:left="908" w:right="20" w:hanging="908"/>
        <w:spacing w:after="0" w:line="265" w:lineRule="auto"/>
        <w:tabs>
          <w:tab w:leader="none" w:pos="9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 may be sold, has been given to the holder of the Share or to the person entitled to it by reason of the death or bankruptcy of the holder.</w:t>
      </w:r>
    </w:p>
    <w:p>
      <w:pPr>
        <w:spacing w:after="0" w:line="118" w:lineRule="exact"/>
        <w:rPr>
          <w:rFonts w:ascii="Times New Roman" w:cs="Times New Roman" w:eastAsia="Times New Roman" w:hAnsi="Times New Roman"/>
          <w:sz w:val="12"/>
          <w:szCs w:val="12"/>
          <w:color w:val="auto"/>
        </w:rPr>
      </w:pPr>
    </w:p>
    <w:p>
      <w:pPr>
        <w:jc w:val="both"/>
        <w:ind w:left="908" w:right="20" w:hanging="908"/>
        <w:spacing w:after="0" w:line="260" w:lineRule="auto"/>
        <w:tabs>
          <w:tab w:leader="none" w:pos="9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give effect to a sale, the Directors may authorise some person to execute an instrument of transfer of the Share sold to, or in accordance with the directions of, the transferee. The transferee shall be entered in the Register as the holder of the Share comprised in any such transfer and she shall not be bound to see to the application of the purchase monies nor shall her title to the Share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spacing w:after="0" w:line="122" w:lineRule="exact"/>
        <w:rPr>
          <w:rFonts w:ascii="Times New Roman" w:cs="Times New Roman" w:eastAsia="Times New Roman" w:hAnsi="Times New Roman"/>
          <w:sz w:val="12"/>
          <w:szCs w:val="12"/>
          <w:color w:val="auto"/>
        </w:rPr>
      </w:pPr>
    </w:p>
    <w:p>
      <w:pPr>
        <w:jc w:val="both"/>
        <w:ind w:left="908" w:right="40" w:hanging="908"/>
        <w:spacing w:after="0" w:line="265" w:lineRule="auto"/>
        <w:tabs>
          <w:tab w:leader="none" w:pos="9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proceeds of the sale, after payment of the costs, shall be applied in payment of so much of the sum for which the lien exists as is presently payable and any residue (upon surrender to the Company for cancellation of the certificate for the Shares sold and subject to a like lien for any monies not presently payable as existed upon the Shares before the sale) shall be paid to the person entitled to the Shares at the date of the sale.</w:t>
      </w:r>
    </w:p>
    <w:p>
      <w:pPr>
        <w:spacing w:after="0" w:line="118" w:lineRule="exact"/>
        <w:rPr>
          <w:rFonts w:ascii="Times New Roman" w:cs="Times New Roman" w:eastAsia="Times New Roman" w:hAnsi="Times New Roman"/>
          <w:sz w:val="12"/>
          <w:szCs w:val="12"/>
          <w:color w:val="auto"/>
        </w:rPr>
      </w:pPr>
    </w:p>
    <w:p>
      <w:pPr>
        <w:jc w:val="both"/>
        <w:ind w:left="908" w:right="20" w:hanging="908"/>
        <w:spacing w:after="0" w:line="260" w:lineRule="auto"/>
        <w:tabs>
          <w:tab w:leader="none" w:pos="90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 due or payable to such Member by the Company on or in respect of any Shares registered as mentioned above or for or on account or in respect of any Member and whether in consequence of:</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42.1</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death of such Member;</w:t>
            </w:r>
          </w:p>
        </w:tc>
      </w:tr>
      <w:tr>
        <w:trPr>
          <w:trHeight w:val="288"/>
        </w:trPr>
        <w:tc>
          <w:tcPr>
            <w:tcW w:w="100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42.2</w:t>
            </w:r>
          </w:p>
        </w:tc>
        <w:tc>
          <w:tcPr>
            <w:tcW w:w="103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non-payment of any income tax or other tax by such Member;</w:t>
            </w:r>
          </w:p>
        </w:tc>
      </w:tr>
      <w:tr>
        <w:trPr>
          <w:trHeight w:val="288"/>
        </w:trPr>
        <w:tc>
          <w:tcPr>
            <w:tcW w:w="10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-23495</wp:posOffset>
            </wp:positionV>
            <wp:extent cx="311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8"/>
          </w:cols>
          <w:pgMar w:left="292" w:top="264" w:right="279" w:bottom="1440" w:gutter="0" w:footer="0" w:header="0"/>
        </w:sectPr>
      </w:pPr>
    </w:p>
    <w:bookmarkStart w:id="58" w:name="page59"/>
    <w:bookmarkEnd w:id="58"/>
    <w:tbl>
      <w:tblPr>
        <w:tblLayout w:type="fixed"/>
        <w:tblInd w:w="448" w:type="dxa"/>
        <w:tblCellMar>
          <w:top w:w="0" w:type="dxa"/>
          <w:left w:w="0" w:type="dxa"/>
          <w:bottom w:w="0" w:type="dxa"/>
          <w:right w:w="0" w:type="dxa"/>
        </w:tblCellMar>
      </w:tblPr>
      <w:tr>
        <w:trPr>
          <w:trHeight w:val="155"/>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42.3</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non-payment of any estate, probate, succession, death, stamp or other duty by the executor or administrator of such Member or by or out of her estate; or</w:t>
            </w:r>
          </w:p>
        </w:tc>
      </w:tr>
      <w:tr>
        <w:trPr>
          <w:trHeight w:val="288"/>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42.4</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any other act or thing;</w:t>
            </w:r>
          </w:p>
        </w:tc>
      </w:tr>
      <w:tr>
        <w:trPr>
          <w:trHeight w:val="277"/>
        </w:trPr>
        <w:tc>
          <w:tcPr>
            <w:tcW w:w="560" w:type="dxa"/>
            <w:vAlign w:val="bottom"/>
          </w:tcPr>
          <w:p>
            <w:pPr>
              <w:spacing w:after="0"/>
              <w:rPr>
                <w:sz w:val="24"/>
                <w:szCs w:val="24"/>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in every such case (except to the extent that the rights conferred upon holders of any class of Shares under the Company liable to make additional payments in respect of sums withheld on account of the</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foregoing):</w:t>
            </w:r>
          </w:p>
        </w:tc>
      </w:tr>
      <w:tr>
        <w:trPr>
          <w:trHeight w:val="288"/>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42.5</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Company shall be fully indemnified by such Member or her executor or administrator from all liability;</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42.6</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Company shall have a lien upon all dividends and other monies payable in respect of the Shares registered in the Register as held either jointly or solely by such Member for all monies paid or payable by</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Company as referred to above in respect of such Shares or in respect of any dividends or other monies thereon or for or on account or in respect of such Member under or in consequence of any such law,</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together with interest at the rate of 15% per annum (or such other rate as the Board may determine) thereon from the date of payment to date of repayment, and the Company may deduct or set off against</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such dividends or other monies so payable any monies paid or payable by the Company as referred to above together with interest at the same rate;</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42.7</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Company may recover as a debt due from such Member or her executor or administrator (wherever constituted) any monies paid by the Company under or in consequence of any such law and interest</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thereon at the rate and for the period referred to above in excess of any dividends or other monies then due or payable by the Company; and</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42.8</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the Company may if any such money is paid or payable by it under any such law as referred to above refuse to register a transfer of any Shares by any such Member or her executor or administrator until such</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money and interest is set off or deducted as referred to above or in the case that it exceeds the amount of any such dividends or other monies then due or payable by the Company, until such excess is paid to</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the Company.</w:t>
            </w:r>
          </w:p>
        </w:tc>
      </w:tr>
    </w:tbl>
    <w:p>
      <w:pPr>
        <w:spacing w:after="0" w:line="133" w:lineRule="exact"/>
        <w:rPr>
          <w:sz w:val="20"/>
          <w:szCs w:val="20"/>
          <w:color w:val="auto"/>
        </w:rPr>
      </w:pPr>
    </w:p>
    <w:p>
      <w:pPr>
        <w:jc w:val="both"/>
        <w:ind w:left="908"/>
        <w:spacing w:after="0" w:line="265" w:lineRule="auto"/>
        <w:rPr>
          <w:sz w:val="20"/>
          <w:szCs w:val="20"/>
          <w:color w:val="auto"/>
        </w:rPr>
      </w:pPr>
      <w:r>
        <w:rPr>
          <w:rFonts w:ascii="Times New Roman" w:cs="Times New Roman" w:eastAsia="Times New Roman" w:hAnsi="Times New Roman"/>
          <w:sz w:val="12"/>
          <w:szCs w:val="12"/>
          <w:color w:val="auto"/>
        </w:rPr>
        <w:t>Subject to the rights conferred upon the holders of any class of Shares, nothing in this Article 42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CALLS ON SHARES</w:t>
      </w:r>
    </w:p>
    <w:p>
      <w:pPr>
        <w:spacing w:after="0" w:line="154" w:lineRule="exact"/>
        <w:rPr>
          <w:sz w:val="20"/>
          <w:szCs w:val="20"/>
          <w:color w:val="auto"/>
        </w:rPr>
      </w:pPr>
    </w:p>
    <w:p>
      <w:pPr>
        <w:ind w:left="908" w:hanging="908"/>
        <w:spacing w:after="0" w:line="279" w:lineRule="auto"/>
        <w:tabs>
          <w:tab w:leader="none" w:pos="90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of allotment, the Directors may make calls upon the Members in respect of any monies unpaid on their Shares and each Member (subject to receiving at least fourteen clear days’ notice specifying when and where payment is to be made) shall pay to the Company as required by the notice the amount called on her Shares. A call may be required to be paid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552" w:right="299" w:bottom="1440" w:gutter="0" w:footer="0" w:header="0"/>
        </w:sectPr>
      </w:pPr>
    </w:p>
    <w:bookmarkStart w:id="59" w:name="page60"/>
    <w:bookmarkEnd w:id="59"/>
    <w:p>
      <w:pPr>
        <w:ind w:left="908"/>
        <w:spacing w:after="0"/>
        <w:rPr>
          <w:sz w:val="20"/>
          <w:szCs w:val="20"/>
          <w:color w:val="auto"/>
        </w:rPr>
      </w:pPr>
      <w:r>
        <w:rPr>
          <w:rFonts w:ascii="Times New Roman" w:cs="Times New Roman" w:eastAsia="Times New Roman" w:hAnsi="Times New Roman"/>
          <w:sz w:val="12"/>
          <w:szCs w:val="12"/>
          <w:color w:val="auto"/>
        </w:rPr>
        <w:t>instalments. A call may be revoked before receipt by the Company of a sum due thereunder, in whole or in part and payment of a call may be postponed in whole or in part.</w:t>
      </w:r>
    </w:p>
    <w:p>
      <w:pPr>
        <w:spacing w:after="0" w:line="150" w:lineRule="exact"/>
        <w:rPr>
          <w:sz w:val="20"/>
          <w:szCs w:val="20"/>
          <w:color w:val="auto"/>
        </w:rPr>
      </w:pPr>
    </w:p>
    <w:p>
      <w:pPr>
        <w:ind w:left="908" w:hanging="908"/>
        <w:spacing w:after="0"/>
        <w:tabs>
          <w:tab w:leader="none" w:pos="9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call shall be deemed to have been made at the time when the resolution of the Directors authorising the call was passed.</w:t>
      </w:r>
    </w:p>
    <w:p>
      <w:pPr>
        <w:spacing w:after="0" w:line="150"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on whom a call is made shall (in addition to a transferee) remain liable notwithstanding the subsequent transfer of the Share in respect of which the call is made.</w:t>
      </w:r>
    </w:p>
    <w:p>
      <w:pPr>
        <w:spacing w:after="0" w:line="150"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joint holders of a Share shall be jointly and severally liable to pay all calls in respect thereof.</w:t>
      </w:r>
    </w:p>
    <w:p>
      <w:pPr>
        <w:spacing w:after="0" w:line="150"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or, if no rate is fixed, at the appropriate rate (as defined by the Companies Acts) but the Directors may waive payment of the interest wholly or in part.</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payable in respect of a Share on allotment or at any fixed date, whether in respect of nominal value by way of premium, shall be deemed to be a call and if it is not paid the provisions of these Articles shall apply as if that amount had become due and payable by virtue of a call.</w:t>
      </w:r>
    </w:p>
    <w:p>
      <w:pPr>
        <w:spacing w:after="0" w:line="111"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of allotment, the Directors may make arrangements on the issue of Shares for a difference between the holders in the amounts and times of payment of calls on their Shares.</w:t>
      </w:r>
    </w:p>
    <w:p>
      <w:pPr>
        <w:spacing w:after="0" w:line="150"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may, if they think fit, receive from any Member willing to advance the same all or any part of the monies uncalled and unpaid upon any Shares held by her, and upon all or any of the monies so advanced may pay (until the same would, but for such advance, become payable) interest at such rate as may be agreed upon between the Directors and the Member paying such sum in advance.</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FORFEITURE</w:t>
      </w:r>
    </w:p>
    <w:p>
      <w:pPr>
        <w:spacing w:after="0" w:line="154" w:lineRule="exact"/>
        <w:rPr>
          <w:sz w:val="20"/>
          <w:szCs w:val="20"/>
          <w:color w:val="auto"/>
        </w:rPr>
      </w:pPr>
    </w:p>
    <w:p>
      <w:pPr>
        <w:ind w:left="908" w:right="20" w:hanging="908"/>
        <w:spacing w:after="0" w:line="279" w:lineRule="auto"/>
        <w:tabs>
          <w:tab w:leader="none" w:pos="9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Member fails to pay any call or instalment of a call on the day appointed for payment thereof, the Directors, at any time thereafter during such times as any part of the call or instalment remains unpaid, may serve a notice on her requiring payment of so much of the call or instalment as is unpaid together with any interest which may have accrued.</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notice shall state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monies payable in respect of the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0" w:name="page61"/>
    <w:bookmarkEnd w:id="60"/>
    <w:p>
      <w:pPr>
        <w:ind w:left="908"/>
        <w:spacing w:after="0"/>
        <w:rPr>
          <w:sz w:val="20"/>
          <w:szCs w:val="20"/>
          <w:color w:val="auto"/>
        </w:rPr>
      </w:pPr>
      <w:r>
        <w:rPr>
          <w:rFonts w:ascii="Times New Roman" w:cs="Times New Roman" w:eastAsia="Times New Roman" w:hAnsi="Times New Roman"/>
          <w:sz w:val="12"/>
          <w:szCs w:val="12"/>
          <w:color w:val="auto"/>
        </w:rPr>
        <w:t>Shares and not paid before forfeiture. The Directors may accept a surrender of any Share liable to be forfeited hereunder.</w:t>
      </w:r>
    </w:p>
    <w:p>
      <w:pPr>
        <w:spacing w:after="0" w:line="150" w:lineRule="exact"/>
        <w:rPr>
          <w:sz w:val="20"/>
          <w:szCs w:val="20"/>
          <w:color w:val="auto"/>
        </w:rPr>
      </w:pPr>
    </w:p>
    <w:p>
      <w:pPr>
        <w:jc w:val="both"/>
        <w:ind w:left="908" w:hanging="908"/>
        <w:spacing w:after="0" w:line="265" w:lineRule="auto"/>
        <w:tabs>
          <w:tab w:leader="none" w:pos="9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18" w:lineRule="exact"/>
        <w:rPr>
          <w:rFonts w:ascii="Times New Roman" w:cs="Times New Roman" w:eastAsia="Times New Roman" w:hAnsi="Times New Roman"/>
          <w:sz w:val="12"/>
          <w:szCs w:val="12"/>
          <w:color w:val="auto"/>
        </w:rPr>
      </w:pPr>
    </w:p>
    <w:p>
      <w:pPr>
        <w:jc w:val="both"/>
        <w:ind w:left="908" w:hanging="908"/>
        <w:spacing w:after="0" w:line="257" w:lineRule="auto"/>
        <w:tabs>
          <w:tab w:leader="none" w:pos="9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forfeited Share may be sold or otherwise disposed of on such terms and in such manner as the Directors think fit and at any time before a sale or disposition the forfeiture may be cancelled on such terms as the Directors think fit. Where for the purposes of its disposal such a Share is to be transferred to any person, the Directors may authorise some person to execute an instrument of transfer of the Share to that person. The Company may receive the consideration, if any, given for the Share on any sale or disposition thereof and may execute a transfer of the Share in favour of the person to whom the Share is sold or disposed of and thereupon she shall be registered as the holder of the Share and shall not be bound to see to the application of the purchase money, if any, nor shall her title to the Share be affected by any irregularity or invalidity in the proceedings in reference to the forfeiture, sale or disposal of the Share.</w:t>
      </w:r>
    </w:p>
    <w:p>
      <w:pPr>
        <w:spacing w:after="0" w:line="125"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whose Shares have been forfeited shall cease to be a Member in respect of the forfeited Shares, but nevertheless shall remain liable to pay to the Company all monies which, at the date of forfeiture, were payable by her to the Company in respect of the Shares, without any deduction or allowance for the value of the Shares at the time of forfeiture but her liability shall cease if and when the Company shall have received payment in full of all such monies in respect of the Shares.</w:t>
      </w:r>
    </w:p>
    <w:p>
      <w:pPr>
        <w:spacing w:after="0" w:line="118"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statutory declaration or affidavit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11"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NON-RECOGNITION OF TRUSTS</w:t>
      </w:r>
    </w:p>
    <w:p>
      <w:pPr>
        <w:spacing w:after="0" w:line="154" w:lineRule="exact"/>
        <w:rPr>
          <w:sz w:val="20"/>
          <w:szCs w:val="20"/>
          <w:color w:val="auto"/>
        </w:rPr>
      </w:pPr>
    </w:p>
    <w:p>
      <w:pPr>
        <w:jc w:val="both"/>
        <w:ind w:left="908" w:hanging="908"/>
        <w:spacing w:after="0" w:line="265" w:lineRule="auto"/>
        <w:tabs>
          <w:tab w:leader="none" w:pos="90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 be obligated to recognise any person as holding any Share upon any trust (except as is otherwise provided in these Articles or to the extent required by law)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2148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1" w:name="page62"/>
    <w:bookmarkEnd w:id="61"/>
    <w:p>
      <w:pPr>
        <w:ind w:left="908"/>
        <w:spacing w:after="0" w:line="279" w:lineRule="auto"/>
        <w:rPr>
          <w:sz w:val="20"/>
          <w:szCs w:val="20"/>
          <w:color w:val="auto"/>
        </w:rPr>
      </w:pPr>
      <w:r>
        <w:rPr>
          <w:rFonts w:ascii="Times New Roman" w:cs="Times New Roman" w:eastAsia="Times New Roman" w:hAnsi="Times New Roman"/>
          <w:sz w:val="12"/>
          <w:szCs w:val="12"/>
          <w:color w:val="auto"/>
        </w:rPr>
        <w:t>the Companies Acts) any other rights in respect of any Share except an absolute right to the entirety thereof in the registered holder. This shall not preclude the Company from requiring the Members or a transferee of Shares to furnish to the Company with information as to the beneficial ownership of any Share when such information is reasonably required by the Company.</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TRANSMISSION OF SHARES</w:t>
      </w:r>
    </w:p>
    <w:p>
      <w:pPr>
        <w:spacing w:after="0" w:line="154" w:lineRule="exact"/>
        <w:rPr>
          <w:sz w:val="20"/>
          <w:szCs w:val="20"/>
          <w:color w:val="auto"/>
        </w:rPr>
      </w:pPr>
    </w:p>
    <w:p>
      <w:pPr>
        <w:jc w:val="both"/>
        <w:ind w:left="908" w:hanging="908"/>
        <w:spacing w:after="0" w:line="265" w:lineRule="auto"/>
        <w:tabs>
          <w:tab w:leader="none" w:pos="90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of the death of a Member, the survivor or survivors where the deceased was a joint holder, and the legal personal representatives of the deceased where she was a sole holder, shall be the only persons recognised by the Company as having any title to her interest in the Shares, but nothing herein contained shall release the estate of any such deceased holder from any liability in respect of any Shares which had been held by her solely or jointly with other persons.</w:t>
      </w:r>
    </w:p>
    <w:p>
      <w:pPr>
        <w:spacing w:after="0" w:line="118"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becoming entitled to a Share in consequence of the death or bankruptcy or liquidation or dissolution of a Member (or in any other way than by transfer) may, upon such evidence being produced as may from time to time be required by the Board and subject as hereinafter provided, elect either to be registered himself as holder of the Share or to make such transfer of the Share to such other person nominated by her and to have such person registered as the transferee thereof, but the Board shall, in either case, have the same right to decline or suspend registration as they would have had in the case of a transfer of the Share by that Member before her death or bankruptcy as the case may be.</w:t>
      </w:r>
    </w:p>
    <w:p>
      <w:pPr>
        <w:spacing w:after="0" w:line="122"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person so becoming entitled shall elect to be registered himself as holder, she shall deliver or send to the Company a notice in writing signed by her stating that she so elects.</w:t>
      </w:r>
    </w:p>
    <w:p>
      <w:pPr>
        <w:spacing w:after="0" w:line="150" w:lineRule="exact"/>
        <w:rPr>
          <w:rFonts w:ascii="Times New Roman" w:cs="Times New Roman" w:eastAsia="Times New Roman" w:hAnsi="Times New Roman"/>
          <w:sz w:val="12"/>
          <w:szCs w:val="12"/>
          <w:color w:val="auto"/>
        </w:rPr>
      </w:pPr>
    </w:p>
    <w:p>
      <w:pPr>
        <w:jc w:val="both"/>
        <w:ind w:left="908" w:hanging="908"/>
        <w:spacing w:after="0" w:line="257" w:lineRule="auto"/>
        <w:tabs>
          <w:tab w:leader="none" w:pos="90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Article 65, a person becoming entitled to a Share by reason of the death or bankruptcy or liquidation or dissolution of the holder (or in any other case than by transfer) shall be entitled to the same dividends and other advantages to which she would be entitled if she were the registered holder of the Share, except that she shall not, before being registered as a Member in respect of the Share, be entitled in respect of it to exercise any right conferred by Membership in relation to meetings of the Company provided however that the Board may at any time give notice requiring any such person to elect either to be registered himself or to transfer the Share and if the notice is not complied with within ninety (90) days the Board may thereafter withhold payment of all dividends, bonuses or other monies payable in respect of the Share until the requirements of the notice have been complied with.</w:t>
      </w:r>
    </w:p>
    <w:p>
      <w:pPr>
        <w:spacing w:after="0" w:line="125"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at any time give notice requiring a person entitled by transmission to a Share to elect either to be registered himself or to transfer the Share and if the notice is not complied with within sixty (60) days the Board may withhold payment of all dividends and other monies payable in respect of the Share until the requirements of the notice have been complied with.</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AMENDMENT OF MEMORANDUM OF ASSOCIATION;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CHANGE OF LOCATION OF REGISTERED OFFICE; AND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ALTERATION OF CAPITAL</w:t>
      </w:r>
    </w:p>
    <w:p>
      <w:pPr>
        <w:spacing w:after="0" w:line="139" w:lineRule="exact"/>
        <w:rPr>
          <w:sz w:val="20"/>
          <w:szCs w:val="20"/>
          <w:color w:val="auto"/>
        </w:rPr>
      </w:pPr>
    </w:p>
    <w:p>
      <w:pPr>
        <w:ind w:left="908" w:hanging="908"/>
        <w:spacing w:after="0"/>
        <w:tabs>
          <w:tab w:leader="none" w:pos="90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by Ordinary Resolution:</w:t>
      </w:r>
    </w:p>
    <w:p>
      <w:pPr>
        <w:spacing w:after="0" w:line="150" w:lineRule="exact"/>
        <w:rPr>
          <w:sz w:val="20"/>
          <w:szCs w:val="20"/>
          <w:color w:val="auto"/>
        </w:rPr>
      </w:pPr>
    </w:p>
    <w:p>
      <w:pPr>
        <w:ind w:left="448"/>
        <w:spacing w:after="0"/>
        <w:tabs>
          <w:tab w:leader="none" w:pos="1328" w:val="left"/>
        </w:tabs>
        <w:rPr>
          <w:sz w:val="20"/>
          <w:szCs w:val="20"/>
          <w:color w:val="auto"/>
        </w:rPr>
      </w:pPr>
      <w:r>
        <w:rPr>
          <w:rFonts w:ascii="Times New Roman" w:cs="Times New Roman" w:eastAsia="Times New Roman" w:hAnsi="Times New Roman"/>
          <w:sz w:val="12"/>
          <w:szCs w:val="12"/>
          <w:color w:val="auto"/>
        </w:rPr>
        <w:t>66.1</w:t>
      </w:r>
      <w:r>
        <w:rPr>
          <w:sz w:val="20"/>
          <w:szCs w:val="20"/>
          <w:color w:val="auto"/>
        </w:rPr>
        <w:tab/>
      </w:r>
      <w:r>
        <w:rPr>
          <w:rFonts w:ascii="Times New Roman" w:cs="Times New Roman" w:eastAsia="Times New Roman" w:hAnsi="Times New Roman"/>
          <w:sz w:val="11"/>
          <w:szCs w:val="11"/>
          <w:color w:val="auto"/>
        </w:rPr>
        <w:t>divide its share capital into several classes and attach to them respectively any preferential, deferred, qualified or special rights, privileges or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148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2" w:name="page63"/>
    <w:bookmarkEnd w:id="62"/>
    <w:tbl>
      <w:tblPr>
        <w:tblLayout w:type="fixed"/>
        <w:tblInd w:w="448" w:type="dxa"/>
        <w:tblCellMar>
          <w:top w:w="0" w:type="dxa"/>
          <w:left w:w="0" w:type="dxa"/>
          <w:bottom w:w="0" w:type="dxa"/>
          <w:right w:w="0" w:type="dxa"/>
        </w:tblCellMar>
      </w:tblPr>
      <w:tr>
        <w:trPr>
          <w:trHeight w:val="155"/>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66.2</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increase the authorised share capital by such sum to be divided into Shares of such nominal value, as such Ordinary Resolution shall prescribe;</w:t>
            </w:r>
          </w:p>
        </w:tc>
      </w:tr>
      <w:tr>
        <w:trPr>
          <w:trHeight w:val="288"/>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66.3</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consolidate and divide all or any of its share capital into Shares of larger amount than its existing Shares;</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66.4</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by subdivision of its existing Shares or any of them divide the whole or any part of its share capital into Shares of smaller nominal value than is fixed by the Memorandum subject to the Companies Acts, so,</w:t>
            </w:r>
          </w:p>
        </w:tc>
      </w:tr>
      <w:tr>
        <w:trPr>
          <w:trHeight w:val="144"/>
        </w:trPr>
        <w:tc>
          <w:tcPr>
            <w:tcW w:w="560" w:type="dxa"/>
            <w:vAlign w:val="bottom"/>
          </w:tcPr>
          <w:p>
            <w:pPr>
              <w:spacing w:after="0"/>
              <w:rPr>
                <w:sz w:val="12"/>
                <w:szCs w:val="12"/>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however, that in the sub-division the proportion between the amount paid and the amount, if any, unpaid on each reduced Share shall be the same as it was in the case of the Share from which the reduced</w:t>
            </w:r>
          </w:p>
        </w:tc>
      </w:tr>
      <w:tr>
        <w:trPr>
          <w:trHeight w:val="155"/>
        </w:trPr>
        <w:tc>
          <w:tcPr>
            <w:tcW w:w="560" w:type="dxa"/>
            <w:vAlign w:val="bottom"/>
          </w:tcPr>
          <w:p>
            <w:pPr>
              <w:spacing w:after="0"/>
              <w:rPr>
                <w:sz w:val="13"/>
                <w:szCs w:val="13"/>
                <w:color w:val="auto"/>
              </w:rPr>
            </w:pP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Share is derived;</w:t>
            </w:r>
          </w:p>
        </w:tc>
      </w:tr>
      <w:tr>
        <w:trPr>
          <w:trHeight w:val="288"/>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66.5</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cancel any Shares that at the date of the passing of the relevant Ordinary Resolution have not been taken or agreed to be taken by any person; and</w:t>
            </w:r>
          </w:p>
        </w:tc>
      </w:tr>
      <w:tr>
        <w:trPr>
          <w:trHeight w:val="288"/>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66.6</w:t>
            </w:r>
          </w:p>
        </w:tc>
        <w:tc>
          <w:tcPr>
            <w:tcW w:w="103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subject to applicable law, change the currency denomination of its share capital.</w:t>
            </w:r>
          </w:p>
        </w:tc>
      </w:tr>
    </w:tbl>
    <w:p>
      <w:pPr>
        <w:spacing w:after="0" w:line="133" w:lineRule="exact"/>
        <w:rPr>
          <w:sz w:val="20"/>
          <w:szCs w:val="20"/>
          <w:color w:val="auto"/>
        </w:rPr>
      </w:pPr>
    </w:p>
    <w:p>
      <w:pPr>
        <w:ind w:left="908" w:hanging="908"/>
        <w:spacing w:after="0"/>
        <w:tabs>
          <w:tab w:leader="none" w:pos="908"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the Companies Acts, the Company may:</w:t>
      </w:r>
    </w:p>
    <w:p>
      <w:pPr>
        <w:spacing w:after="0" w:line="150" w:lineRule="exact"/>
        <w:rPr>
          <w:sz w:val="20"/>
          <w:szCs w:val="20"/>
          <w:color w:val="auto"/>
        </w:rPr>
      </w:pPr>
    </w:p>
    <w:tbl>
      <w:tblPr>
        <w:tblLayout w:type="fixed"/>
        <w:tblInd w:w="448" w:type="dxa"/>
        <w:tblCellMar>
          <w:top w:w="0" w:type="dxa"/>
          <w:left w:w="0" w:type="dxa"/>
          <w:bottom w:w="0" w:type="dxa"/>
          <w:right w:w="0" w:type="dxa"/>
        </w:tblCellMar>
      </w:tblPr>
      <w:tr>
        <w:trPr>
          <w:trHeight w:val="155"/>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67.1</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by Special Resolution change its name, alter or add to the Memorandum with respect to any objects, powers or other matters specified therein or alter or add to these Articles;</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67.2</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by Special Resolution reduce its company capital (including its share capital and any capital redemption reserve or share premium account) in any way it thinks expedient and, without prejudice to the</w:t>
            </w:r>
          </w:p>
        </w:tc>
      </w:tr>
      <w:tr>
        <w:trPr>
          <w:trHeight w:val="155"/>
        </w:trPr>
        <w:tc>
          <w:tcPr>
            <w:tcW w:w="560" w:type="dxa"/>
            <w:vAlign w:val="bottom"/>
          </w:tcPr>
          <w:p>
            <w:pPr>
              <w:spacing w:after="0"/>
              <w:rPr>
                <w:sz w:val="13"/>
                <w:szCs w:val="13"/>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generality of the foregoing, may</w:t>
            </w:r>
          </w:p>
        </w:tc>
      </w:tr>
      <w:tr>
        <w:trPr>
          <w:trHeight w:val="288"/>
        </w:trPr>
        <w:tc>
          <w:tcPr>
            <w:tcW w:w="5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extinguish or reduce the liability on any of its shares in respect of share capital not paid up;</w:t>
            </w:r>
          </w:p>
        </w:tc>
      </w:tr>
      <w:tr>
        <w:trPr>
          <w:trHeight w:val="288"/>
        </w:trPr>
        <w:tc>
          <w:tcPr>
            <w:tcW w:w="5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(b)</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either with or without extinguishing or reducing liability on any of its shares, cancel any paid up company capital which is lost or unrepresented by available assets; and</w:t>
            </w:r>
          </w:p>
        </w:tc>
      </w:tr>
      <w:tr>
        <w:trPr>
          <w:trHeight w:val="288"/>
        </w:trPr>
        <w:tc>
          <w:tcPr>
            <w:tcW w:w="5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either with or without extinguishing or reducing liability on any of its shares, pay off any paid up company capital which is in excess of the wants of the Company,</w:t>
            </w:r>
          </w:p>
        </w:tc>
      </w:tr>
      <w:tr>
        <w:trPr>
          <w:trHeight w:val="277"/>
        </w:trPr>
        <w:tc>
          <w:tcPr>
            <w:tcW w:w="560" w:type="dxa"/>
            <w:vAlign w:val="bottom"/>
          </w:tcPr>
          <w:p>
            <w:pPr>
              <w:spacing w:after="0"/>
              <w:rPr>
                <w:sz w:val="24"/>
                <w:szCs w:val="24"/>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and in relation to such reductions, the Company may by Special Resolution determine the terms upon which the reduction is to be effected, including in the case of a reduction of part only of any class of</w:t>
            </w:r>
          </w:p>
        </w:tc>
      </w:tr>
      <w:tr>
        <w:trPr>
          <w:trHeight w:val="155"/>
        </w:trPr>
        <w:tc>
          <w:tcPr>
            <w:tcW w:w="560" w:type="dxa"/>
            <w:vAlign w:val="bottom"/>
          </w:tcPr>
          <w:p>
            <w:pPr>
              <w:spacing w:after="0"/>
              <w:rPr>
                <w:sz w:val="13"/>
                <w:szCs w:val="13"/>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Shares, those Shares to be affected; and</w:t>
            </w:r>
          </w:p>
        </w:tc>
      </w:tr>
      <w:tr>
        <w:trPr>
          <w:trHeight w:val="288"/>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67.3</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by resolution of the Directors change the location of its registered office.</w:t>
            </w:r>
          </w:p>
        </w:tc>
      </w:tr>
    </w:tbl>
    <w:p>
      <w:pPr>
        <w:spacing w:after="0" w:line="133" w:lineRule="exact"/>
        <w:rPr>
          <w:sz w:val="20"/>
          <w:szCs w:val="20"/>
          <w:color w:val="auto"/>
        </w:rPr>
      </w:pPr>
    </w:p>
    <w:p>
      <w:pPr>
        <w:jc w:val="both"/>
        <w:ind w:left="908" w:hanging="908"/>
        <w:spacing w:after="0" w:line="260" w:lineRule="auto"/>
        <w:tabs>
          <w:tab w:leader="none" w:pos="90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as a result of an alteration or reorganisation of the share capital of the Company any Members would become entitled to fractions of a Share, the Directors may, on behalf of those Members, sell the Shares representing the fractions for the best price reasonably obtainable to any person and distribute the proceeds of sale in due proportion among those Members, and the Directors may authorise any person to execute an instrument of transfer of the Shares to, or in accordance with the directions of, the purchaser. The transferee shall not be bound to see to the application of the purchase money nor shall her title to the Shares be affected by any irregularity in or invalidity of the proceedings in reference to the sale.</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CLOSING REGISTER OF MEMBERS OR FIXING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92075</wp:posOffset>
            </wp:positionV>
            <wp:extent cx="72148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3" w:name="page64"/>
    <w:bookmarkEnd w:id="63"/>
    <w:p>
      <w:pPr>
        <w:jc w:val="both"/>
        <w:ind w:left="908" w:hanging="908"/>
        <w:spacing w:after="0" w:line="260" w:lineRule="auto"/>
        <w:tabs>
          <w:tab w:leader="none" w:pos="9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the Companies Acts , that the Register of Members shall be closed for transfers at such times and for such periods, not exceeding in the whole thirty (30) days in each year. If the Register of Members shall be so closed for the purpose of determining Members entitled to notice of or to vote at a meeting of Members such Register of Members shall be so closed for at least five (5) days immediately preceding such meeting and the record date for such determination shall be the date of the closure of the Register of Members.</w:t>
      </w:r>
    </w:p>
    <w:p>
      <w:pPr>
        <w:spacing w:after="0" w:line="122"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lieu of, or apart from, closing the Register of Members, the Board may fix in advance a date as the record date (a) for any such determination of Members entitled to notice of or to vote at a meeting of the Members, which record date shall not be more than ninety (90) days nor less than ten (10) days before the date of such meeting, and (b) for the purpose of determining the Members entitled to receive payment of any dividend, or in order to make a determination of Members for any other proper purpose, which record date shall not be more than ninety (90) days prior to the date of payment of such dividend or the taking of any action to which such determination of Members is relevant. The record date shall not precede the date upon which the resolution fixing the record date is adopted by the Directors.</w:t>
      </w:r>
    </w:p>
    <w:p>
      <w:pPr>
        <w:spacing w:after="0" w:line="122"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Register of Members is not so closed and no record date is fixed for the determination of Members entitled to notice of or to vote at a meeting of Members or Members entitled to receive payment of a dividend, the date immediately preceding the date on which notice of the meeting is deemed given under these Articles or the date on which the resolution of the Directors declaring such dividend is adopted, as the case may be, shall be the record date for such determination of Members. When a determination of Members entitled to vote at any meeting of Members has been made as provided in these Articles, such determination shall apply to any adjournment thereof; provided, however, that the Directors may fix a new record date of the adjourned meeting, if they think fit.</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GENERAL MEETINGS</w:t>
      </w:r>
    </w:p>
    <w:p>
      <w:pPr>
        <w:spacing w:after="0" w:line="154" w:lineRule="exact"/>
        <w:rPr>
          <w:sz w:val="20"/>
          <w:szCs w:val="20"/>
          <w:color w:val="auto"/>
        </w:rPr>
      </w:pPr>
    </w:p>
    <w:p>
      <w:pPr>
        <w:ind w:left="908" w:hanging="908"/>
        <w:spacing w:after="0"/>
        <w:tabs>
          <w:tab w:leader="none" w:pos="9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shall convene and the Company shall hold annual general meetings in accordance with the requirements of the Companies Acts.</w:t>
      </w:r>
    </w:p>
    <w:p>
      <w:pPr>
        <w:spacing w:after="0" w:line="150"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whenever it thinks fit, and shall, on the requisition in writing of Members holding such number of Shares as is prescribed by, and made in accordance with, the Companies Acts, convene a general meeting in the manner required by the Companies Acts. All general meetings other than annual general meetings shall be called extraordinary general meetings.</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in each year hold a general meeting as its annual general meeting in addition to any other meeting in that year, and shall specify the meeting as such in the notices calling it. Not more than fifteen (15) months shall elapse between the date of one annual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408" w:right="299" w:bottom="1440" w:gutter="0" w:footer="0" w:header="0"/>
        </w:sectPr>
      </w:pPr>
    </w:p>
    <w:bookmarkStart w:id="64" w:name="page65"/>
    <w:bookmarkEnd w:id="64"/>
    <w:p>
      <w:pPr>
        <w:ind w:left="908"/>
        <w:spacing w:after="0"/>
        <w:rPr>
          <w:sz w:val="20"/>
          <w:szCs w:val="20"/>
          <w:color w:val="auto"/>
        </w:rPr>
      </w:pPr>
      <w:r>
        <w:rPr>
          <w:rFonts w:ascii="Times New Roman" w:cs="Times New Roman" w:eastAsia="Times New Roman" w:hAnsi="Times New Roman"/>
          <w:sz w:val="12"/>
          <w:szCs w:val="12"/>
          <w:color w:val="auto"/>
        </w:rPr>
        <w:t>meeting of the Company and that of the next. Subject to the Companies Acts, all general meetings may be held outside of Ireland.</w:t>
      </w:r>
    </w:p>
    <w:p>
      <w:pPr>
        <w:spacing w:after="0" w:line="150" w:lineRule="exact"/>
        <w:rPr>
          <w:sz w:val="20"/>
          <w:szCs w:val="20"/>
          <w:color w:val="auto"/>
        </w:rPr>
      </w:pPr>
    </w:p>
    <w:p>
      <w:pPr>
        <w:ind w:left="908" w:hanging="908"/>
        <w:spacing w:after="0"/>
        <w:tabs>
          <w:tab w:leader="none" w:pos="90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general meeting shall be held at such time and place as specified in the notice of meeting.</w:t>
      </w:r>
    </w:p>
    <w:p>
      <w:pPr>
        <w:spacing w:after="0" w:line="150"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in its absolute discretion, authorise the Secretary to postpone any general meeting called in accordance with the provisions of these Articles (other than a meeting requisitioned under Article 73 of these Articles or the postponement of which would be contrary to the Companies Acts, law or a court order pursuant to the Companies Acts) if the Board considers that, for any reason, it is impractical or unreasonable to hold the general meeting, provided that notice of postponement is given to each Member before the time for such meeting. Fresh notice of the date, time and place for the postponed meeting shall be given to each Member in accordance with the provisions of these Articles.</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NOTICE OF GENERAL MEETINGS</w:t>
      </w:r>
    </w:p>
    <w:p>
      <w:pPr>
        <w:spacing w:after="0" w:line="154" w:lineRule="exact"/>
        <w:rPr>
          <w:sz w:val="20"/>
          <w:szCs w:val="20"/>
          <w:color w:val="auto"/>
        </w:rPr>
      </w:pPr>
    </w:p>
    <w:p>
      <w:pPr>
        <w:jc w:val="both"/>
        <w:ind w:left="908" w:hanging="908"/>
        <w:spacing w:after="0" w:line="260" w:lineRule="auto"/>
        <w:tabs>
          <w:tab w:leader="none" w:pos="9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of the Companies Acts allowing a general meeting to be called by shorter notice, an annual general meeting, and an extraordinary general meeting called for the passing of a Special Resolution, shall be called by at least twenty-one (21) clear days’ notice and all other extraordinary general meetings shall be called by at least fourteen (14) clear days’ notice. Such notice shall state the date, time, place of the meeting and, in the case of an extraordinary general meeting, the general nature of the business to be considered. Every notice shall be exclusive of the day on which it is given or deemed to be given and of the day for which it is given and shall specify such other details as are required by applicable law or the relevant code, rules and regulations applicable to the listing of the Shares on the Exchange.</w:t>
      </w:r>
    </w:p>
    <w:p>
      <w:pPr>
        <w:spacing w:after="0" w:line="122"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general meeting of the Company shall, whether or not the notice specified in this Article has been given and whether or not the provisions of the Articles regarding general meetings have been complied with, be deemed to have been duly convened if applicable law so permits and it is so agreed by the Auditors and by all the Members entitled to attend and vote thereat or their proxies.</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notice convening an annual general meeting shall specify the meeting as such, and the notice convening a meeting to pass a Special Resolution shall specify the intention to propose the resolution as a Special Resolution. Notice of every general meeting shall be given in any manner permitted by these Articles to all Members other than such as, under the provisions hereof or the terms of issue of the Shares they hold, are not entitled to receive such notice from the Company.</w:t>
      </w:r>
    </w:p>
    <w:p>
      <w:pPr>
        <w:spacing w:after="0" w:line="118"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shall appear with reasonable prominence in every notice of general meetings of the Company a statement that a Member entitled to attend and vote is entitled to appoint one or more proxies to attend and vote instead of her and that any proxy need not be a Member of the Company.</w:t>
      </w:r>
    </w:p>
    <w:p>
      <w:pPr>
        <w:spacing w:after="0" w:line="111"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accidental omission to give notice of a general meeting to, or the non-receipt of notice of a meeting by any person entitled to receive notice shall not invalidate the proceedings of that meeting.</w:t>
      </w:r>
    </w:p>
    <w:p>
      <w:pPr>
        <w:spacing w:after="0" w:line="150"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cases where instruments of proxy are sent out with notices, the accidental omission to send such instrument of proxy to, or the non-receipt of such instrument of proxy by, any person entitled to receive notice shall not invalidate any resolution passed or any proceeding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5" w:name="page66"/>
    <w:bookmarkEnd w:id="65"/>
    <w:p>
      <w:pPr>
        <w:ind w:left="908" w:right="20"/>
        <w:spacing w:after="0" w:line="279" w:lineRule="auto"/>
        <w:rPr>
          <w:sz w:val="20"/>
          <w:szCs w:val="20"/>
          <w:color w:val="auto"/>
        </w:rPr>
      </w:pPr>
      <w:r>
        <w:rPr>
          <w:rFonts w:ascii="Times New Roman" w:cs="Times New Roman" w:eastAsia="Times New Roman" w:hAnsi="Times New Roman"/>
          <w:sz w:val="12"/>
          <w:szCs w:val="12"/>
          <w:color w:val="auto"/>
        </w:rPr>
        <w:t>such meeting. A Member present, either in person or by proxy, at any general meeting of the Company or of the holders of any class of Shares in the Company, will be deemed to have received notice of that meeting and, where required, of the purpose for which it was called.</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PROCEEDINGS AT GENERAL MEETINGS</w:t>
      </w:r>
    </w:p>
    <w:p>
      <w:pPr>
        <w:spacing w:after="0" w:line="154" w:lineRule="exact"/>
        <w:rPr>
          <w:sz w:val="20"/>
          <w:szCs w:val="20"/>
          <w:color w:val="auto"/>
        </w:rPr>
      </w:pPr>
    </w:p>
    <w:p>
      <w:pPr>
        <w:ind w:left="908" w:hanging="908"/>
        <w:spacing w:after="0"/>
        <w:tabs>
          <w:tab w:leader="none" w:pos="9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business shall be deemed special that is transacted at an extraordinary general meeting, and also that is transacted at an annual general meeting, with the exception of:</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consideration of the Company’s statutory financial statements and the report of the directors and the report of the statutory auditors on those statements and that report;</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review by the members of the Company’s affairs;</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declaration of a dividend (if any) of an amount not exceeding the amount recommended by the directors;</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authorisation of the directors to approve the remuneration of the statutory auditors; and</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and re-election of directors.</w:t>
      </w:r>
    </w:p>
    <w:p>
      <w:pPr>
        <w:spacing w:after="0" w:line="150"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business shall be transacted at any general meeting unless a quorum is present. One or more Members present in person or by proxy holding not less than a majority of the issued and outstanding Shares of the Company entitled to vote at the meeting in question shall be a quorum.</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within one hour from the time appointed for the meeting a quorum is not present, the meeting, if convened upon the requisition of Members, shall be dissolved and in any other case it shall stand adjourned to the same day in the next week at the same time and place or to such other time or such other place as the Board may determine and if at the adjourned meeting a quorum is not present within one hour from the time appointed for the meeting the Members present shall be a quorum.</w:t>
      </w:r>
    </w:p>
    <w:p>
      <w:pPr>
        <w:spacing w:after="0" w:line="118"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Board wishes to make this facility available to Members for a specific or all general meetings of the Company, a Member may participate in any general meeting of the Company, by means of a telephone, video, electronic or similar communication equipment by way of which all persons participating in such meeting can communicate with each other simultaneously and instantaneously and such participation shall be deemed to constitute presence in person at the meeting.</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Director and the Auditors shall be entitled to attend and speak at any general meeting of the Company.</w:t>
      </w:r>
    </w:p>
    <w:p>
      <w:pPr>
        <w:spacing w:after="0" w:line="150"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Chairman, if any, of the Board, and, if the Chairman is not present, such officer or other person as the Board shall designate, shall preside as chairman at every general meeting of the Company.</w:t>
      </w:r>
    </w:p>
    <w:p>
      <w:pPr>
        <w:spacing w:after="0" w:line="150"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Chairman may, with the consent of any general meeting duly constituted hereunder, and shall if so directed by the meeting, adjourn the meeting from time to time and from place to place, but no business shall be transacted at any adjourned meeting other than the business left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6" w:name="page67"/>
    <w:bookmarkEnd w:id="66"/>
    <w:p>
      <w:pPr>
        <w:ind w:left="908"/>
        <w:spacing w:after="0" w:line="279" w:lineRule="auto"/>
        <w:rPr>
          <w:sz w:val="20"/>
          <w:szCs w:val="20"/>
          <w:color w:val="auto"/>
        </w:rPr>
      </w:pPr>
      <w:r>
        <w:rPr>
          <w:rFonts w:ascii="Times New Roman" w:cs="Times New Roman" w:eastAsia="Times New Roman" w:hAnsi="Times New Roman"/>
          <w:sz w:val="12"/>
          <w:szCs w:val="12"/>
          <w:color w:val="auto"/>
        </w:rPr>
        <w:t>unfinished, or which might have been transacted, at the meeting from which the adjournment took place. When a general meeting is adjourned for thirty (30) days or more, notice of the adjourned meeting shall be given as in the case of an original meeting; save as aforesaid it shall not be necessary to give any notice of an adjournment or of the business to be transacted at an adjourned general meeting.</w:t>
      </w:r>
    </w:p>
    <w:p>
      <w:pPr>
        <w:spacing w:after="0" w:line="399" w:lineRule="exact"/>
        <w:rPr>
          <w:sz w:val="20"/>
          <w:szCs w:val="20"/>
          <w:color w:val="auto"/>
        </w:rPr>
      </w:pPr>
    </w:p>
    <w:tbl>
      <w:tblPr>
        <w:tblLayout w:type="fixed"/>
        <w:tblInd w:w="448" w:type="dxa"/>
        <w:tblCellMar>
          <w:top w:w="0" w:type="dxa"/>
          <w:left w:w="0" w:type="dxa"/>
          <w:bottom w:w="0" w:type="dxa"/>
          <w:right w:w="0" w:type="dxa"/>
        </w:tblCellMar>
      </w:tblPr>
      <w:tr>
        <w:trPr>
          <w:trHeight w:val="155"/>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90.1</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Subject to the Companies Acts, a resolution may only be put to a vote at a general meeting of the Company or of any class of Members if:</w:t>
            </w:r>
          </w:p>
        </w:tc>
      </w:tr>
      <w:tr>
        <w:trPr>
          <w:trHeight w:val="288"/>
        </w:trPr>
        <w:tc>
          <w:tcPr>
            <w:tcW w:w="5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it is proposed by or at the direction of the Board; or</w:t>
            </w:r>
          </w:p>
        </w:tc>
      </w:tr>
      <w:tr>
        <w:trPr>
          <w:trHeight w:val="288"/>
        </w:trPr>
        <w:tc>
          <w:tcPr>
            <w:tcW w:w="5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(b)</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it is proposed at the direction of the Court; or</w:t>
            </w:r>
          </w:p>
        </w:tc>
      </w:tr>
      <w:tr>
        <w:trPr>
          <w:trHeight w:val="288"/>
        </w:trPr>
        <w:tc>
          <w:tcPr>
            <w:tcW w:w="5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it is proposed on the requisition in writing of such number of Members as is prescribed by, and is made in accordance with, the Companies Acts;</w:t>
            </w:r>
          </w:p>
        </w:tc>
      </w:tr>
      <w:tr>
        <w:trPr>
          <w:trHeight w:val="288"/>
        </w:trPr>
        <w:tc>
          <w:tcPr>
            <w:tcW w:w="5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(d)</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it is proposed pursuant to, and in accordance with the procedures and requirements of, Articles 98 or 99; or</w:t>
            </w:r>
          </w:p>
        </w:tc>
      </w:tr>
      <w:tr>
        <w:trPr>
          <w:trHeight w:val="288"/>
        </w:trPr>
        <w:tc>
          <w:tcPr>
            <w:tcW w:w="5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(e)</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the Chairman of the meeting in her absolute discretion decides that the resolution may properly be regarded as within the scope of the meeting.</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90.2</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No amendment may be made to a resolution, at or before the time when it is put to a vote, unless the Chairman of the meeting in her absolute discretion decides that the amendment or the amended resolution</w:t>
            </w:r>
          </w:p>
        </w:tc>
      </w:tr>
      <w:tr>
        <w:trPr>
          <w:trHeight w:val="155"/>
        </w:trPr>
        <w:tc>
          <w:tcPr>
            <w:tcW w:w="560" w:type="dxa"/>
            <w:vAlign w:val="bottom"/>
          </w:tcPr>
          <w:p>
            <w:pPr>
              <w:spacing w:after="0"/>
              <w:rPr>
                <w:sz w:val="13"/>
                <w:szCs w:val="13"/>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may properly be put to a vote at that meeting.</w:t>
            </w:r>
          </w:p>
        </w:tc>
      </w:tr>
      <w:tr>
        <w:trPr>
          <w:trHeight w:val="277"/>
        </w:trPr>
        <w:tc>
          <w:tcPr>
            <w:tcW w:w="5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5"/>
              </w:rPr>
              <w:t>90.3</w:t>
            </w: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If the Chairman of the meeting rules a resolution or an amendment to a resolution admissible or out of order (as the case may be), the proceedings of the meeting or on the resolution in question shall not be</w:t>
            </w:r>
          </w:p>
        </w:tc>
      </w:tr>
      <w:tr>
        <w:trPr>
          <w:trHeight w:val="155"/>
        </w:trPr>
        <w:tc>
          <w:tcPr>
            <w:tcW w:w="560" w:type="dxa"/>
            <w:vAlign w:val="bottom"/>
          </w:tcPr>
          <w:p>
            <w:pPr>
              <w:spacing w:after="0"/>
              <w:rPr>
                <w:sz w:val="13"/>
                <w:szCs w:val="13"/>
                <w:color w:val="auto"/>
              </w:rPr>
            </w:pPr>
          </w:p>
        </w:tc>
        <w:tc>
          <w:tcPr>
            <w:tcW w:w="103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invalidated by any error in her ruling. Any ruling by the Chairman of the meeting in relation to a resolution or an amendment to a resolution shall be final and conclusive.</w:t>
            </w:r>
          </w:p>
        </w:tc>
      </w:tr>
    </w:tbl>
    <w:p>
      <w:pPr>
        <w:spacing w:after="0" w:line="133" w:lineRule="exact"/>
        <w:rPr>
          <w:sz w:val="20"/>
          <w:szCs w:val="20"/>
          <w:color w:val="auto"/>
        </w:rPr>
      </w:pPr>
    </w:p>
    <w:p>
      <w:pPr>
        <w:ind w:left="908" w:right="20" w:hanging="908"/>
        <w:spacing w:after="0" w:line="279" w:lineRule="auto"/>
        <w:tabs>
          <w:tab w:leader="none" w:pos="9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(i) where a greater majority is required by the Companies Acts or these Articles or any applicable law or regulation to which the Company is subject or (ii) as otherwise required by Article 151, any question proposed for a decision of the Members at any general meeting of the Company or a decision of any class of Members at a separate meeting of any class of Shares shall be decided by an Ordinary Resolution.</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general meeting a resolution put to the vote of the meeting shall be decided on a poll. The Board or the Chairman may determine the manner in which the poll is to be taken and the manner in which the votes are to be counted.</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poll demanded on the election of the Chairman or on a question of adjournment shall be taken forthwith. A poll demanded on any other question shall be taken at such time, not being more than ten (10) days from the date of the meeting or adjourned meeting at which the vote was taken, as the Chairman of the meeting directs, and any business other than that on which a poll has been demanded may be proceeded with pending the taking of the poll.</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notice need be given of a poll not taken immediately. The result of the poll shall be deemed to be the resolution of the general meeting at which the poll was demanded. On a poll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148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7" w:name="page68"/>
    <w:bookmarkEnd w:id="67"/>
    <w:p>
      <w:pPr>
        <w:ind w:left="908"/>
        <w:spacing w:after="0"/>
        <w:rPr>
          <w:sz w:val="20"/>
          <w:szCs w:val="20"/>
          <w:color w:val="auto"/>
        </w:rPr>
      </w:pPr>
      <w:r>
        <w:rPr>
          <w:rFonts w:ascii="Times New Roman" w:cs="Times New Roman" w:eastAsia="Times New Roman" w:hAnsi="Times New Roman"/>
          <w:sz w:val="12"/>
          <w:szCs w:val="12"/>
          <w:color w:val="auto"/>
        </w:rPr>
        <w:t>Member entitled to more than one (1) vote need not use all her votes or cast all the votes she uses in the same way.</w:t>
      </w:r>
    </w:p>
    <w:p>
      <w:pPr>
        <w:spacing w:after="0" w:line="150" w:lineRule="exact"/>
        <w:rPr>
          <w:sz w:val="20"/>
          <w:szCs w:val="20"/>
          <w:color w:val="auto"/>
        </w:rPr>
      </w:pPr>
    </w:p>
    <w:p>
      <w:pPr>
        <w:ind w:left="908" w:hanging="908"/>
        <w:spacing w:after="0" w:line="279" w:lineRule="auto"/>
        <w:tabs>
          <w:tab w:leader="none" w:pos="90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authorised by the Board, any vote taken by written ballot may be satisfied by a ballot submitted by electronic or telephonic transmission, provided that any such electronic or telephonic submission must either set forth or be submitted with information from which it can be determined that the electronic submission has been authorised by the Member or proxy.</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and at any general meeting, the chairman of such meeting may make such arrangement and impose any requirement or restriction it or she considers appropriate to ensure the security of a general meeting including, without limitation, requirements for evidence of identity to be produced by those attending the meeting, the searching of personal property and the restriction of items that may be taken into the meeting place. The Board and, at any general meeting, the chairman of such meeting are entitled to refuse entry to a person who refuses to comply with such arrangements, requirements or restrictions.</w:t>
      </w:r>
    </w:p>
    <w:p>
      <w:pPr>
        <w:spacing w:after="0" w:line="118"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Companies Acts, a resolution in writing signed by all of the Members for the time being entitled to attend and vote on such resolution at a general meeting (or being bodies corporate by their duly authorised representatives) shall be as valid and effective for all purposes as if the resolution had been passed at a general meeting of the Company duly convened and held, and may consist of several documents in like form each signed by one or more persons, and if described as a special resolution shall be deemed to be a special resolution within the meaning of the Companies Acts. Any such resolution shall be served on the Company.</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NOMINATIONS OF DIRECTORS</w:t>
      </w:r>
    </w:p>
    <w:p>
      <w:pPr>
        <w:spacing w:after="0" w:line="154" w:lineRule="exact"/>
        <w:rPr>
          <w:sz w:val="20"/>
          <w:szCs w:val="20"/>
          <w:color w:val="auto"/>
        </w:rPr>
      </w:pPr>
    </w:p>
    <w:p>
      <w:pPr>
        <w:jc w:val="both"/>
        <w:ind w:left="908" w:hanging="908"/>
        <w:spacing w:after="0" w:line="257" w:lineRule="auto"/>
        <w:tabs>
          <w:tab w:leader="none" w:pos="90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Nominations of persons for election to the Board (other than Directors to be nominated by any series of preferred shares, voting separately as a class) at a general meeting may only be made (a) pursuant to the Company’s notice of meeting pursuant to Article 77 at the recommendation of the Board, (b) by or at the direction of the Board or any authorised committee thereof or (c) by any Member who (i) complies with the notice procedures set forth in Articles 99 or 100, as applicable, (ii) was a Member at the time such notice is delivered to the Secretary and on the record date for the determination of Members entitled to vote at such general meeting and (iii) is present at the relevant general meeting, either in person or by proxy, to present her nomination, provided, however, that Members shall only be entitled to nominate persons for election to the Board at annual general meetings or at general meetings called specifically for the purpose of electing Directors.</w:t>
      </w:r>
    </w:p>
    <w:p>
      <w:pPr>
        <w:spacing w:after="0" w:line="125" w:lineRule="exact"/>
        <w:rPr>
          <w:rFonts w:ascii="Times New Roman" w:cs="Times New Roman" w:eastAsia="Times New Roman" w:hAnsi="Times New Roman"/>
          <w:sz w:val="12"/>
          <w:szCs w:val="12"/>
          <w:color w:val="auto"/>
        </w:rPr>
      </w:pPr>
    </w:p>
    <w:p>
      <w:pPr>
        <w:jc w:val="both"/>
        <w:ind w:left="908" w:hanging="908"/>
        <w:spacing w:after="0" w:line="256" w:lineRule="auto"/>
        <w:tabs>
          <w:tab w:leader="none" w:pos="90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nominations of persons for election to the Board (other than Directors to be nominated by any series of preferred shares, voting separately as a class) to be properly brought before an annual general meeting by a Member, such annual general meeting must have been called for the purpose of, among other things, electing Directors and such Member must have given timely notice thereof in writing to the Secretary. To be timely, a Member’s notice shall be delivered to the Secretary at the registered office of the Company, or such other Address as the Secretary may designate, not less than one hundred and twenty (120) days nor more than one hundred and eighty (180) days prior to the first anniversary of the date the Company’s proxy statement was first released to Members in connection with the prior year’s annual general meeting; provided, however, that in the event the date of the annual general meeting is changed by more than thirty (30) days from the first anniversary date of the prior year’s annual general meeting, notice by the Member to be timely must be so delivered not earlier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721487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8" w:name="page69"/>
    <w:bookmarkEnd w:id="68"/>
    <w:p>
      <w:pPr>
        <w:jc w:val="both"/>
        <w:ind w:left="908"/>
        <w:spacing w:after="0" w:line="253" w:lineRule="auto"/>
        <w:rPr>
          <w:sz w:val="20"/>
          <w:szCs w:val="20"/>
          <w:color w:val="auto"/>
        </w:rPr>
      </w:pPr>
      <w:r>
        <w:rPr>
          <w:rFonts w:ascii="Times New Roman" w:cs="Times New Roman" w:eastAsia="Times New Roman" w:hAnsi="Times New Roman"/>
          <w:sz w:val="12"/>
          <w:szCs w:val="12"/>
          <w:color w:val="auto"/>
        </w:rPr>
        <w:t>one hundred and eightieth (180th) day prior to such annual general meeting and not later than the later of the one hundred and twentieth (120th) day prior to such annual general meeting or the tenth (10th) day following the day on which public announcement of the date of such meeting is first made. Such Member’s notice shall set forth (a) as to each person whom the Member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of the United States of America, as amended (the “ Exchange Act ”), or any successor provisions thereto, including such person’s written consent to being named in the proxy statement as a nominee and to serving as a Director of the Company if elected and (b) as to the Member giving the notice (i) the name and Address of such Member, as they appear on the Register of Members, (ii) the class and number of Shares that are owned beneficially and/or of record by such Member, (iii) a representation that the Member is a registered holder of Shares entitled to vote at such meeting and intends to appear in person or by proxy at the meeting to propose such nomination and (iv) a statement as to whether the Member intends or is part of a group that intends (x) to deliver a proxy statement and/or form of proxy to holders of at least the percentage of the Company’s outstanding share capital required to approve or elect the nominee and/or (xi) otherwise to solicit proxies from Members in support of such nomination. The Board may require any proposed nominee to furnish such other information as it may reasonably require to determine the eligibility of such proposed nominee to serve as a Director of the Company, including such evidence satisfactory to the Board that such nominee has no interests that would limit such nominee’s ability to fulfil her duties as a Director.</w:t>
      </w:r>
    </w:p>
    <w:p>
      <w:pPr>
        <w:spacing w:after="0" w:line="129" w:lineRule="exact"/>
        <w:rPr>
          <w:sz w:val="20"/>
          <w:szCs w:val="20"/>
          <w:color w:val="auto"/>
        </w:rPr>
      </w:pPr>
    </w:p>
    <w:p>
      <w:pPr>
        <w:jc w:val="both"/>
        <w:ind w:left="908" w:hanging="908"/>
        <w:spacing w:after="0" w:line="257" w:lineRule="auto"/>
        <w:tabs>
          <w:tab w:leader="none" w:pos="9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nominations of persons for election to the Board (other than directors to be nominated by any series of preferred shares, voting separately as a class) to be properly brought before a general meeting called for the purpose of the election of Directors, other than an annual general meeting by a Member, such Member must have given timely notice thereof in writing to the Secretary. To be timely, a Member’s notice shall be delivered to the Secretary at the registered office of the Company or such other Address as the Secretary may designate, not earlier than the one hundred and eightieth (180th) day prior to such general meeting and not later of the one hundred and twentieth (120th) day prior to such general meeting or the tenth (10th) day following the day on which public announcement is first made of the date of the general meeting and of the nominees proposed by the Board to be elected at such meeting. Such Member’s notice shall set forth the same information as is required by provisions (a) and (b) of Article 99.</w:t>
      </w:r>
    </w:p>
    <w:p>
      <w:pPr>
        <w:spacing w:after="0" w:line="125"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Companies Acts, unless otherwise provided by the terms of any series of preferred shares or any agreement among Members or other agreement approved by the Board, only persons who are nominated in accordance with the procedures set forth in Articles 99 and 100 shall be eligible to serve as Directors of the Company. If the Chairman of a general meeting determines that a proposed nomination was not made in compliance with Articles 99 and 100, she shall declare to the meeting that nomination is defective and such defective nomination shall be disregarded. Notwithstanding the foregoing provisions of these Articles, if the Member (or a qualified representative of the Member) does not appear at the general meeting to present her nomination, such nomination shall be disregarded.</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VOTES OF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183515</wp:posOffset>
            </wp:positionV>
            <wp:extent cx="721487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69" w:name="page70"/>
    <w:bookmarkEnd w:id="69"/>
    <w:p>
      <w:pPr>
        <w:ind w:left="908" w:right="20" w:hanging="908"/>
        <w:spacing w:after="0" w:line="279" w:lineRule="auto"/>
        <w:tabs>
          <w:tab w:leader="none" w:pos="9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any rights or restrictions for the time being attached to any class or classes of Shares, every Member of record present in person or by proxy shall have one vote for each Share registered in her name in the Register of Members.</w:t>
      </w:r>
    </w:p>
    <w:p>
      <w:pPr>
        <w:spacing w:after="0" w:line="111" w:lineRule="exact"/>
        <w:rPr>
          <w:rFonts w:ascii="Times New Roman" w:cs="Times New Roman" w:eastAsia="Times New Roman" w:hAnsi="Times New Roman"/>
          <w:sz w:val="12"/>
          <w:szCs w:val="12"/>
          <w:color w:val="auto"/>
        </w:rPr>
      </w:pPr>
    </w:p>
    <w:p>
      <w:pPr>
        <w:ind w:left="908" w:right="40" w:hanging="908"/>
        <w:spacing w:after="0" w:line="279" w:lineRule="auto"/>
        <w:tabs>
          <w:tab w:leader="none" w:pos="9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joint holders of record the vote of the senior holder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111" w:lineRule="exact"/>
        <w:rPr>
          <w:rFonts w:ascii="Times New Roman" w:cs="Times New Roman" w:eastAsia="Times New Roman" w:hAnsi="Times New Roman"/>
          <w:sz w:val="12"/>
          <w:szCs w:val="12"/>
          <w:color w:val="auto"/>
        </w:rPr>
      </w:pPr>
    </w:p>
    <w:p>
      <w:pPr>
        <w:ind w:left="908" w:right="40" w:hanging="908"/>
        <w:spacing w:after="0" w:line="279" w:lineRule="auto"/>
        <w:tabs>
          <w:tab w:leader="none" w:pos="9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Member of unsound mind, or in respect of whom an order has been made by any court, having jurisdiction in lunacy, may vote by her committee, receiver, curator bonis, or other person in the nature of a committee, receiver or curator bonis appointed by that court, and any such committee, receiver, curator bonis or other persons may vote by proxy.</w:t>
      </w:r>
    </w:p>
    <w:p>
      <w:pPr>
        <w:spacing w:after="0" w:line="111"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Member shall be entitled to vote at any general meeting unless she is registered as a Member on the record date for such meeting.</w:t>
      </w:r>
    </w:p>
    <w:p>
      <w:pPr>
        <w:spacing w:after="0" w:line="150" w:lineRule="exact"/>
        <w:rPr>
          <w:rFonts w:ascii="Times New Roman" w:cs="Times New Roman" w:eastAsia="Times New Roman" w:hAnsi="Times New Roman"/>
          <w:sz w:val="12"/>
          <w:szCs w:val="12"/>
          <w:color w:val="auto"/>
        </w:rPr>
      </w:pPr>
    </w:p>
    <w:p>
      <w:pPr>
        <w:ind w:left="908" w:right="40" w:hanging="908"/>
        <w:spacing w:after="0" w:line="279" w:lineRule="auto"/>
        <w:tabs>
          <w:tab w:leader="none" w:pos="9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w:t>
      </w:r>
    </w:p>
    <w:p>
      <w:pPr>
        <w:spacing w:after="0" w:line="111" w:lineRule="exact"/>
        <w:rPr>
          <w:rFonts w:ascii="Times New Roman" w:cs="Times New Roman" w:eastAsia="Times New Roman" w:hAnsi="Times New Roman"/>
          <w:sz w:val="12"/>
          <w:szCs w:val="12"/>
          <w:color w:val="auto"/>
        </w:rPr>
      </w:pPr>
    </w:p>
    <w:p>
      <w:pPr>
        <w:ind w:left="908" w:right="40" w:hanging="908"/>
        <w:spacing w:after="0" w:line="279" w:lineRule="auto"/>
        <w:tabs>
          <w:tab w:leader="none" w:pos="90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Votes may be given either personally or by proxy. A Member may appoint more than one proxy or the same proxy under one or more instruments to attend and vote at a meeting and may appoint one proxy to vote both in favour of and against the same resolution in such proportion as specified in the instrument appointing the proxy.</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020" w:type="dxa"/>
            <w:vAlign w:val="bottom"/>
          </w:tcPr>
          <w:p>
            <w:pPr>
              <w:spacing w:after="0"/>
              <w:rPr>
                <w:sz w:val="13"/>
                <w:szCs w:val="13"/>
                <w:color w:val="auto"/>
              </w:rPr>
            </w:pPr>
          </w:p>
        </w:tc>
        <w:tc>
          <w:tcPr>
            <w:tcW w:w="10300" w:type="dxa"/>
            <w:vAlign w:val="bottom"/>
          </w:tcPr>
          <w:p>
            <w:pPr>
              <w:ind w:left="3220"/>
              <w:spacing w:after="0"/>
              <w:rPr>
                <w:sz w:val="20"/>
                <w:szCs w:val="20"/>
                <w:color w:val="auto"/>
              </w:rPr>
            </w:pPr>
            <w:r>
              <w:rPr>
                <w:rFonts w:ascii="Times New Roman" w:cs="Times New Roman" w:eastAsia="Times New Roman" w:hAnsi="Times New Roman"/>
                <w:sz w:val="12"/>
                <w:szCs w:val="12"/>
                <w:b w:val="1"/>
                <w:bCs w:val="1"/>
                <w:color w:val="auto"/>
              </w:rPr>
              <w:t>PROXIES AND CORPORATE REPRESENTATIVES</w:t>
            </w:r>
          </w:p>
        </w:tc>
      </w:tr>
      <w:tr>
        <w:trPr>
          <w:trHeight w:val="565"/>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108.1</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Every Member entitled to attend and vote at a general meeting may appoint a proxy to attend, speak and vote on her behalf and may appoint more than one proxy to attend, speak and vote at the same</w:t>
            </w:r>
          </w:p>
        </w:tc>
      </w:tr>
      <w:tr>
        <w:trPr>
          <w:trHeight w:val="144"/>
        </w:trPr>
        <w:tc>
          <w:tcPr>
            <w:tcW w:w="1020" w:type="dxa"/>
            <w:vAlign w:val="bottom"/>
          </w:tcPr>
          <w:p>
            <w:pPr>
              <w:spacing w:after="0"/>
              <w:rPr>
                <w:sz w:val="12"/>
                <w:szCs w:val="12"/>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meeting. The appointment of a proxy or corporate representative shall be in such form consistent with the Act and may be accepted by the Company at such place and at such time as the Board or the</w:t>
            </w:r>
          </w:p>
        </w:tc>
      </w:tr>
      <w:tr>
        <w:trPr>
          <w:trHeight w:val="144"/>
        </w:trPr>
        <w:tc>
          <w:tcPr>
            <w:tcW w:w="1020" w:type="dxa"/>
            <w:vAlign w:val="bottom"/>
          </w:tcPr>
          <w:p>
            <w:pPr>
              <w:spacing w:after="0"/>
              <w:rPr>
                <w:sz w:val="12"/>
                <w:szCs w:val="12"/>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Secretary shall from time to time determine, subject to applicable requirements of the United States Securities and Exchange Commission and the Exchange on which the Shares are listed. No such</w:t>
            </w:r>
          </w:p>
        </w:tc>
      </w:tr>
      <w:tr>
        <w:trPr>
          <w:trHeight w:val="155"/>
        </w:trPr>
        <w:tc>
          <w:tcPr>
            <w:tcW w:w="1020" w:type="dxa"/>
            <w:vAlign w:val="bottom"/>
          </w:tcPr>
          <w:p>
            <w:pPr>
              <w:spacing w:after="0"/>
              <w:rPr>
                <w:sz w:val="13"/>
                <w:szCs w:val="13"/>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instrument appointing a proxy or corporate representative shall be voted or acted upon after two (2) years from its date.</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108.2</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Without limiting the foregoing, the Directors may from time to time permit appointments of a proxy to be made by means of an electronic or internet communication or facility and may in a similar manner</w:t>
            </w:r>
          </w:p>
        </w:tc>
      </w:tr>
      <w:tr>
        <w:trPr>
          <w:trHeight w:val="144"/>
        </w:trPr>
        <w:tc>
          <w:tcPr>
            <w:tcW w:w="1020" w:type="dxa"/>
            <w:vAlign w:val="bottom"/>
          </w:tcPr>
          <w:p>
            <w:pPr>
              <w:spacing w:after="0"/>
              <w:rPr>
                <w:sz w:val="12"/>
                <w:szCs w:val="12"/>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permit supplements to, or amendments or revocations of, any such electronic or internet communication or facility to be made. The Directors may in addition prescribe the method of determining the time at</w:t>
            </w:r>
          </w:p>
        </w:tc>
      </w:tr>
      <w:tr>
        <w:trPr>
          <w:trHeight w:val="144"/>
        </w:trPr>
        <w:tc>
          <w:tcPr>
            <w:tcW w:w="1020" w:type="dxa"/>
            <w:vAlign w:val="bottom"/>
          </w:tcPr>
          <w:p>
            <w:pPr>
              <w:spacing w:after="0"/>
              <w:rPr>
                <w:sz w:val="12"/>
                <w:szCs w:val="12"/>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which any such electronic or internet communication or facility is to be treated as received by the Company. The Directors may treat any such electronic or internet communication or facility which purports</w:t>
            </w:r>
          </w:p>
        </w:tc>
      </w:tr>
      <w:tr>
        <w:trPr>
          <w:trHeight w:val="155"/>
        </w:trPr>
        <w:tc>
          <w:tcPr>
            <w:tcW w:w="1020" w:type="dxa"/>
            <w:vAlign w:val="bottom"/>
          </w:tcPr>
          <w:p>
            <w:pPr>
              <w:spacing w:after="0"/>
              <w:rPr>
                <w:sz w:val="13"/>
                <w:szCs w:val="13"/>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to be or is expressed to be sent on behalf of a Member as sufficient evidence of the authority of the person sending that instruction to send it on behalf of that Member.</w:t>
            </w:r>
          </w:p>
        </w:tc>
      </w:tr>
      <w:tr>
        <w:trPr>
          <w:trHeight w:val="288"/>
        </w:trPr>
        <w:tc>
          <w:tcPr>
            <w:tcW w:w="1020" w:type="dxa"/>
            <w:vAlign w:val="bottom"/>
            <w:tcBorders>
              <w:bottom w:val="single" w:sz="8" w:color="9A9A9A"/>
            </w:tcBorders>
          </w:tcPr>
          <w:p>
            <w:pPr>
              <w:spacing w:after="0"/>
              <w:rPr>
                <w:sz w:val="24"/>
                <w:szCs w:val="24"/>
                <w:color w:val="auto"/>
              </w:rPr>
            </w:pPr>
          </w:p>
        </w:tc>
        <w:tc>
          <w:tcPr>
            <w:tcW w:w="10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-23495</wp:posOffset>
            </wp:positionV>
            <wp:extent cx="311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8"/>
          </w:cols>
          <w:pgMar w:left="292" w:top="408" w:right="279" w:bottom="1440" w:gutter="0" w:footer="0" w:header="0"/>
        </w:sectPr>
      </w:pPr>
    </w:p>
    <w:bookmarkStart w:id="70" w:name="page71"/>
    <w:bookmarkEnd w:id="70"/>
    <w:p>
      <w:pPr>
        <w:jc w:val="both"/>
        <w:ind w:left="908" w:right="20" w:hanging="908"/>
        <w:spacing w:after="0" w:line="265" w:lineRule="auto"/>
        <w:tabs>
          <w:tab w:leader="none" w:pos="9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she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118"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by the Company of an appointment of proxy in respect of a meeting shall not preclude a Member from attending and voting at the meeting or at any adjournment thereof which attendance and voting will automatically cancel any proxy previously submitted.</w:t>
      </w:r>
    </w:p>
    <w:p>
      <w:pPr>
        <w:spacing w:after="0" w:line="111"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appointment proxy shall be valid, unless the contrary is stated therein, as well for any adjournment of the meeting as for the meeting to which it relates.</w:t>
      </w:r>
    </w:p>
    <w:p>
      <w:pPr>
        <w:spacing w:after="0" w:line="200" w:lineRule="exact"/>
        <w:rPr>
          <w:sz w:val="20"/>
          <w:szCs w:val="20"/>
          <w:color w:val="auto"/>
        </w:rPr>
      </w:pPr>
    </w:p>
    <w:p>
      <w:pPr>
        <w:spacing w:after="0" w:line="238" w:lineRule="exact"/>
        <w:rPr>
          <w:sz w:val="20"/>
          <w:szCs w:val="20"/>
          <w:color w:val="auto"/>
        </w:rPr>
      </w:pPr>
    </w:p>
    <w:tbl>
      <w:tblPr>
        <w:tblLayout w:type="fixed"/>
        <w:tblInd w:w="448" w:type="dxa"/>
        <w:tblCellMar>
          <w:top w:w="0" w:type="dxa"/>
          <w:left w:w="0" w:type="dxa"/>
          <w:bottom w:w="0" w:type="dxa"/>
          <w:right w:w="0" w:type="dxa"/>
        </w:tblCellMar>
      </w:tblPr>
      <w:tr>
        <w:trPr>
          <w:trHeight w:val="144"/>
        </w:trPr>
        <w:tc>
          <w:tcPr>
            <w:tcW w:w="5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88"/>
              </w:rPr>
              <w:t>113.1</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 vote given in accordance with the terms of an appointment of proxy or a resolution authorising a representative to act on behalf of a body corporate shall be valid notwithstanding the death or insanity of</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principal, or the revocation of the appointment of proxy or of the authority under which the proxy was appointed or of the resolution authorising the representative to act or transfer of the Share in respect</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of which the proxy was appointed or the authorisation of the representative to act was given, provided that no intimation in writing (whether in electronic form or otherwise) of such death, insanity,</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revocation or transfer shall have been received by the Company at the Office, before the commencement of the meeting or adjourned meeting at which the appointment of proxy is used or at which the</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representative acts; PROVIDED, HOWEVER, that where such intimation is given in electronic form it shall have been received by the Company before the commencement of the meeting.</w:t>
            </w:r>
          </w:p>
        </w:tc>
      </w:tr>
      <w:tr>
        <w:trPr>
          <w:trHeight w:val="277"/>
        </w:trPr>
        <w:tc>
          <w:tcPr>
            <w:tcW w:w="5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88"/>
              </w:rPr>
              <w:t>113.2</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Directors may send, at the expense of the Company, by post, electronic mail or otherwise, to the Members forms for the appointment of a proxy (with or without stamped envelopes for their return) for</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use at any general meeting or at any class meeting, either in blank or nominating any one or more of the Directors or any other persons in the alternative.</w:t>
            </w:r>
          </w:p>
        </w:tc>
      </w:tr>
    </w:tbl>
    <w:p>
      <w:pPr>
        <w:spacing w:after="0" w:line="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DIRECTORS</w:t>
      </w:r>
    </w:p>
    <w:p>
      <w:pPr>
        <w:spacing w:after="0" w:line="154" w:lineRule="exact"/>
        <w:rPr>
          <w:sz w:val="20"/>
          <w:szCs w:val="20"/>
          <w:color w:val="auto"/>
        </w:rPr>
      </w:pPr>
    </w:p>
    <w:p>
      <w:pPr>
        <w:ind w:left="908" w:hanging="908"/>
        <w:spacing w:after="0"/>
        <w:tabs>
          <w:tab w:leader="none" w:pos="9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determine the size of the Board from time to time at its absolute discretion.</w:t>
      </w:r>
    </w:p>
    <w:p>
      <w:pPr>
        <w:spacing w:after="0" w:line="150"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remuneration to be paid to the Directors shall be such remuneration as the Directors shall determine. Such remuneration shall be deemed to accrue from day to day. The Directors shall also be entitled to be paid their travelling, hotel and other expenses properly incurred by them in going to, attending and returning from meetings of the Directors, or any committee of the Directors, or general meetings of the Company, or otherwise in connection with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21487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71" w:name="page72"/>
    <w:bookmarkEnd w:id="71"/>
    <w:p>
      <w:pPr>
        <w:ind w:left="908"/>
        <w:spacing w:after="0"/>
        <w:rPr>
          <w:sz w:val="20"/>
          <w:szCs w:val="20"/>
          <w:color w:val="auto"/>
        </w:rPr>
      </w:pPr>
      <w:r>
        <w:rPr>
          <w:rFonts w:ascii="Times New Roman" w:cs="Times New Roman" w:eastAsia="Times New Roman" w:hAnsi="Times New Roman"/>
          <w:sz w:val="12"/>
          <w:szCs w:val="12"/>
          <w:color w:val="auto"/>
        </w:rPr>
        <w:t>of the Company, or to receive a fixed allowance in respect thereof as may be determined by the Board from time to time, or a combination partly of one such method and partly the other.</w:t>
      </w:r>
    </w:p>
    <w:p>
      <w:pPr>
        <w:spacing w:after="0" w:line="150" w:lineRule="exact"/>
        <w:rPr>
          <w:sz w:val="20"/>
          <w:szCs w:val="20"/>
          <w:color w:val="auto"/>
        </w:rPr>
      </w:pPr>
    </w:p>
    <w:p>
      <w:pPr>
        <w:ind w:left="908" w:hanging="908"/>
        <w:spacing w:after="0" w:line="279" w:lineRule="auto"/>
        <w:tabs>
          <w:tab w:leader="none" w:pos="90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approve additional remuneration to any Director undertaking any special work or services for, or undertaking any special mission on behalf of, the Company other than her ordinary routine work as a Director. Any fees paid to a Director who is also counsel or solicitor to the Company, or otherwise serves it in a professional capacity shall be in addition to her remuneration as a Director.</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DIRECTORS’ AND OFFICERS’ INTERESTS</w:t>
      </w:r>
    </w:p>
    <w:p>
      <w:pPr>
        <w:spacing w:after="0" w:line="154" w:lineRule="exact"/>
        <w:rPr>
          <w:sz w:val="20"/>
          <w:szCs w:val="20"/>
          <w:color w:val="auto"/>
        </w:rPr>
      </w:pPr>
    </w:p>
    <w:p>
      <w:pPr>
        <w:jc w:val="both"/>
        <w:ind w:left="908" w:hanging="908"/>
        <w:spacing w:after="0" w:line="256" w:lineRule="auto"/>
        <w:tabs>
          <w:tab w:leader="none" w:pos="90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or an officer of the Company who is in any way, whether directly or indirectly, interested in a contract, transaction or arrangement or proposed contract, transaction or arrangement with the Company shall, in accordance with the Companies Acts, declare the nature of her interest at the first opportunity either (a) at a meeting of the Board at which the question of entering into the contract, transaction or arrangement is first taken into consideration, if the Director or officer of the Company knows this interest then exists, or in any other case, at the first meeting of the Board after learning that she is or has become so interested or</w:t>
      </w:r>
    </w:p>
    <w:p>
      <w:pPr>
        <w:spacing w:after="0" w:line="1" w:lineRule="exact"/>
        <w:rPr>
          <w:rFonts w:ascii="Times New Roman" w:cs="Times New Roman" w:eastAsia="Times New Roman" w:hAnsi="Times New Roman"/>
          <w:sz w:val="12"/>
          <w:szCs w:val="12"/>
          <w:color w:val="auto"/>
        </w:rPr>
      </w:pPr>
    </w:p>
    <w:p>
      <w:pPr>
        <w:ind w:left="908" w:hanging="8"/>
        <w:spacing w:after="0" w:line="260" w:lineRule="auto"/>
        <w:tabs>
          <w:tab w:leader="none" w:pos="1086"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providing a general notice to the Directors declaring that she is a director or an officer of, or has an interest in, a person and is to be regarded as interested in any transaction or arrangement made with that person, and after giving such general notice it shall not be necessary to give special notice relating to any particular transaction.</w:t>
      </w:r>
    </w:p>
    <w:p>
      <w:pPr>
        <w:spacing w:after="0" w:line="200" w:lineRule="exact"/>
        <w:rPr>
          <w:rFonts w:ascii="Times New Roman" w:cs="Times New Roman" w:eastAsia="Times New Roman" w:hAnsi="Times New Roman"/>
          <w:sz w:val="12"/>
          <w:szCs w:val="12"/>
          <w:color w:val="auto"/>
        </w:rPr>
      </w:pPr>
    </w:p>
    <w:p>
      <w:pPr>
        <w:spacing w:after="0" w:line="210" w:lineRule="exact"/>
        <w:rPr>
          <w:rFonts w:ascii="Times New Roman" w:cs="Times New Roman" w:eastAsia="Times New Roman" w:hAnsi="Times New Roman"/>
          <w:sz w:val="12"/>
          <w:szCs w:val="12"/>
          <w:color w:val="auto"/>
        </w:rPr>
      </w:pPr>
    </w:p>
    <w:p>
      <w:pPr>
        <w:ind w:left="2248" w:hanging="898"/>
        <w:spacing w:after="0" w:line="279" w:lineRule="auto"/>
        <w:tabs>
          <w:tab w:leader="none" w:pos="2248"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may hold any other office or place of profit under the Company (other than the office of its Auditors) in conjunction with her office of Director for such period and on such terms as to remuneration and otherwise as the Board may determine.</w:t>
      </w:r>
    </w:p>
    <w:p>
      <w:pPr>
        <w:spacing w:after="0" w:line="111" w:lineRule="exact"/>
        <w:rPr>
          <w:rFonts w:ascii="Times New Roman" w:cs="Times New Roman" w:eastAsia="Times New Roman" w:hAnsi="Times New Roman"/>
          <w:sz w:val="12"/>
          <w:szCs w:val="12"/>
          <w:color w:val="auto"/>
        </w:rPr>
      </w:pPr>
    </w:p>
    <w:p>
      <w:pPr>
        <w:jc w:val="both"/>
        <w:ind w:left="2248" w:hanging="898"/>
        <w:spacing w:after="0" w:line="265" w:lineRule="auto"/>
        <w:tabs>
          <w:tab w:leader="none" w:pos="2248"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may use the property of the Company pursuant to or in connection with: the exercise or performance of his or her duties, functions and powers as Director or employee; the terms of any contract of service or employment or letter of appointment; and, or in the alternative, any other usage authorised by the Directors (or a person authorised by the Directors) from time to time; and including in each case for a Director’s own benefit or for the benefit of another person.</w:t>
      </w:r>
    </w:p>
    <w:p>
      <w:pPr>
        <w:spacing w:after="0" w:line="118" w:lineRule="exact"/>
        <w:rPr>
          <w:rFonts w:ascii="Times New Roman" w:cs="Times New Roman" w:eastAsia="Times New Roman" w:hAnsi="Times New Roman"/>
          <w:sz w:val="12"/>
          <w:szCs w:val="12"/>
          <w:color w:val="auto"/>
        </w:rPr>
      </w:pPr>
    </w:p>
    <w:p>
      <w:pPr>
        <w:ind w:left="2248" w:hanging="898"/>
        <w:spacing w:after="0" w:line="279" w:lineRule="auto"/>
        <w:tabs>
          <w:tab w:leader="none" w:pos="2248" w:val="left"/>
        </w:tabs>
        <w:numPr>
          <w:ilvl w:val="2"/>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recognised by section 228(1)(e) of the Companies Act 2014, the directors may agree to restrict their power to exercise an independent judgment but only where this has been expressly approved by a resolution of the board of directors of the Company.</w:t>
      </w:r>
    </w:p>
    <w:p>
      <w:pPr>
        <w:spacing w:after="0" w:line="111" w:lineRule="exact"/>
        <w:rPr>
          <w:sz w:val="20"/>
          <w:szCs w:val="20"/>
          <w:color w:val="auto"/>
        </w:rPr>
      </w:pPr>
    </w:p>
    <w:p>
      <w:pPr>
        <w:ind w:left="908" w:hanging="908"/>
        <w:spacing w:after="0" w:line="279" w:lineRule="auto"/>
        <w:tabs>
          <w:tab w:leader="none" w:pos="90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may act by himself or her firm in a professional capacity for the Company (other than as its Auditors) and she or her firm shall be entitled to remuneration for professional services as if she were not a Director.</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may be or become a director, managing director, joint managing director, deputy managing director, executive director, manager or other officer or Member of any other company or otherwise interested in any company promoted by the Company or in which the Company may be interested as shareholder or otherwise, and no such Director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72" w:name="page73"/>
    <w:bookmarkEnd w:id="72"/>
    <w:p>
      <w:pPr>
        <w:ind w:left="908"/>
        <w:spacing w:after="0" w:line="279" w:lineRule="auto"/>
        <w:rPr>
          <w:sz w:val="20"/>
          <w:szCs w:val="20"/>
          <w:color w:val="auto"/>
        </w:rPr>
      </w:pPr>
      <w:r>
        <w:rPr>
          <w:rFonts w:ascii="Times New Roman" w:cs="Times New Roman" w:eastAsia="Times New Roman" w:hAnsi="Times New Roman"/>
          <w:sz w:val="12"/>
          <w:szCs w:val="12"/>
          <w:color w:val="auto"/>
        </w:rPr>
        <w:t>accountable to the Company for any remuneration or other benefits received by her as a director, managing director, joint managing director, deputy managing director, executive director, manager or other officer or Member of such other company; provided that she has declared the nature of her position with, or interest in, such company to the Board in accordance with Article 117.</w:t>
      </w:r>
    </w:p>
    <w:p>
      <w:pPr>
        <w:spacing w:after="0" w:line="111" w:lineRule="exact"/>
        <w:rPr>
          <w:sz w:val="20"/>
          <w:szCs w:val="20"/>
          <w:color w:val="auto"/>
        </w:rPr>
      </w:pPr>
    </w:p>
    <w:p>
      <w:pPr>
        <w:jc w:val="both"/>
        <w:ind w:left="908" w:hanging="908"/>
        <w:spacing w:after="0" w:line="260" w:lineRule="auto"/>
        <w:tabs>
          <w:tab w:leader="none" w:pos="908"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person shall be disqualified from the office of Director or from being an officer of the Company or prevented by such office from contracting with the Company, either as vendor, purchaser or otherwise, nor shall any such contract or any contract or transaction entered into by or on behalf of the Company in which any Director or officer of the Company shall be in any way interested be or be liable to be avoided, nor shall any Director or officer of the Company so contracting or being so interested be liable to account to the Company for any profit realised by any such contract or transaction by reason of such Director or officer of the Company holding office or of the fiduciary relation thereby established; provided that:</w:t>
      </w:r>
    </w:p>
    <w:p>
      <w:pPr>
        <w:spacing w:after="0" w:line="122" w:lineRule="exact"/>
        <w:rPr>
          <w:sz w:val="20"/>
          <w:szCs w:val="20"/>
          <w:color w:val="auto"/>
        </w:rPr>
      </w:pPr>
    </w:p>
    <w:tbl>
      <w:tblPr>
        <w:tblLayout w:type="fixed"/>
        <w:tblInd w:w="448" w:type="dxa"/>
        <w:tblCellMar>
          <w:top w:w="0" w:type="dxa"/>
          <w:left w:w="0" w:type="dxa"/>
          <w:bottom w:w="0" w:type="dxa"/>
          <w:right w:w="0" w:type="dxa"/>
        </w:tblCellMar>
      </w:tblPr>
      <w:tr>
        <w:trPr>
          <w:trHeight w:val="155"/>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121.1</w:t>
            </w:r>
          </w:p>
        </w:tc>
        <w:tc>
          <w:tcPr>
            <w:tcW w:w="86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she has declared the nature of her interest in such contract or transaction to the Board in accordance with Article 117; and</w:t>
            </w:r>
          </w:p>
        </w:tc>
      </w:tr>
      <w:tr>
        <w:trPr>
          <w:trHeight w:val="288"/>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121.2</w:t>
            </w:r>
          </w:p>
        </w:tc>
        <w:tc>
          <w:tcPr>
            <w:tcW w:w="864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9"/>
              </w:rPr>
              <w:t>the contract or transaction is approved by a majority of the disinterested Directors, notwithstanding the fact that the disinterested Directors may represent less than a quorum.</w:t>
            </w:r>
          </w:p>
        </w:tc>
      </w:tr>
    </w:tbl>
    <w:p>
      <w:pPr>
        <w:spacing w:after="0" w:line="133" w:lineRule="exact"/>
        <w:rPr>
          <w:sz w:val="20"/>
          <w:szCs w:val="20"/>
          <w:color w:val="auto"/>
        </w:rPr>
      </w:pPr>
    </w:p>
    <w:p>
      <w:pPr>
        <w:jc w:val="both"/>
        <w:ind w:left="908" w:hanging="908"/>
        <w:spacing w:after="0" w:line="265" w:lineRule="auto"/>
        <w:tabs>
          <w:tab w:leader="none" w:pos="90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may be counted in determining the presence of a quorum at a meeting of the Board which authorises or approves the contract, transaction or arrangement in which she is interested and she shall be at liberty to vote in respect of any contract, transaction or arrangement in which she is interested, provided that the nature of the interest of any Director in any such contract or transaction shall be disclosed by her in accordance with Article 117, at or prior to its consideration and any vote thereon.</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purposes of Article 117:</w:t>
      </w:r>
    </w:p>
    <w:p>
      <w:pPr>
        <w:spacing w:after="0" w:line="150" w:lineRule="exact"/>
        <w:rPr>
          <w:sz w:val="20"/>
          <w:szCs w:val="20"/>
          <w:color w:val="auto"/>
        </w:rPr>
      </w:pPr>
    </w:p>
    <w:tbl>
      <w:tblPr>
        <w:tblLayout w:type="fixed"/>
        <w:tblInd w:w="448" w:type="dxa"/>
        <w:tblCellMar>
          <w:top w:w="0" w:type="dxa"/>
          <w:left w:w="0" w:type="dxa"/>
          <w:bottom w:w="0" w:type="dxa"/>
          <w:right w:w="0" w:type="dxa"/>
        </w:tblCellMar>
      </w:tblPr>
      <w:tr>
        <w:trPr>
          <w:trHeight w:val="144"/>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123.1</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 general notice given to the Directors that a Director is to be regarded as having an interest of the nature and extent specified in the notice in any transaction or arrangement in which a specified person or</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class of persons is interested shall be deemed to be a disclosure that the Director has an interest in any such transaction of the nature and extent so specified;</w:t>
            </w:r>
          </w:p>
        </w:tc>
      </w:tr>
      <w:tr>
        <w:trPr>
          <w:trHeight w:val="288"/>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123.2</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an interest of which a Director has no knowledge and of which it is unreasonable to expect her to have knowledge shall not be treated as an interest of her; and</w:t>
            </w:r>
          </w:p>
        </w:tc>
      </w:tr>
      <w:tr>
        <w:trPr>
          <w:trHeight w:val="277"/>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123.3</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 copy of every declaration made and notice given under Article 117 shall be entered within three (3) days after the making or giving thereof in a book kept for this purpose. Such book shall be open for</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inspection without charge by any Director, Secretary, the Auditors or Member of the Company at the registered office and shall be produced at every general meeting of the Company and at any meeting of</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Directors if any Director so requests in sufficient time to enable the book to be available at the meeting.</w:t>
            </w:r>
          </w:p>
        </w:tc>
      </w:tr>
    </w:tbl>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POWERS AND DUTIES OF DIRECTORS</w:t>
      </w:r>
    </w:p>
    <w:p>
      <w:pPr>
        <w:spacing w:after="0" w:line="154" w:lineRule="exact"/>
        <w:rPr>
          <w:sz w:val="20"/>
          <w:szCs w:val="20"/>
          <w:color w:val="auto"/>
        </w:rPr>
      </w:pPr>
    </w:p>
    <w:p>
      <w:pPr>
        <w:ind w:left="908" w:hanging="908"/>
        <w:spacing w:after="0" w:line="279" w:lineRule="auto"/>
        <w:tabs>
          <w:tab w:leader="none" w:pos="908"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of the Company shall be managed by the Directors, who may pay all expenses incurred in promoting and registering the Company and may exercise all such powers of the Company as are not, by the Companies Acts or by these Articles, required to be exercised by the Company in general meeting, subject, nevertheless, to any of these Articles and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73" w:name="page74"/>
    <w:bookmarkEnd w:id="73"/>
    <w:p>
      <w:pPr>
        <w:ind w:left="908"/>
        <w:spacing w:after="0"/>
        <w:rPr>
          <w:sz w:val="20"/>
          <w:szCs w:val="20"/>
          <w:color w:val="auto"/>
        </w:rPr>
      </w:pPr>
      <w:r>
        <w:rPr>
          <w:rFonts w:ascii="Times New Roman" w:cs="Times New Roman" w:eastAsia="Times New Roman" w:hAnsi="Times New Roman"/>
          <w:sz w:val="12"/>
          <w:szCs w:val="12"/>
          <w:color w:val="auto"/>
        </w:rPr>
        <w:t>provisions of the Companies Acts. No resolution made by the Company in general meeting shall invalidate any prior act of the Directors that would have been valid if that resolution had not been made.</w:t>
      </w:r>
    </w:p>
    <w:p>
      <w:pPr>
        <w:spacing w:after="0" w:line="150" w:lineRule="exact"/>
        <w:rPr>
          <w:sz w:val="20"/>
          <w:szCs w:val="20"/>
          <w:color w:val="auto"/>
        </w:rPr>
      </w:pPr>
    </w:p>
    <w:p>
      <w:pPr>
        <w:ind w:left="908" w:hanging="908"/>
        <w:spacing w:after="0"/>
        <w:tabs>
          <w:tab w:leader="none" w:pos="90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shall have the power to appoint and remove executives in such terms as the Board sees fit and to give such titles and responsibilities to those executives as it sees fit.</w:t>
      </w:r>
    </w:p>
    <w:p>
      <w:pPr>
        <w:spacing w:after="0" w:line="150"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have, for use in any place abroad, an official seal.</w:t>
      </w:r>
    </w:p>
    <w:p>
      <w:pPr>
        <w:spacing w:after="0" w:line="150"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as otherwise provided with these Articles, 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 company or providing for the payment of remuneration or pensions to the directors or officers of such other company.</w:t>
      </w:r>
    </w:p>
    <w:p>
      <w:pPr>
        <w:spacing w:after="0" w:line="118"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may from time to time authorise such person or persons as they see fit to perform all acts, including without prejudice to the foregoing, to effect a transfer of any shares, bonds, or other evidences of indebtedness or obligations, subscription rights, warrants, and other securities in another body corporate in which the Company holds an interest and to issue the necessary powers of attorney for the same; and each such person is authorised on behalf of the Company to vote such securities, to appoint proxies with respect thereto, and to execute consents, waivers and releases with respect thereto, or to cause any such action to be taken.</w:t>
      </w:r>
    </w:p>
    <w:p>
      <w:pPr>
        <w:spacing w:after="0" w:line="122"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exercise all powers of the Company to borrow money and to mortgage or charge its undertaking, property and uncalled capital or any part thereof and to issue debentures, debenture stock, mortgages, bonds or such other securities whether outright or as security for any debt, liability or obligation of the Company or of any third party.</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55" w:lineRule="auto"/>
        <w:tabs>
          <w:tab w:leader="none" w:pos="90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dependants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 being of the Company or of any such other company as aforesaid or its Members, and payments for or towards the issuance of any such persons as aforesaid and subscriptions or guarantees of money for charitable or benevolent objects or for any exhibition or for any public, general or useful object. Provided that any Director shall be entitled to retain any benefit received by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165735</wp:posOffset>
            </wp:positionV>
            <wp:extent cx="721487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74" w:name="page75"/>
    <w:bookmarkEnd w:id="74"/>
    <w:p>
      <w:pPr>
        <w:ind w:left="908"/>
        <w:spacing w:after="0"/>
        <w:rPr>
          <w:sz w:val="20"/>
          <w:szCs w:val="20"/>
          <w:color w:val="auto"/>
        </w:rPr>
      </w:pPr>
      <w:r>
        <w:rPr>
          <w:rFonts w:ascii="Times New Roman" w:cs="Times New Roman" w:eastAsia="Times New Roman" w:hAnsi="Times New Roman"/>
          <w:sz w:val="12"/>
          <w:szCs w:val="12"/>
          <w:color w:val="auto"/>
        </w:rPr>
        <w:t>under this Article, subject only, where the Companies Acts require, to disclosure to the Members and the approval of the Company in general meeting.</w:t>
      </w:r>
    </w:p>
    <w:p>
      <w:pPr>
        <w:spacing w:after="0" w:line="150" w:lineRule="exact"/>
        <w:rPr>
          <w:sz w:val="20"/>
          <w:szCs w:val="20"/>
          <w:color w:val="auto"/>
        </w:rPr>
      </w:pPr>
    </w:p>
    <w:p>
      <w:pPr>
        <w:ind w:left="908" w:right="20" w:hanging="908"/>
        <w:spacing w:after="0" w:line="279" w:lineRule="auto"/>
        <w:tabs>
          <w:tab w:leader="none" w:pos="908"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from time to time provide for the management of the affairs of the Company in such manner as it shall think fit and the specific delegation provisions contained in the Articles shall not limit the general powers conferred by these Articles.</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MINUTES</w:t>
      </w:r>
    </w:p>
    <w:p>
      <w:pPr>
        <w:spacing w:after="0" w:line="154" w:lineRule="exact"/>
        <w:rPr>
          <w:sz w:val="20"/>
          <w:szCs w:val="20"/>
          <w:color w:val="auto"/>
        </w:rPr>
      </w:pPr>
    </w:p>
    <w:p>
      <w:pPr>
        <w:ind w:left="908" w:hanging="908"/>
        <w:spacing w:after="0" w:line="279" w:lineRule="auto"/>
        <w:tabs>
          <w:tab w:leader="none" w:pos="90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shall cause minutes to be made in books kept for the purpose of all appointments of officers made by the Board, all resolutions and proceedings at meetings of the Company or the holders of any class of Shares, of the Directors and of committees of Directors, including the names of the Directors present at each meeting.</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DELEGATION OF THE BOARD’S POWERS</w:t>
      </w:r>
    </w:p>
    <w:p>
      <w:pPr>
        <w:spacing w:after="0" w:line="154" w:lineRule="exact"/>
        <w:rPr>
          <w:sz w:val="20"/>
          <w:szCs w:val="20"/>
          <w:color w:val="auto"/>
        </w:rPr>
      </w:pPr>
    </w:p>
    <w:p>
      <w:pPr>
        <w:jc w:val="both"/>
        <w:ind w:left="908" w:hanging="908"/>
        <w:spacing w:after="0" w:line="265" w:lineRule="auto"/>
        <w:tabs>
          <w:tab w:leader="none" w:pos="9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delegate any of its powers (with power to sub-delegate) to any committee consisting of one or more Directors. The Board may also delegate to any Director such of its powers as it considers desirable to be exercised by her. Any such delegation may be made subject to any conditions the Board may impose, and either collaterally with or to the exclusion of its own powers and may be revoked or altered. Subject to any such conditions, the proceedings of a committee of the Board shall be governed by the Articles regulating the proceedings of Directors, so far as they are capable of applying.</w:t>
      </w:r>
    </w:p>
    <w:p>
      <w:pPr>
        <w:spacing w:after="0" w:line="118"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by power of attorney or otherwise appoint any person to be the agent of the Company on such conditions as the Board may determine, provided that the delegation is not to the exclusion of its own powers and may be revoked by the Board at any time.</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by power of attorney or otherwise appoint any company, firm, person or body of persons, whether nominated directly or indirectly by the Board, to be the attorney or authorised signatory of the Company for such purpose and with such powers, authorities and discretions (not exceeding those vested in or exercisable by the Board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Board may think fit and may also authorise any such attorney or authorised signatory to delegate all or any of the powers, authorities and discretions vested in her.</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54" w:lineRule="exact"/>
        <w:rPr>
          <w:sz w:val="20"/>
          <w:szCs w:val="20"/>
          <w:color w:val="auto"/>
        </w:rPr>
      </w:pPr>
    </w:p>
    <w:p>
      <w:pPr>
        <w:ind w:left="908" w:right="20" w:hanging="908"/>
        <w:spacing w:after="0" w:line="279" w:lineRule="auto"/>
        <w:tabs>
          <w:tab w:leader="none" w:pos="908"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a chairman, who shall be a Director and shall be elected by the Board. In addition to the chairman, the Directors and the Secretary, the Company may have such officers as the Board may from time to time determine.</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PROCEEDINGS OF DIRECTORS</w:t>
      </w:r>
    </w:p>
    <w:p>
      <w:pPr>
        <w:spacing w:after="0" w:line="154" w:lineRule="exact"/>
        <w:rPr>
          <w:sz w:val="20"/>
          <w:szCs w:val="20"/>
          <w:color w:val="auto"/>
        </w:rPr>
      </w:pPr>
    </w:p>
    <w:p>
      <w:pPr>
        <w:ind w:left="908" w:right="20" w:hanging="908"/>
        <w:spacing w:after="0" w:line="279" w:lineRule="auto"/>
        <w:tabs>
          <w:tab w:leader="none" w:pos="90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provided by these Articles, the Directors shall meet together for the despatch of business, convening, adjourning and otherwise regulating their meetings and procedures as they think fit. Questions arising at any meeting shall be decided by a majority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75" w:name="page76"/>
    <w:bookmarkEnd w:id="75"/>
    <w:p>
      <w:pPr>
        <w:ind w:left="908"/>
        <w:spacing w:after="0"/>
        <w:rPr>
          <w:sz w:val="20"/>
          <w:szCs w:val="20"/>
          <w:color w:val="auto"/>
        </w:rPr>
      </w:pPr>
      <w:r>
        <w:rPr>
          <w:rFonts w:ascii="Times New Roman" w:cs="Times New Roman" w:eastAsia="Times New Roman" w:hAnsi="Times New Roman"/>
          <w:sz w:val="12"/>
          <w:szCs w:val="12"/>
          <w:color w:val="auto"/>
        </w:rPr>
        <w:t>votes of the Directors present at a meeting at which there is a quorum. Each Director shall have one vote.</w:t>
      </w:r>
    </w:p>
    <w:p>
      <w:pPr>
        <w:spacing w:after="0" w:line="150" w:lineRule="exact"/>
        <w:rPr>
          <w:sz w:val="20"/>
          <w:szCs w:val="20"/>
          <w:color w:val="auto"/>
        </w:rPr>
      </w:pPr>
    </w:p>
    <w:p>
      <w:pPr>
        <w:ind w:left="908" w:hanging="908"/>
        <w:spacing w:after="0"/>
        <w:tabs>
          <w:tab w:leader="none" w:pos="9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Regular meetings of the Board may be held at such times and places as may be provided for in resolutions adopted by the Board. No additional notice of a regularly scheduled meeting of the Board shall be required.</w:t>
      </w:r>
    </w:p>
    <w:p>
      <w:pPr>
        <w:spacing w:after="0" w:line="150"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Director may, and the Secretary on the requisition of a Director shall, at any time summon a meeting of the Directors by at least forty-eight (48) hours’ notice in writing to every Director which notice shall set forth the general nature of the business to be considered unless notice is waived by all the Directors either at, before or after the meeting is held and provided further if notice is given in person, by telephone, cable, telex, telecopy or email the same shall be deemed to have been given on the day it is delivered to the Directors or transmitting organisation as the case may be. The accidental omission to give notice of a meeting of the Directors to, or the non-receipt of notice of a meeting by any person entitled to receive notice shall not invalidate the proceedings of that meeting.</w:t>
      </w:r>
    </w:p>
    <w:p>
      <w:pPr>
        <w:spacing w:after="0" w:line="122"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quorum necessary for the transaction of the business of the Board may be fixed by the Board and unless so fixed shall be a majority of the Directors in office.</w:t>
      </w:r>
    </w:p>
    <w:p>
      <w:pPr>
        <w:spacing w:after="0" w:line="150"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continuing Directors may act notwithstanding any vacancy in their body, but if and so long as their number is reduced below the number fixed by or pursuant to these Articles as the necessary quorum of Directors, the continuing Directors or Director may act for the purpose of increasing the number of Directors to that number, or of summoning a general meeting of the Company, but for no other purpose.</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may elect a Chairman of their Board and determine the period for which she is to hold office; but if no such Chairman is elected, or if at any meeting the Chairman is not present within five (5) minutes after the time appointed for holding the same, the Directors present may choose one of their number to be a Chairman of the meeting.</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acts done by any meeting of the Directors or of a committee of Directors shall, notwithstanding that it be afterwards discovered that there was some defect in the appointment of any Director, or that they or any of them were disqualified, be as valid as if every such person had been duly appointed and qualified to be a Director.</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Members of the Board or of any committee thereof may participate in a meeting of the Board or of such committee by means of conference telephone or similar communications equipment by means of which all persons participating in the meeting can hear each other and participation in a meeting pursuant to this provision shall constitute presence in person at such meeting. Unless otherwise determined by the Directors the meeting shall be deemed to be held at the place where the Chairman is at the start of the meeting.</w:t>
      </w:r>
    </w:p>
    <w:p>
      <w:pPr>
        <w:spacing w:after="0" w:line="118"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resolution in writing (in one or more counterparts), signed by all the Directors for the time being or all the members of a committee of Directors shall be as valid and effectual as if it had been passed at a meeting of the Directors or committee as the case may be duly convened and held.</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RESIGNATION AND DISQUALIFICATION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183515</wp:posOffset>
            </wp:positionV>
            <wp:extent cx="721487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76" w:name="page77"/>
    <w:bookmarkEnd w:id="76"/>
    <w:p>
      <w:pPr>
        <w:ind w:left="908" w:hanging="908"/>
        <w:spacing w:after="0"/>
        <w:tabs>
          <w:tab w:leader="none" w:pos="908"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office of a Director shall be vacated:</w:t>
      </w:r>
    </w:p>
    <w:p>
      <w:pPr>
        <w:spacing w:after="0" w:line="150" w:lineRule="exact"/>
        <w:rPr>
          <w:sz w:val="20"/>
          <w:szCs w:val="20"/>
          <w:color w:val="auto"/>
        </w:rPr>
      </w:pPr>
    </w:p>
    <w:tbl>
      <w:tblPr>
        <w:tblLayout w:type="fixed"/>
        <w:tblInd w:w="448" w:type="dxa"/>
        <w:tblCellMar>
          <w:top w:w="0" w:type="dxa"/>
          <w:left w:w="0" w:type="dxa"/>
          <w:bottom w:w="0" w:type="dxa"/>
          <w:right w:w="0" w:type="dxa"/>
        </w:tblCellMar>
      </w:tblPr>
      <w:tr>
        <w:trPr>
          <w:trHeight w:val="155"/>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147.1</w:t>
            </w:r>
          </w:p>
        </w:tc>
        <w:tc>
          <w:tcPr>
            <w:tcW w:w="1012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9"/>
              </w:rPr>
              <w:t>if she resigns her office, on the date on which notice of her resignation is delivered to the Registered Office or tendered at a meeting of the Board or on such later date as may be specified in such notice; or</w:t>
            </w:r>
          </w:p>
        </w:tc>
      </w:tr>
      <w:tr>
        <w:trPr>
          <w:trHeight w:val="288"/>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147.2</w:t>
            </w:r>
          </w:p>
        </w:tc>
        <w:tc>
          <w:tcPr>
            <w:tcW w:w="101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on her being prohibited by law from being a Director; or</w:t>
            </w:r>
          </w:p>
        </w:tc>
      </w:tr>
      <w:tr>
        <w:trPr>
          <w:trHeight w:val="288"/>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147.3</w:t>
            </w:r>
          </w:p>
        </w:tc>
        <w:tc>
          <w:tcPr>
            <w:tcW w:w="101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on her ceasing to be a Director by virtue of any provision of the Companies Acts.</w:t>
            </w:r>
          </w:p>
        </w:tc>
      </w:tr>
    </w:tbl>
    <w:p>
      <w:pPr>
        <w:spacing w:after="0" w:line="133" w:lineRule="exact"/>
        <w:rPr>
          <w:sz w:val="20"/>
          <w:szCs w:val="20"/>
          <w:color w:val="auto"/>
        </w:rPr>
      </w:pPr>
    </w:p>
    <w:p>
      <w:pPr>
        <w:ind w:left="908" w:hanging="908"/>
        <w:spacing w:after="0" w:line="279" w:lineRule="auto"/>
        <w:tabs>
          <w:tab w:leader="none" w:pos="90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by Ordinary Resolution, in accordance with the Companies Acts, remove any Director before the expiration of her period of office notwithstanding anything in these Articles or in any agreement between the Company and such Director. Such removal shall be without prejudice to any claim such Director may have for damages for breach of any contract of service between her and the Company.</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APPOINTMENT OF DIRECTORS</w:t>
      </w:r>
    </w:p>
    <w:p>
      <w:pPr>
        <w:spacing w:after="0" w:line="154" w:lineRule="exact"/>
        <w:rPr>
          <w:sz w:val="20"/>
          <w:szCs w:val="20"/>
          <w:color w:val="auto"/>
        </w:rPr>
      </w:pPr>
    </w:p>
    <w:p>
      <w:pPr>
        <w:jc w:val="both"/>
        <w:ind w:left="908" w:hanging="908"/>
        <w:spacing w:after="0" w:line="253" w:lineRule="auto"/>
        <w:tabs>
          <w:tab w:leader="none" w:pos="90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close of the 2024 annual general meeting, the Directors shall be divided into three classes, designated Class I, Class II and Class III. Any allocation of the Directors into such classes shall be made by the decision of the affirmative vote of a majority of the Board then in office. The term of the Class I directors shall terminate on the date of the 2024 annual general meeting; the term of the Class II directors shall terminate on the date of the 2022 annual general meeting; and the term of the Class III directors shall terminate on the date of the 2023 annual general meeting. At each annual general meeting, beginning in 2022, each Director whose term expires at that annual general meeting shall be eligible for re-election for a one-year term. Save as otherwise permitted in or prescribed by these Articles (including Article 114 and Article 151), Directors will be elected by way of Ordinary Resolution of the Company in general meeting. In no case will a decrease in the number of Directors shorten the term of any incumbent Director. A Director shall hold office until the close of the annual general meeting for the year in which her or his term expires and until her or his successor shall be elected and shall qualify, subject, however, to prior death, resignation, retirement, disqualification or removal from office. Any vacancy on the Board, including a vacancy that results from an increase in the number of Directors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Until the 2024 annual general meeting, any Director appointed to fill a vacancy shall hold office for the same remaining term as that of the class that she has been designated in accordance with these Articles. After the 2024 annual general meeting, any Director appointed to fill a vacancy shall hold office until the next annual general meeting. A Director retiring from the Board at a general meeting shall retain office until the close or adjournment of such meeting.</w:t>
      </w:r>
    </w:p>
    <w:p>
      <w:pPr>
        <w:spacing w:after="0" w:line="127"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any vacancy in the Board, the remaining Directors shall have full power to act as the Board.</w:t>
      </w:r>
    </w:p>
    <w:p>
      <w:pPr>
        <w:spacing w:after="0" w:line="14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Article 114, each Director shall be elected by an Ordinary Resolution at an annual general meeting (or an extraordinary general meeting called for that purpose),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w:t>
      </w:r>
    </w:p>
    <w:p>
      <w:pPr>
        <w:spacing w:after="0" w:line="152" w:lineRule="exact"/>
        <w:rPr>
          <w:sz w:val="20"/>
          <w:szCs w:val="20"/>
          <w:color w:val="auto"/>
        </w:rPr>
      </w:pPr>
    </w:p>
    <w:p>
      <w:pPr>
        <w:ind w:left="908"/>
        <w:spacing w:after="0"/>
        <w:tabs>
          <w:tab w:leader="none" w:pos="1788" w:val="left"/>
        </w:tabs>
        <w:rPr>
          <w:sz w:val="20"/>
          <w:szCs w:val="20"/>
          <w:color w:val="auto"/>
        </w:rPr>
      </w:pPr>
      <w:r>
        <w:rPr>
          <w:rFonts w:ascii="Times New Roman" w:cs="Times New Roman" w:eastAsia="Times New Roman" w:hAnsi="Times New Roman"/>
          <w:sz w:val="12"/>
          <w:szCs w:val="12"/>
          <w:color w:val="auto"/>
        </w:rPr>
        <w:t>151.1</w:t>
      </w:r>
      <w:r>
        <w:rPr>
          <w:sz w:val="20"/>
          <w:szCs w:val="20"/>
          <w:color w:val="auto"/>
        </w:rPr>
        <w:tab/>
      </w:r>
      <w:r>
        <w:rPr>
          <w:rFonts w:ascii="Times New Roman" w:cs="Times New Roman" w:eastAsia="Times New Roman" w:hAnsi="Times New Roman"/>
          <w:sz w:val="11"/>
          <w:szCs w:val="11"/>
          <w:color w:val="auto"/>
        </w:rPr>
        <w:t>if, at any general meeting of the Company other than at a meeting with a contested election as described in 151.2 below, the number of Directors is reduced below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1487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408" w:right="299" w:bottom="1440" w:gutter="0" w:footer="0" w:header="0"/>
        </w:sectPr>
      </w:pPr>
    </w:p>
    <w:bookmarkStart w:id="77" w:name="page78"/>
    <w:bookmarkEnd w:id="77"/>
    <w:tbl>
      <w:tblPr>
        <w:tblLayout w:type="fixed"/>
        <w:tblInd w:w="908" w:type="dxa"/>
        <w:tblCellMar>
          <w:top w:w="0" w:type="dxa"/>
          <w:left w:w="0" w:type="dxa"/>
          <w:bottom w:w="0" w:type="dxa"/>
          <w:right w:w="0" w:type="dxa"/>
        </w:tblCellMar>
      </w:tblPr>
      <w:tr>
        <w:trPr>
          <w:trHeight w:val="144"/>
        </w:trPr>
        <w:tc>
          <w:tcPr>
            <w:tcW w:w="580" w:type="dxa"/>
            <w:vAlign w:val="bottom"/>
          </w:tcPr>
          <w:p>
            <w:pPr>
              <w:spacing w:after="0"/>
              <w:rPr>
                <w:sz w:val="12"/>
                <w:szCs w:val="12"/>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minimum prescribed by the Board in accordance with Article 114 due to the failure of any persons nominated to be Directors to be elected, then in those circumstances, the nominee or nominees</w:t>
            </w:r>
          </w:p>
        </w:tc>
      </w:tr>
      <w:tr>
        <w:trPr>
          <w:trHeight w:val="144"/>
        </w:trPr>
        <w:tc>
          <w:tcPr>
            <w:tcW w:w="580" w:type="dxa"/>
            <w:vAlign w:val="bottom"/>
          </w:tcPr>
          <w:p>
            <w:pPr>
              <w:spacing w:after="0"/>
              <w:rPr>
                <w:sz w:val="12"/>
                <w:szCs w:val="12"/>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who receive the highest number of votes in favour of election shall be elected in order to maintain the prescribed minimum number of Directors and each such Director shall remain a Director</w:t>
            </w:r>
          </w:p>
        </w:tc>
      </w:tr>
      <w:tr>
        <w:trPr>
          <w:trHeight w:val="144"/>
        </w:trPr>
        <w:tc>
          <w:tcPr>
            <w:tcW w:w="580" w:type="dxa"/>
            <w:vAlign w:val="bottom"/>
          </w:tcPr>
          <w:p>
            <w:pPr>
              <w:spacing w:after="0"/>
              <w:rPr>
                <w:sz w:val="12"/>
                <w:szCs w:val="12"/>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(subject to the provisions of the Companies Acts and these Articles) only until the conclusion of the next annual general meeting of the Company unless such Director is elected by the Members</w:t>
            </w:r>
          </w:p>
        </w:tc>
      </w:tr>
      <w:tr>
        <w:trPr>
          <w:trHeight w:val="155"/>
        </w:trPr>
        <w:tc>
          <w:tcPr>
            <w:tcW w:w="580" w:type="dxa"/>
            <w:vAlign w:val="bottom"/>
          </w:tcPr>
          <w:p>
            <w:pPr>
              <w:spacing w:after="0"/>
              <w:rPr>
                <w:sz w:val="13"/>
                <w:szCs w:val="13"/>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during such meeting; and</w:t>
            </w:r>
          </w:p>
        </w:tc>
      </w:tr>
      <w:tr>
        <w:trPr>
          <w:trHeight w:val="273"/>
        </w:trPr>
        <w:tc>
          <w:tcPr>
            <w:tcW w:w="5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88"/>
              </w:rPr>
              <w:t>151.2</w:t>
            </w: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if, at the time the Company files its proxy statement for any general meeting of the Company, the number of persons who are at such time validly nominated in accordance with these Articles for</w:t>
            </w:r>
          </w:p>
        </w:tc>
      </w:tr>
      <w:tr>
        <w:trPr>
          <w:trHeight w:val="144"/>
        </w:trPr>
        <w:tc>
          <w:tcPr>
            <w:tcW w:w="580" w:type="dxa"/>
            <w:vAlign w:val="bottom"/>
          </w:tcPr>
          <w:p>
            <w:pPr>
              <w:spacing w:after="0"/>
              <w:rPr>
                <w:sz w:val="12"/>
                <w:szCs w:val="12"/>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election or re-election as Directors (such persons collectively, the “</w:t>
            </w:r>
            <w:r>
              <w:rPr>
                <w:rFonts w:ascii="Times New Roman" w:cs="Times New Roman" w:eastAsia="Times New Roman" w:hAnsi="Times New Roman"/>
                <w:sz w:val="12"/>
                <w:szCs w:val="12"/>
                <w:b w:val="1"/>
                <w:bCs w:val="1"/>
                <w:color w:val="auto"/>
              </w:rPr>
              <w:t>Director Nominees</w:t>
            </w:r>
            <w:r>
              <w:rPr>
                <w:rFonts w:ascii="Times New Roman" w:cs="Times New Roman" w:eastAsia="Times New Roman" w:hAnsi="Times New Roman"/>
                <w:sz w:val="12"/>
                <w:szCs w:val="12"/>
                <w:color w:val="auto"/>
              </w:rPr>
              <w:t>”) exceeds the number of Directors to be elected at such general meeting in accordance with Articles 114 and</w:t>
            </w:r>
          </w:p>
        </w:tc>
      </w:tr>
      <w:tr>
        <w:trPr>
          <w:trHeight w:val="148"/>
        </w:trPr>
        <w:tc>
          <w:tcPr>
            <w:tcW w:w="580" w:type="dxa"/>
            <w:vAlign w:val="bottom"/>
          </w:tcPr>
          <w:p>
            <w:pPr>
              <w:spacing w:after="0"/>
              <w:rPr>
                <w:sz w:val="12"/>
                <w:szCs w:val="12"/>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149 (the “</w:t>
            </w:r>
            <w:r>
              <w:rPr>
                <w:rFonts w:ascii="Times New Roman" w:cs="Times New Roman" w:eastAsia="Times New Roman" w:hAnsi="Times New Roman"/>
                <w:sz w:val="12"/>
                <w:szCs w:val="12"/>
                <w:b w:val="1"/>
                <w:bCs w:val="1"/>
                <w:color w:val="auto"/>
              </w:rPr>
              <w:t>Available Director Positions</w:t>
            </w:r>
            <w:r>
              <w:rPr>
                <w:rFonts w:ascii="Times New Roman" w:cs="Times New Roman" w:eastAsia="Times New Roman" w:hAnsi="Times New Roman"/>
                <w:sz w:val="12"/>
                <w:szCs w:val="12"/>
                <w:color w:val="auto"/>
              </w:rPr>
              <w:t>” and such an election, a “</w:t>
            </w:r>
            <w:r>
              <w:rPr>
                <w:rFonts w:ascii="Times New Roman" w:cs="Times New Roman" w:eastAsia="Times New Roman" w:hAnsi="Times New Roman"/>
                <w:sz w:val="12"/>
                <w:szCs w:val="12"/>
                <w:b w:val="1"/>
                <w:bCs w:val="1"/>
                <w:color w:val="auto"/>
              </w:rPr>
              <w:t>contested election</w:t>
            </w:r>
            <w:r>
              <w:rPr>
                <w:rFonts w:ascii="Times New Roman" w:cs="Times New Roman" w:eastAsia="Times New Roman" w:hAnsi="Times New Roman"/>
                <w:sz w:val="12"/>
                <w:szCs w:val="12"/>
                <w:color w:val="auto"/>
              </w:rPr>
              <w:t>”), then only those Director Nominees in number equal to the Available Director Positions who receive the</w:t>
            </w:r>
          </w:p>
        </w:tc>
      </w:tr>
      <w:tr>
        <w:trPr>
          <w:trHeight w:val="144"/>
        </w:trPr>
        <w:tc>
          <w:tcPr>
            <w:tcW w:w="580" w:type="dxa"/>
            <w:vAlign w:val="bottom"/>
          </w:tcPr>
          <w:p>
            <w:pPr>
              <w:spacing w:after="0"/>
              <w:rPr>
                <w:sz w:val="12"/>
                <w:szCs w:val="12"/>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highest number of votes in favour of their election by the Members present in person or represented by proxy at such meeting and entitled to vote on the election of Directors shall be elected as</w:t>
            </w:r>
          </w:p>
        </w:tc>
      </w:tr>
      <w:tr>
        <w:trPr>
          <w:trHeight w:val="144"/>
        </w:trPr>
        <w:tc>
          <w:tcPr>
            <w:tcW w:w="580" w:type="dxa"/>
            <w:vAlign w:val="bottom"/>
          </w:tcPr>
          <w:p>
            <w:pPr>
              <w:spacing w:after="0"/>
              <w:rPr>
                <w:sz w:val="12"/>
                <w:szCs w:val="12"/>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Directors. For clarity, notwithstanding the withdrawal of any nominations for Directors in a contested election subsequent to the time the Company files its proxy statement, the plurality voting</w:t>
            </w:r>
          </w:p>
        </w:tc>
      </w:tr>
      <w:tr>
        <w:trPr>
          <w:trHeight w:val="155"/>
        </w:trPr>
        <w:tc>
          <w:tcPr>
            <w:tcW w:w="580" w:type="dxa"/>
            <w:vAlign w:val="bottom"/>
          </w:tcPr>
          <w:p>
            <w:pPr>
              <w:spacing w:after="0"/>
              <w:rPr>
                <w:sz w:val="13"/>
                <w:szCs w:val="13"/>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provisions of this Article 151.2 will continue to apply to the election of Directors at any such meeting.</w:t>
            </w:r>
          </w:p>
        </w:tc>
      </w:tr>
    </w:tbl>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SECRETARY</w:t>
      </w:r>
    </w:p>
    <w:p>
      <w:pPr>
        <w:spacing w:after="0" w:line="154" w:lineRule="exact"/>
        <w:rPr>
          <w:sz w:val="20"/>
          <w:szCs w:val="20"/>
          <w:color w:val="auto"/>
        </w:rPr>
      </w:pPr>
    </w:p>
    <w:p>
      <w:pPr>
        <w:ind w:left="908" w:hanging="908"/>
        <w:spacing w:after="0"/>
        <w:tabs>
          <w:tab w:leader="none" w:pos="90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Secretary shall be appointed by the Board at such remuneration (if any) and on such terms as it may think fit and any Secretary so appointed may be removed by the Board.</w:t>
      </w:r>
    </w:p>
    <w:p>
      <w:pPr>
        <w:spacing w:after="0" w:line="150"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duties of the Secretary shall be those prescribed by the Companies Acts, together with such other duties as shall from time to time be prescribed by the Board, and in any case, shall include the making and keeping of records of the votes, doings and proceedings of all meetings of the Members and the Board of the Company, and committees, and the authentication of records of the Company.</w:t>
      </w:r>
    </w:p>
    <w:p>
      <w:pPr>
        <w:spacing w:after="0" w:line="111"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provision of the Companies Acts or these Articles requiring or authorising a thing to be done by or to a Director and the Secretary shall not be satisfied by its being done by or to the same person acting both as Director and as, or in the place of, the Secretary.</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SEAL</w:t>
      </w:r>
    </w:p>
    <w:p>
      <w:pPr>
        <w:spacing w:after="0" w:line="154" w:lineRule="exact"/>
        <w:rPr>
          <w:sz w:val="20"/>
          <w:szCs w:val="20"/>
          <w:color w:val="auto"/>
        </w:rPr>
      </w:pPr>
    </w:p>
    <w:p>
      <w:pPr>
        <w:jc w:val="both"/>
        <w:ind w:left="908" w:hanging="908"/>
        <w:spacing w:after="0" w:line="265" w:lineRule="auto"/>
        <w:tabs>
          <w:tab w:leader="none" w:pos="908"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if the Board so determines, have a Seal (including any official seals kept pursuant to the Companies Acts) which shall only be used by the authority of the Board or of a committee of the Board authorised by the Board in that regard and every instrument to which the Seal has been affixed shall be signed by any person who shall be either a Director or the Secretary or Assistant Secretary or some other person authorised by the Board, either generally or specifically, for the purpose.</w:t>
      </w:r>
    </w:p>
    <w:p>
      <w:pPr>
        <w:spacing w:after="0" w:line="118"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have for use in any place or places outside Ireland, a duplicate Seal or Seals each of which shall be a duplicate of the Seal of the Company except, in the case of a Seal for use in sealing documents creating or evidencing securities issued by the Company,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72148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78" w:name="page79"/>
    <w:bookmarkEnd w:id="78"/>
    <w:p>
      <w:pPr>
        <w:ind w:left="908"/>
        <w:spacing w:after="0"/>
        <w:rPr>
          <w:sz w:val="20"/>
          <w:szCs w:val="20"/>
          <w:color w:val="auto"/>
        </w:rPr>
      </w:pPr>
      <w:r>
        <w:rPr>
          <w:rFonts w:ascii="Times New Roman" w:cs="Times New Roman" w:eastAsia="Times New Roman" w:hAnsi="Times New Roman"/>
          <w:sz w:val="12"/>
          <w:szCs w:val="12"/>
          <w:color w:val="auto"/>
        </w:rPr>
        <w:t>addition on its face of the word “Securities” and if the Board so determines, with the addition on its face of the name of every place where it is to be used.</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DIVIDENDS, DISTRIBUTIONS AND RESERVES</w:t>
      </w:r>
    </w:p>
    <w:p>
      <w:pPr>
        <w:spacing w:after="0" w:line="154" w:lineRule="exact"/>
        <w:rPr>
          <w:sz w:val="20"/>
          <w:szCs w:val="20"/>
          <w:color w:val="auto"/>
        </w:rPr>
      </w:pPr>
    </w:p>
    <w:p>
      <w:pPr>
        <w:ind w:left="908" w:hanging="908"/>
        <w:spacing w:after="0"/>
        <w:tabs>
          <w:tab w:leader="none" w:pos="9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in general meeting may declare dividends, but no dividends shall exceed the amount recommended by the Directors.</w:t>
      </w:r>
    </w:p>
    <w:p>
      <w:pPr>
        <w:spacing w:after="0" w:line="150"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Companies Acts, the Board may from time to time declare dividends (including interim dividends) and distributions on Shares of the Company outstanding and authorise payment of the same out of the funds of the Company lawfully available therefor.</w:t>
      </w:r>
    </w:p>
    <w:p>
      <w:pPr>
        <w:spacing w:after="0" w:line="111" w:lineRule="exact"/>
        <w:rPr>
          <w:rFonts w:ascii="Times New Roman" w:cs="Times New Roman" w:eastAsia="Times New Roman" w:hAnsi="Times New Roman"/>
          <w:sz w:val="12"/>
          <w:szCs w:val="12"/>
          <w:color w:val="auto"/>
        </w:rPr>
      </w:pPr>
    </w:p>
    <w:p>
      <w:pPr>
        <w:jc w:val="both"/>
        <w:ind w:left="908" w:hanging="908"/>
        <w:spacing w:after="0" w:line="265" w:lineRule="auto"/>
        <w:tabs>
          <w:tab w:leader="none" w:pos="9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 The Directors may also, without placing the same to reserve, carry forward any profits which they may think it prudent not to divide.</w:t>
      </w:r>
    </w:p>
    <w:p>
      <w:pPr>
        <w:spacing w:after="0" w:line="118"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dividend, interim dividend or distribution shall be paid otherwise than in accordance with the provisions of the Companies Acts.</w:t>
      </w:r>
    </w:p>
    <w:p>
      <w:pPr>
        <w:spacing w:after="0" w:line="150"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w:t>
      </w:r>
    </w:p>
    <w:p>
      <w:pPr>
        <w:spacing w:after="0" w:line="111" w:lineRule="exact"/>
        <w:rPr>
          <w:rFonts w:ascii="Times New Roman" w:cs="Times New Roman" w:eastAsia="Times New Roman" w:hAnsi="Times New Roman"/>
          <w:sz w:val="12"/>
          <w:szCs w:val="12"/>
          <w:color w:val="auto"/>
        </w:rPr>
      </w:pPr>
    </w:p>
    <w:p>
      <w:pPr>
        <w:ind w:left="908" w:hanging="908"/>
        <w:spacing w:after="0"/>
        <w:tabs>
          <w:tab w:leader="none" w:pos="9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may deduct from any dividend payable to any Member all sums of money (if any) immediately payable by her to the Company in relation to the Shares of the Company.</w:t>
      </w:r>
    </w:p>
    <w:p>
      <w:pPr>
        <w:spacing w:after="0" w:line="150" w:lineRule="exact"/>
        <w:rPr>
          <w:rFonts w:ascii="Times New Roman" w:cs="Times New Roman" w:eastAsia="Times New Roman" w:hAnsi="Times New Roman"/>
          <w:sz w:val="12"/>
          <w:szCs w:val="12"/>
          <w:color w:val="auto"/>
        </w:rPr>
      </w:pPr>
    </w:p>
    <w:p>
      <w:pPr>
        <w:jc w:val="both"/>
        <w:ind w:left="908" w:hanging="908"/>
        <w:spacing w:after="0" w:line="260" w:lineRule="auto"/>
        <w:tabs>
          <w:tab w:leader="none" w:pos="9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or any general meeting declaring a dividend (upon the recommendation of the Board), may direct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Board may settle the same as they think expedient and in particular may issue fractional certificates and fix the value for distribution of such specific assets or any part thereof and may determine that cash payments shall be made to any Members upon the footing of the value so fixed in order to adjust the rights of all Members and may vest any such specific assets in trustees as may seem expedient to the Board.</w:t>
      </w:r>
    </w:p>
    <w:p>
      <w:pPr>
        <w:spacing w:after="0" w:line="122" w:lineRule="exact"/>
        <w:rPr>
          <w:rFonts w:ascii="Times New Roman" w:cs="Times New Roman" w:eastAsia="Times New Roman" w:hAnsi="Times New Roman"/>
          <w:sz w:val="12"/>
          <w:szCs w:val="12"/>
          <w:color w:val="auto"/>
        </w:rPr>
      </w:pPr>
    </w:p>
    <w:p>
      <w:pPr>
        <w:jc w:val="both"/>
        <w:ind w:left="908" w:hanging="908"/>
        <w:spacing w:after="0" w:line="257" w:lineRule="auto"/>
        <w:tabs>
          <w:tab w:leader="none" w:pos="9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dividend, distribution, interest or other monies payable in cash in respect of Shares may be paid by cheque or warrant sent through the post, or sent by any electronic or other means of payment, directed to the registered Address of the holder or, in the case of joint holders, to the holder who is first named on the Register of Members or to such person and to such Address as such holder or joint holders may in writing direct. Every such cheque or warrant, electronic or other payment shall be made payable to the order of the person to whom it is sent and payment of the cheque or warrant shall be a good discharge to the Company. Any one of two or more joint holders may give effectual receipts for any dividends, bonuses, or other monies payable in respect of the Share held by them as joint holders. Any such dividend or other distribution may also be paid by any other method (including payment in a currency other than US$, electronic funds transfer, direct debit, bank transfer or by means of a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72148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79" w:name="page80"/>
    <w:bookmarkEnd w:id="79"/>
    <w:p>
      <w:pPr>
        <w:ind w:left="908" w:right="20"/>
        <w:spacing w:after="0" w:line="279" w:lineRule="auto"/>
        <w:rPr>
          <w:sz w:val="20"/>
          <w:szCs w:val="20"/>
          <w:color w:val="auto"/>
        </w:rPr>
      </w:pPr>
      <w:r>
        <w:rPr>
          <w:rFonts w:ascii="Times New Roman" w:cs="Times New Roman" w:eastAsia="Times New Roman" w:hAnsi="Times New Roman"/>
          <w:sz w:val="12"/>
          <w:szCs w:val="12"/>
          <w:color w:val="auto"/>
        </w:rPr>
        <w:t>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111" w:lineRule="exact"/>
        <w:rPr>
          <w:sz w:val="20"/>
          <w:szCs w:val="20"/>
          <w:color w:val="auto"/>
        </w:rPr>
      </w:pPr>
    </w:p>
    <w:p>
      <w:pPr>
        <w:ind w:left="908" w:hanging="908"/>
        <w:spacing w:after="0"/>
        <w:tabs>
          <w:tab w:leader="none" w:pos="90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dividend or distribution shall bear interest against the Company.</w:t>
      </w:r>
    </w:p>
    <w:p>
      <w:pPr>
        <w:spacing w:after="0" w:line="150"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Directors so resolve, any dividend which has remained unclaimed for twelve years from the date of its declaration shall be forfeited and cease to remain owing by the Company. The payment by the Directors of any unclaimed dividend or other monies payable in respect of a Share into a separate account shall not constitute the Company a trustee in respect thereof.</w:t>
      </w:r>
    </w:p>
    <w:p>
      <w:pPr>
        <w:spacing w:after="0" w:line="10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CAPITALISATION</w:t>
      </w:r>
    </w:p>
    <w:p>
      <w:pPr>
        <w:spacing w:after="0" w:line="154" w:lineRule="exact"/>
        <w:rPr>
          <w:sz w:val="20"/>
          <w:szCs w:val="20"/>
          <w:color w:val="auto"/>
        </w:rPr>
      </w:pPr>
    </w:p>
    <w:p>
      <w:pPr>
        <w:ind w:left="908" w:right="20" w:hanging="908"/>
        <w:spacing w:after="0" w:line="279" w:lineRule="auto"/>
        <w:tabs>
          <w:tab w:leader="none" w:pos="908"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powers conferred on the Directors as aforesaid, and subject to any authority granted to the Directors to issue and allot Shares, including, in accordance with the Companies Acts or under Article 9, the Directors or any duly appointed committee thereof may:</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167.1</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resolve to capitalise any amount standing to the credit of the reserves of the Company (including, but not limited to, the share premium account, capital redemption reserve, capital conversion reserve and</w:t>
            </w:r>
          </w:p>
        </w:tc>
      </w:tr>
      <w:tr>
        <w:trPr>
          <w:trHeight w:val="144"/>
        </w:trPr>
        <w:tc>
          <w:tcPr>
            <w:tcW w:w="1020" w:type="dxa"/>
            <w:vAlign w:val="bottom"/>
          </w:tcPr>
          <w:p>
            <w:pPr>
              <w:spacing w:after="0"/>
              <w:rPr>
                <w:sz w:val="12"/>
                <w:szCs w:val="12"/>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profit and loss account), whether or not available for distribution, for any purpose, including, but not limited to, for the purposes of effecting any exchange of any rights and applying any such sum arising</w:t>
            </w:r>
          </w:p>
        </w:tc>
      </w:tr>
      <w:tr>
        <w:trPr>
          <w:trHeight w:val="155"/>
        </w:trPr>
        <w:tc>
          <w:tcPr>
            <w:tcW w:w="1020" w:type="dxa"/>
            <w:vAlign w:val="bottom"/>
          </w:tcPr>
          <w:p>
            <w:pPr>
              <w:spacing w:after="0"/>
              <w:rPr>
                <w:sz w:val="13"/>
                <w:szCs w:val="13"/>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from such capitalisation to pay up any shares of the Company and allot them, credited as fully paid, to any holders of such rights;</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167.2</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appropriate the sum resolved to be capitalised to the Members in proportion to the nominal amount of Shares held by them respectively and apply that sum on their behalf in or towards paying up in full</w:t>
            </w:r>
          </w:p>
        </w:tc>
      </w:tr>
      <w:tr>
        <w:trPr>
          <w:trHeight w:val="144"/>
        </w:trPr>
        <w:tc>
          <w:tcPr>
            <w:tcW w:w="1020" w:type="dxa"/>
            <w:vAlign w:val="bottom"/>
          </w:tcPr>
          <w:p>
            <w:pPr>
              <w:spacing w:after="0"/>
              <w:rPr>
                <w:sz w:val="12"/>
                <w:szCs w:val="12"/>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unissued Shares or debentures of a nominal amount equal to that sum, and allot the Shares or debentures, credited as fully paid, to the Members (or as the Board may direct) in those proportions, or partly in</w:t>
            </w:r>
          </w:p>
        </w:tc>
      </w:tr>
      <w:tr>
        <w:trPr>
          <w:trHeight w:val="144"/>
        </w:trPr>
        <w:tc>
          <w:tcPr>
            <w:tcW w:w="1020" w:type="dxa"/>
            <w:vAlign w:val="bottom"/>
          </w:tcPr>
          <w:p>
            <w:pPr>
              <w:spacing w:after="0"/>
              <w:rPr>
                <w:sz w:val="12"/>
                <w:szCs w:val="12"/>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one way and partly in the other, but the share premium account, the capital redemption reserve, the capital conversion reserve and profits that are not available for distribution may, for the purposes of this</w:t>
            </w:r>
          </w:p>
        </w:tc>
      </w:tr>
      <w:tr>
        <w:trPr>
          <w:trHeight w:val="155"/>
        </w:trPr>
        <w:tc>
          <w:tcPr>
            <w:tcW w:w="1020" w:type="dxa"/>
            <w:vAlign w:val="bottom"/>
          </w:tcPr>
          <w:p>
            <w:pPr>
              <w:spacing w:after="0"/>
              <w:rPr>
                <w:sz w:val="13"/>
                <w:szCs w:val="13"/>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Article 167, only be applied in paying up unissued Shares to be allotted to Members credited as fully paid;</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167.3</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make any arrangements it thinks fit to resolve a difficulty arising in the distribution of a capitalised reserve and in particular, without limitation, where Shares or debentures become distributable in fractions</w:t>
            </w:r>
          </w:p>
        </w:tc>
      </w:tr>
      <w:tr>
        <w:trPr>
          <w:trHeight w:val="155"/>
        </w:trPr>
        <w:tc>
          <w:tcPr>
            <w:tcW w:w="1020" w:type="dxa"/>
            <w:vAlign w:val="bottom"/>
          </w:tcPr>
          <w:p>
            <w:pPr>
              <w:spacing w:after="0"/>
              <w:rPr>
                <w:sz w:val="13"/>
                <w:szCs w:val="13"/>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Board may deal with the fractions as it thinks fit;</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167.4</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authorise a person to enter (on behalf of all the Members concerned) into an agreement with the Company providing for the allotment to the Members respectively, credited as fully paid, of Shares or</w:t>
            </w:r>
          </w:p>
        </w:tc>
      </w:tr>
      <w:tr>
        <w:trPr>
          <w:trHeight w:val="155"/>
        </w:trPr>
        <w:tc>
          <w:tcPr>
            <w:tcW w:w="1020" w:type="dxa"/>
            <w:vAlign w:val="bottom"/>
          </w:tcPr>
          <w:p>
            <w:pPr>
              <w:spacing w:after="0"/>
              <w:rPr>
                <w:sz w:val="13"/>
                <w:szCs w:val="13"/>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debentures to which they may be entitled on the capitalisation and any such agreement made under this authority being effective and binding on all those Members; and</w:t>
            </w:r>
          </w:p>
        </w:tc>
      </w:tr>
      <w:tr>
        <w:trPr>
          <w:trHeight w:val="288"/>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167.5</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generally do all acts and things required to give effect to the resolution.</w:t>
            </w:r>
          </w:p>
        </w:tc>
      </w:tr>
      <w:tr>
        <w:trPr>
          <w:trHeight w:val="288"/>
        </w:trPr>
        <w:tc>
          <w:tcPr>
            <w:tcW w:w="1020" w:type="dxa"/>
            <w:vAlign w:val="bottom"/>
          </w:tcPr>
          <w:p>
            <w:pPr>
              <w:spacing w:after="0"/>
              <w:rPr>
                <w:sz w:val="24"/>
                <w:szCs w:val="24"/>
                <w:color w:val="auto"/>
              </w:rPr>
            </w:pPr>
          </w:p>
        </w:tc>
        <w:tc>
          <w:tcPr>
            <w:tcW w:w="10300" w:type="dxa"/>
            <w:vAlign w:val="bottom"/>
          </w:tcPr>
          <w:p>
            <w:pPr>
              <w:ind w:left="4280"/>
              <w:spacing w:after="0"/>
              <w:rPr>
                <w:sz w:val="20"/>
                <w:szCs w:val="20"/>
                <w:color w:val="auto"/>
              </w:rPr>
            </w:pPr>
            <w:r>
              <w:rPr>
                <w:rFonts w:ascii="Times New Roman" w:cs="Times New Roman" w:eastAsia="Times New Roman" w:hAnsi="Times New Roman"/>
                <w:sz w:val="12"/>
                <w:szCs w:val="12"/>
                <w:b w:val="1"/>
                <w:bCs w:val="1"/>
                <w:color w:val="auto"/>
              </w:rPr>
              <w:t>ACCOUNTS</w:t>
            </w:r>
          </w:p>
        </w:tc>
      </w:tr>
      <w:tr>
        <w:trPr>
          <w:trHeight w:val="288"/>
        </w:trPr>
        <w:tc>
          <w:tcPr>
            <w:tcW w:w="1020" w:type="dxa"/>
            <w:vAlign w:val="bottom"/>
            <w:tcBorders>
              <w:bottom w:val="single" w:sz="8" w:color="9A9A9A"/>
            </w:tcBorders>
          </w:tcPr>
          <w:p>
            <w:pPr>
              <w:spacing w:after="0"/>
              <w:rPr>
                <w:sz w:val="24"/>
                <w:szCs w:val="24"/>
                <w:color w:val="auto"/>
              </w:rPr>
            </w:pPr>
          </w:p>
        </w:tc>
        <w:tc>
          <w:tcPr>
            <w:tcW w:w="10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-23495</wp:posOffset>
            </wp:positionV>
            <wp:extent cx="311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8"/>
          </w:cols>
          <w:pgMar w:left="292" w:top="264" w:right="279" w:bottom="1440" w:gutter="0" w:footer="0" w:header="0"/>
        </w:sectPr>
      </w:pPr>
    </w:p>
    <w:bookmarkStart w:id="80" w:name="page81"/>
    <w:bookmarkEnd w:id="80"/>
    <w:p>
      <w:pPr>
        <w:ind w:left="908" w:hanging="908"/>
        <w:spacing w:after="0"/>
        <w:tabs>
          <w:tab w:leader="none" w:pos="908"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shall cause the Company to keep adequate accounting records, which are sufficient to:</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correctly record and explain the transactions of the Company;</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enable, at any time, the assets, liabilities, financial position and profit or loss of the Company to be determined with reasonable accuracy;</w:t>
      </w:r>
    </w:p>
    <w:p>
      <w:pPr>
        <w:spacing w:after="0" w:line="150" w:lineRule="exact"/>
        <w:rPr>
          <w:rFonts w:ascii="Times New Roman" w:cs="Times New Roman" w:eastAsia="Times New Roman" w:hAnsi="Times New Roman"/>
          <w:sz w:val="12"/>
          <w:szCs w:val="12"/>
          <w:color w:val="auto"/>
        </w:rPr>
      </w:pPr>
    </w:p>
    <w:p>
      <w:pPr>
        <w:ind w:left="2248" w:right="20" w:hanging="898"/>
        <w:spacing w:after="0" w:line="279" w:lineRule="auto"/>
        <w:tabs>
          <w:tab w:leader="none" w:pos="2248"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enable the Directors to ensure that any financial statements of the Company and any directors’ report, required to be prepared under the Companies Acts, comply with the requirements of the Companies Acts and, where applicable, the IAS Regulation; and</w:t>
      </w:r>
    </w:p>
    <w:p>
      <w:pPr>
        <w:spacing w:after="0" w:line="111"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enable those financial statements of the Company to be audited.</w:t>
      </w:r>
    </w:p>
    <w:p>
      <w:pPr>
        <w:spacing w:after="0" w:line="150"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auto"/>
        </w:rPr>
        <w:t>Accounting records shall be kept on a continuous and consistent basis and entries therein shall be made in a timely manner and be consistent from year to year in accordance with the Companies Acts.</w:t>
      </w:r>
    </w:p>
    <w:p>
      <w:pPr>
        <w:spacing w:after="0" w:line="150" w:lineRule="exact"/>
        <w:rPr>
          <w:sz w:val="20"/>
          <w:szCs w:val="20"/>
          <w:color w:val="auto"/>
        </w:rPr>
      </w:pPr>
    </w:p>
    <w:p>
      <w:pPr>
        <w:jc w:val="both"/>
        <w:ind w:left="908" w:hanging="908"/>
        <w:spacing w:after="0" w:line="260" w:lineRule="auto"/>
        <w:tabs>
          <w:tab w:leader="none" w:pos="90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 The Company may send a summary financial statement to its Members or persons nominated by any Member and the Company may meet, but shall be under no obligation to meet, any request from any of its Members to be sent additional copies of the documents required to be sent to Members by the Companies Acts or any summary financial statement or other communications with its Members.</w:t>
      </w:r>
    </w:p>
    <w:p>
      <w:pPr>
        <w:spacing w:after="0" w:line="122"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accounting records shall be kept at the registered office of the Company or, subject to the provisions of the Companies Acts, at such other place as the Directors think fit and shall be open at all reasonable times to the inspection of the Directors.</w:t>
      </w:r>
    </w:p>
    <w:p>
      <w:pPr>
        <w:spacing w:after="0" w:line="111" w:lineRule="exact"/>
        <w:rPr>
          <w:rFonts w:ascii="Times New Roman" w:cs="Times New Roman" w:eastAsia="Times New Roman" w:hAnsi="Times New Roman"/>
          <w:sz w:val="12"/>
          <w:szCs w:val="12"/>
          <w:color w:val="auto"/>
        </w:rPr>
      </w:pPr>
    </w:p>
    <w:p>
      <w:pPr>
        <w:ind w:left="908" w:hanging="908"/>
        <w:spacing w:after="0" w:line="279" w:lineRule="auto"/>
        <w:tabs>
          <w:tab w:leader="none" w:pos="90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Accounting records shall not be deemed to be kept as required by Articles 168 to 170, if there are not kept such accounting records as are necessary to give a true and fair view of the state of the Company’s affairs and to explain its transactions.</w:t>
      </w:r>
    </w:p>
    <w:p>
      <w:pPr>
        <w:spacing w:after="0" w:line="111" w:lineRule="exact"/>
        <w:rPr>
          <w:rFonts w:ascii="Times New Roman" w:cs="Times New Roman" w:eastAsia="Times New Roman" w:hAnsi="Times New Roman"/>
          <w:sz w:val="12"/>
          <w:szCs w:val="12"/>
          <w:color w:val="auto"/>
        </w:rPr>
      </w:pPr>
    </w:p>
    <w:p>
      <w:pPr>
        <w:ind w:left="908" w:right="20" w:hanging="908"/>
        <w:spacing w:after="0" w:line="279" w:lineRule="auto"/>
        <w:tabs>
          <w:tab w:leader="none" w:pos="90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the provisions of the Companies Acts, the Board may from time to time cause to be prepared and to be laid before the Company in general meeting profit and loss accounts, balance sheets, group accounts (if any) and such other reports and accounts as may be required by law.</w:t>
      </w:r>
    </w:p>
    <w:p>
      <w:pPr>
        <w:spacing w:after="0" w:line="399" w:lineRule="exact"/>
        <w:rPr>
          <w:sz w:val="20"/>
          <w:szCs w:val="20"/>
          <w:color w:val="auto"/>
        </w:rPr>
      </w:pPr>
    </w:p>
    <w:p>
      <w:pPr>
        <w:ind w:left="448"/>
        <w:spacing w:after="0"/>
        <w:tabs>
          <w:tab w:leader="none" w:pos="1328" w:val="left"/>
        </w:tabs>
        <w:rPr>
          <w:sz w:val="20"/>
          <w:szCs w:val="20"/>
          <w:color w:val="auto"/>
        </w:rPr>
      </w:pPr>
      <w:r>
        <w:rPr>
          <w:rFonts w:ascii="Times New Roman" w:cs="Times New Roman" w:eastAsia="Times New Roman" w:hAnsi="Times New Roman"/>
          <w:sz w:val="12"/>
          <w:szCs w:val="12"/>
          <w:color w:val="auto"/>
        </w:rPr>
        <w:t>173.1</w:t>
      </w:r>
      <w:r>
        <w:rPr>
          <w:sz w:val="20"/>
          <w:szCs w:val="20"/>
          <w:color w:val="auto"/>
        </w:rPr>
        <w:tab/>
      </w:r>
      <w:r>
        <w:rPr>
          <w:rFonts w:ascii="Times New Roman" w:cs="Times New Roman" w:eastAsia="Times New Roman" w:hAnsi="Times New Roman"/>
          <w:sz w:val="12"/>
          <w:szCs w:val="12"/>
          <w:color w:val="auto"/>
        </w:rPr>
        <w:t>The Company may send by post, electronic mail or any other means of electronic communication:</w:t>
      </w:r>
    </w:p>
    <w:p>
      <w:pPr>
        <w:spacing w:after="0" w:line="150" w:lineRule="exact"/>
        <w:rPr>
          <w:sz w:val="20"/>
          <w:szCs w:val="20"/>
          <w:color w:val="auto"/>
        </w:rPr>
      </w:pPr>
    </w:p>
    <w:p>
      <w:pPr>
        <w:ind w:left="2248" w:hanging="898"/>
        <w:spacing w:after="0"/>
        <w:tabs>
          <w:tab w:leader="none" w:pos="2248"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statutory financial statements,</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directors’ report,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180975</wp:posOffset>
            </wp:positionV>
            <wp:extent cx="72148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408" w:right="299" w:bottom="1440" w:gutter="0" w:footer="0" w:header="0"/>
        </w:sectPr>
      </w:pPr>
    </w:p>
    <w:bookmarkStart w:id="81" w:name="page82"/>
    <w:bookmarkEnd w:id="81"/>
    <w:p>
      <w:pPr>
        <w:ind w:left="2248" w:hanging="898"/>
        <w:spacing w:after="0"/>
        <w:tabs>
          <w:tab w:leader="none" w:pos="2248"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statutory auditors’ report and copies of those documents shall also be treated for the purposes of the Companies Acts, as sent to a person where:</w:t>
      </w:r>
    </w:p>
    <w:p>
      <w:pPr>
        <w:spacing w:after="0" w:line="150" w:lineRule="exact"/>
        <w:rPr>
          <w:rFonts w:ascii="Times New Roman" w:cs="Times New Roman" w:eastAsia="Times New Roman" w:hAnsi="Times New Roman"/>
          <w:sz w:val="12"/>
          <w:szCs w:val="12"/>
          <w:color w:val="auto"/>
        </w:rPr>
      </w:pPr>
    </w:p>
    <w:p>
      <w:pPr>
        <w:ind w:left="2928" w:hanging="903"/>
        <w:spacing w:after="0"/>
        <w:tabs>
          <w:tab w:leader="none" w:pos="292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that person have agreed to his or her having access to the documents on a website (instead of their being sent to him or her);</w:t>
      </w:r>
    </w:p>
    <w:p>
      <w:pPr>
        <w:spacing w:after="0" w:line="150" w:lineRule="exact"/>
        <w:rPr>
          <w:rFonts w:ascii="Times New Roman" w:cs="Times New Roman" w:eastAsia="Times New Roman" w:hAnsi="Times New Roman"/>
          <w:sz w:val="12"/>
          <w:szCs w:val="12"/>
          <w:color w:val="auto"/>
        </w:rPr>
      </w:pPr>
    </w:p>
    <w:p>
      <w:pPr>
        <w:ind w:left="2928" w:hanging="903"/>
        <w:spacing w:after="0"/>
        <w:tabs>
          <w:tab w:leader="none" w:pos="292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documents are documents to which that agreement applies; and</w:t>
      </w:r>
    </w:p>
    <w:p>
      <w:pPr>
        <w:spacing w:after="0" w:line="150" w:lineRule="exact"/>
        <w:rPr>
          <w:rFonts w:ascii="Times New Roman" w:cs="Times New Roman" w:eastAsia="Times New Roman" w:hAnsi="Times New Roman"/>
          <w:sz w:val="12"/>
          <w:szCs w:val="12"/>
          <w:color w:val="auto"/>
        </w:rPr>
      </w:pPr>
    </w:p>
    <w:p>
      <w:pPr>
        <w:ind w:left="2928" w:hanging="903"/>
        <w:spacing w:after="0"/>
        <w:tabs>
          <w:tab w:leader="none" w:pos="292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person is notified, in a manner for the time being agreed for the purpose between that person and the company, of —</w:t>
      </w:r>
    </w:p>
    <w:p>
      <w:pPr>
        <w:spacing w:after="0" w:line="150" w:lineRule="exact"/>
        <w:rPr>
          <w:rFonts w:ascii="Times New Roman" w:cs="Times New Roman" w:eastAsia="Times New Roman" w:hAnsi="Times New Roman"/>
          <w:sz w:val="12"/>
          <w:szCs w:val="12"/>
          <w:color w:val="auto"/>
        </w:rPr>
      </w:pPr>
    </w:p>
    <w:p>
      <w:pPr>
        <w:ind w:left="3828" w:hanging="903"/>
        <w:spacing w:after="0"/>
        <w:tabs>
          <w:tab w:leader="none" w:pos="3828" w:val="left"/>
        </w:tabs>
        <w:numPr>
          <w:ilvl w:val="2"/>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publication of the documents on a website,</w:t>
      </w:r>
    </w:p>
    <w:p>
      <w:pPr>
        <w:spacing w:after="0" w:line="150" w:lineRule="exact"/>
        <w:rPr>
          <w:rFonts w:ascii="Times New Roman" w:cs="Times New Roman" w:eastAsia="Times New Roman" w:hAnsi="Times New Roman"/>
          <w:sz w:val="12"/>
          <w:szCs w:val="12"/>
          <w:color w:val="auto"/>
        </w:rPr>
      </w:pPr>
    </w:p>
    <w:p>
      <w:pPr>
        <w:ind w:left="3828" w:hanging="903"/>
        <w:spacing w:after="0"/>
        <w:tabs>
          <w:tab w:leader="none" w:pos="3828" w:val="left"/>
        </w:tabs>
        <w:numPr>
          <w:ilvl w:val="2"/>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address of that website, and</w:t>
      </w:r>
    </w:p>
    <w:p>
      <w:pPr>
        <w:spacing w:after="0" w:line="150" w:lineRule="exact"/>
        <w:rPr>
          <w:rFonts w:ascii="Times New Roman" w:cs="Times New Roman" w:eastAsia="Times New Roman" w:hAnsi="Times New Roman"/>
          <w:sz w:val="12"/>
          <w:szCs w:val="12"/>
          <w:color w:val="auto"/>
        </w:rPr>
      </w:pPr>
    </w:p>
    <w:p>
      <w:pPr>
        <w:ind w:left="3828" w:hanging="903"/>
        <w:spacing w:after="0"/>
        <w:tabs>
          <w:tab w:leader="none" w:pos="3828" w:val="left"/>
        </w:tabs>
        <w:numPr>
          <w:ilvl w:val="2"/>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 on that website where the documents may be accessed and how they may be accessed.</w:t>
      </w:r>
    </w:p>
    <w:p>
      <w:pPr>
        <w:spacing w:after="0" w:line="150" w:lineRule="exact"/>
        <w:rPr>
          <w:sz w:val="20"/>
          <w:szCs w:val="20"/>
          <w:color w:val="auto"/>
        </w:rPr>
      </w:pPr>
    </w:p>
    <w:p>
      <w:pPr>
        <w:ind w:left="448"/>
        <w:spacing w:after="0"/>
        <w:tabs>
          <w:tab w:leader="none" w:pos="1328" w:val="left"/>
        </w:tabs>
        <w:rPr>
          <w:sz w:val="20"/>
          <w:szCs w:val="20"/>
          <w:color w:val="auto"/>
        </w:rPr>
      </w:pPr>
      <w:r>
        <w:rPr>
          <w:rFonts w:ascii="Times New Roman" w:cs="Times New Roman" w:eastAsia="Times New Roman" w:hAnsi="Times New Roman"/>
          <w:sz w:val="12"/>
          <w:szCs w:val="12"/>
          <w:color w:val="auto"/>
        </w:rPr>
        <w:t>173.2</w:t>
      </w:r>
      <w:r>
        <w:rPr>
          <w:sz w:val="20"/>
          <w:szCs w:val="20"/>
          <w:color w:val="auto"/>
        </w:rPr>
        <w:tab/>
      </w:r>
      <w:r>
        <w:rPr>
          <w:rFonts w:ascii="Times New Roman" w:cs="Times New Roman" w:eastAsia="Times New Roman" w:hAnsi="Times New Roman"/>
          <w:sz w:val="12"/>
          <w:szCs w:val="12"/>
          <w:color w:val="auto"/>
        </w:rPr>
        <w:t>The documents listed at 173.1 (a) to (c) shall be treated as sent to a person not less than 21 days before the date of a meeting if, and only if —</w:t>
      </w:r>
    </w:p>
    <w:p>
      <w:pPr>
        <w:spacing w:after="0" w:line="150" w:lineRule="exact"/>
        <w:rPr>
          <w:sz w:val="20"/>
          <w:szCs w:val="20"/>
          <w:color w:val="auto"/>
        </w:rPr>
      </w:pPr>
    </w:p>
    <w:p>
      <w:pPr>
        <w:ind w:left="2248" w:hanging="898"/>
        <w:spacing w:after="0"/>
        <w:tabs>
          <w:tab w:leader="none" w:pos="224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documents are published on the website throughout a period beginning at least 21 days before the date of the meeting and ending with the conclusion of the meeting; and</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notification given for the purposes of paragraph (c) is given not less than 21 days before the date of the meeting.</w:t>
      </w:r>
    </w:p>
    <w:p>
      <w:pPr>
        <w:spacing w:after="0" w:line="150" w:lineRule="exact"/>
        <w:rPr>
          <w:sz w:val="20"/>
          <w:szCs w:val="20"/>
          <w:color w:val="auto"/>
        </w:rPr>
      </w:pPr>
    </w:p>
    <w:p>
      <w:pPr>
        <w:ind w:left="448"/>
        <w:spacing w:after="0"/>
        <w:tabs>
          <w:tab w:leader="none" w:pos="1328" w:val="left"/>
        </w:tabs>
        <w:rPr>
          <w:sz w:val="20"/>
          <w:szCs w:val="20"/>
          <w:color w:val="auto"/>
        </w:rPr>
      </w:pPr>
      <w:r>
        <w:rPr>
          <w:rFonts w:ascii="Times New Roman" w:cs="Times New Roman" w:eastAsia="Times New Roman" w:hAnsi="Times New Roman"/>
          <w:sz w:val="12"/>
          <w:szCs w:val="12"/>
          <w:color w:val="auto"/>
        </w:rPr>
        <w:t>173.3</w:t>
      </w:r>
      <w:r>
        <w:rPr>
          <w:sz w:val="20"/>
          <w:szCs w:val="20"/>
          <w:color w:val="auto"/>
        </w:rPr>
        <w:tab/>
      </w:r>
      <w:r>
        <w:rPr>
          <w:rFonts w:ascii="Times New Roman" w:cs="Times New Roman" w:eastAsia="Times New Roman" w:hAnsi="Times New Roman"/>
          <w:sz w:val="12"/>
          <w:szCs w:val="12"/>
          <w:color w:val="auto"/>
        </w:rPr>
        <w:t>Nothing shall invalidate the proceedings of a meeting where—</w:t>
      </w:r>
    </w:p>
    <w:p>
      <w:pPr>
        <w:spacing w:after="0" w:line="150" w:lineRule="exact"/>
        <w:rPr>
          <w:sz w:val="20"/>
          <w:szCs w:val="20"/>
          <w:color w:val="auto"/>
        </w:rPr>
      </w:pPr>
    </w:p>
    <w:p>
      <w:pPr>
        <w:ind w:left="2248" w:hanging="898"/>
        <w:spacing w:after="0"/>
        <w:tabs>
          <w:tab w:leader="none" w:pos="2248"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documents that are required to be published are published for a part, but not all, of the 21 day period mentioned above; and</w:t>
      </w:r>
    </w:p>
    <w:p>
      <w:pPr>
        <w:spacing w:after="0" w:line="150"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publish those documents throughout that period is wholly attributable to circumstances which it would not be reasonable to have expected the company to prevent or avoid.</w:t>
      </w:r>
    </w:p>
    <w:p>
      <w:pPr>
        <w:spacing w:after="0" w:line="150" w:lineRule="exact"/>
        <w:rPr>
          <w:sz w:val="20"/>
          <w:szCs w:val="20"/>
          <w:color w:val="auto"/>
        </w:rPr>
      </w:pPr>
    </w:p>
    <w:tbl>
      <w:tblPr>
        <w:tblLayout w:type="fixed"/>
        <w:tblInd w:w="908" w:type="dxa"/>
        <w:tblCellMar>
          <w:top w:w="0" w:type="dxa"/>
          <w:left w:w="0" w:type="dxa"/>
          <w:bottom w:w="0" w:type="dxa"/>
          <w:right w:w="0" w:type="dxa"/>
        </w:tblCellMar>
      </w:tblPr>
      <w:tr>
        <w:trPr>
          <w:trHeight w:val="144"/>
        </w:trPr>
        <w:tc>
          <w:tcPr>
            <w:tcW w:w="5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88"/>
              </w:rPr>
              <w:t>173.4</w:t>
            </w: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Where copies of documents are sent out pursuant to this Article 173 over a period of days, references elsewhere in the Companies Act to the day on which those copies are sent out shall be read as</w:t>
            </w:r>
          </w:p>
        </w:tc>
      </w:tr>
      <w:tr>
        <w:trPr>
          <w:trHeight w:val="155"/>
        </w:trPr>
        <w:tc>
          <w:tcPr>
            <w:tcW w:w="580" w:type="dxa"/>
            <w:vAlign w:val="bottom"/>
          </w:tcPr>
          <w:p>
            <w:pPr>
              <w:spacing w:after="0"/>
              <w:rPr>
                <w:sz w:val="13"/>
                <w:szCs w:val="13"/>
                <w:color w:val="auto"/>
              </w:rPr>
            </w:pPr>
          </w:p>
        </w:tc>
        <w:tc>
          <w:tcPr>
            <w:tcW w:w="98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references to the last day of that period.</w:t>
            </w:r>
          </w:p>
        </w:tc>
      </w:tr>
    </w:tbl>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AUDIT</w:t>
      </w:r>
    </w:p>
    <w:p>
      <w:pPr>
        <w:spacing w:after="0" w:line="154" w:lineRule="exact"/>
        <w:rPr>
          <w:sz w:val="20"/>
          <w:szCs w:val="20"/>
          <w:color w:val="auto"/>
        </w:rPr>
      </w:pPr>
    </w:p>
    <w:p>
      <w:pPr>
        <w:ind w:left="908" w:hanging="908"/>
        <w:spacing w:after="0" w:line="279" w:lineRule="auto"/>
        <w:tabs>
          <w:tab w:leader="none" w:pos="908"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Statutory auditors shall be appointed and their duties regulated in accordance with the Companies Acts or any statutory amendment thereof, any other applicable law and such requirements not inconsistent with the Companies Acts as the Board may from time to time determine.</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183515</wp:posOffset>
            </wp:positionV>
            <wp:extent cx="721487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552" w:right="299" w:bottom="1440" w:gutter="0" w:footer="0" w:header="0"/>
        </w:sectPr>
      </w:pPr>
    </w:p>
    <w:bookmarkStart w:id="82" w:name="page83"/>
    <w:bookmarkEnd w:id="82"/>
    <w:p>
      <w:pPr>
        <w:ind w:left="908" w:hanging="908"/>
        <w:spacing w:after="0"/>
        <w:tabs>
          <w:tab w:leader="none" w:pos="908"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to be given, served, sent or delivered pursuant to these Articles shall be in writing (whether in electronic form or otherwise).</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175.1</w:t>
            </w: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 notice or document to be given, served, sent or delivered in pursuance of these Articles may be given to, served on or delivered to any Member by the Company:</w:t>
            </w:r>
          </w:p>
        </w:tc>
      </w:tr>
      <w:tr>
        <w:trPr>
          <w:trHeight w:val="288"/>
        </w:trPr>
        <w:tc>
          <w:tcPr>
            <w:tcW w:w="10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w:t>
            </w:r>
          </w:p>
        </w:tc>
        <w:tc>
          <w:tcPr>
            <w:tcW w:w="94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by handing same to her authorised agent;</w:t>
            </w:r>
          </w:p>
        </w:tc>
      </w:tr>
      <w:tr>
        <w:trPr>
          <w:trHeight w:val="288"/>
        </w:trPr>
        <w:tc>
          <w:tcPr>
            <w:tcW w:w="10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(b)</w:t>
            </w:r>
          </w:p>
        </w:tc>
        <w:tc>
          <w:tcPr>
            <w:tcW w:w="94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by leaving the same at her registered address;</w:t>
            </w:r>
          </w:p>
        </w:tc>
      </w:tr>
      <w:tr>
        <w:trPr>
          <w:trHeight w:val="288"/>
        </w:trPr>
        <w:tc>
          <w:tcPr>
            <w:tcW w:w="10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w:t>
            </w:r>
          </w:p>
        </w:tc>
        <w:tc>
          <w:tcPr>
            <w:tcW w:w="94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by sending the same by the post in a pre-paid cover addressed to her at her registered address; or</w:t>
            </w:r>
          </w:p>
        </w:tc>
      </w:tr>
      <w:tr>
        <w:trPr>
          <w:trHeight w:val="277"/>
        </w:trPr>
        <w:tc>
          <w:tcPr>
            <w:tcW w:w="102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(d)</w:t>
            </w:r>
          </w:p>
        </w:tc>
        <w:tc>
          <w:tcPr>
            <w:tcW w:w="94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by sending, with the consent of the Member to the extent required by law, the same by means of electronic mail or other means of electronic communication approved by the Directors, to</w:t>
            </w:r>
          </w:p>
        </w:tc>
      </w:tr>
      <w:tr>
        <w:trPr>
          <w:trHeight w:val="155"/>
        </w:trPr>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6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the Address of the Member notified to the Company by the Member for such purpose (or if not so notified, then to the Address of the Member last known to the Company).</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175.2</w:t>
            </w: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For the purposes of these Articles and the Companies Acts, a document shall be deemed to have been sent to a Member if a notice is given, served, sent or delivered to the Member and the notice specifies the</w:t>
            </w:r>
          </w:p>
        </w:tc>
      </w:tr>
      <w:tr>
        <w:trPr>
          <w:trHeight w:val="155"/>
        </w:trPr>
        <w:tc>
          <w:tcPr>
            <w:tcW w:w="1020" w:type="dxa"/>
            <w:vAlign w:val="bottom"/>
          </w:tcPr>
          <w:p>
            <w:pPr>
              <w:spacing w:after="0"/>
              <w:rPr>
                <w:sz w:val="13"/>
                <w:szCs w:val="13"/>
                <w:color w:val="auto"/>
              </w:rPr>
            </w:pP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website or hotlink or other electronic link at or through which the Member may obtain a copy of the relevant document.</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175.3</w:t>
            </w: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Where a notice or document is given, served or delivered pursuant to sub-paragraph 175.1(a) or 175.1(b) of this Article, the giving, service or delivery thereof shall be deemed to have been effected at the</w:t>
            </w:r>
          </w:p>
        </w:tc>
      </w:tr>
      <w:tr>
        <w:trPr>
          <w:trHeight w:val="155"/>
        </w:trPr>
        <w:tc>
          <w:tcPr>
            <w:tcW w:w="1020" w:type="dxa"/>
            <w:vAlign w:val="bottom"/>
          </w:tcPr>
          <w:p>
            <w:pPr>
              <w:spacing w:after="0"/>
              <w:rPr>
                <w:sz w:val="13"/>
                <w:szCs w:val="13"/>
                <w:color w:val="auto"/>
              </w:rPr>
            </w:pP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time the same was handed to the Member or her authorised agent, or left at her registered address (as the case may be).</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175.4</w:t>
            </w: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Where a notice or document is given, served or delivered pursuant to sub-paragraph 175.1(c) of this Article, the giving, service or delivery thereof shall be deemed to have been effected at the expiration of</w:t>
            </w:r>
          </w:p>
        </w:tc>
      </w:tr>
      <w:tr>
        <w:trPr>
          <w:trHeight w:val="155"/>
        </w:trPr>
        <w:tc>
          <w:tcPr>
            <w:tcW w:w="1020" w:type="dxa"/>
            <w:vAlign w:val="bottom"/>
          </w:tcPr>
          <w:p>
            <w:pPr>
              <w:spacing w:after="0"/>
              <w:rPr>
                <w:sz w:val="13"/>
                <w:szCs w:val="13"/>
                <w:color w:val="auto"/>
              </w:rPr>
            </w:pP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twenty-four (24) hours after the cover containing it was posted. In proving service or delivery it shall be sufficient to prove that such cover was properly addressed, stamped and posted.</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175.5</w:t>
            </w: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Where a notice or document is given, served or delivered pursuant to sub-paragraph 175.1(d) of this Article, the giving, service or delivery thereof shall be deemed to have been effected at the expiration of</w:t>
            </w:r>
          </w:p>
        </w:tc>
      </w:tr>
      <w:tr>
        <w:trPr>
          <w:trHeight w:val="155"/>
        </w:trPr>
        <w:tc>
          <w:tcPr>
            <w:tcW w:w="1020" w:type="dxa"/>
            <w:vAlign w:val="bottom"/>
          </w:tcPr>
          <w:p>
            <w:pPr>
              <w:spacing w:after="0"/>
              <w:rPr>
                <w:sz w:val="13"/>
                <w:szCs w:val="13"/>
                <w:color w:val="auto"/>
              </w:rPr>
            </w:pP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forty-eight (48) hours after despatch.</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175.6</w:t>
            </w: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Every legal personal representative, committee, receiver, curator bonis or other legal curator, assignee in bankruptcy, examiner or liquidator of a Member shall be bound by a notice given as aforesaid if sent</w:t>
            </w:r>
          </w:p>
        </w:tc>
      </w:tr>
      <w:tr>
        <w:trPr>
          <w:trHeight w:val="144"/>
        </w:trPr>
        <w:tc>
          <w:tcPr>
            <w:tcW w:w="1020" w:type="dxa"/>
            <w:vAlign w:val="bottom"/>
          </w:tcPr>
          <w:p>
            <w:pPr>
              <w:spacing w:after="0"/>
              <w:rPr>
                <w:sz w:val="12"/>
                <w:szCs w:val="12"/>
                <w:color w:val="auto"/>
              </w:rPr>
            </w:pP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to the last registered address of such Member, or, in the event of notice given or delivered pursuant to sub-paragraph 175.1(d) of this Article, if sent to the address notified by the Company by the Member for</w:t>
            </w:r>
          </w:p>
        </w:tc>
      </w:tr>
      <w:tr>
        <w:trPr>
          <w:trHeight w:val="155"/>
        </w:trPr>
        <w:tc>
          <w:tcPr>
            <w:tcW w:w="1020" w:type="dxa"/>
            <w:vAlign w:val="bottom"/>
          </w:tcPr>
          <w:p>
            <w:pPr>
              <w:spacing w:after="0"/>
              <w:rPr>
                <w:sz w:val="13"/>
                <w:szCs w:val="13"/>
                <w:color w:val="auto"/>
              </w:rPr>
            </w:pP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such purpose notwithstanding that the Company may have notice of the death, lunacy, bankruptcy, liquidation or disability of such Member.</w:t>
            </w:r>
          </w:p>
        </w:tc>
      </w:tr>
      <w:tr>
        <w:trPr>
          <w:trHeight w:val="277"/>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175.7</w:t>
            </w: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Notwithstanding anything contained in this Article, the Company shall not be obliged to take account of or make any investigations as to the existence of any suspension or curtailment of postal services</w:t>
            </w:r>
          </w:p>
        </w:tc>
      </w:tr>
      <w:tr>
        <w:trPr>
          <w:trHeight w:val="155"/>
        </w:trPr>
        <w:tc>
          <w:tcPr>
            <w:tcW w:w="1020" w:type="dxa"/>
            <w:vAlign w:val="bottom"/>
          </w:tcPr>
          <w:p>
            <w:pPr>
              <w:spacing w:after="0"/>
              <w:rPr>
                <w:sz w:val="13"/>
                <w:szCs w:val="13"/>
                <w:color w:val="auto"/>
              </w:rPr>
            </w:pPr>
          </w:p>
        </w:tc>
        <w:tc>
          <w:tcPr>
            <w:tcW w:w="103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within or in relation to all or any part of any jurisdiction.</w:t>
            </w:r>
          </w:p>
        </w:tc>
      </w:tr>
      <w:tr>
        <w:trPr>
          <w:trHeight w:val="288"/>
        </w:trPr>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-23495</wp:posOffset>
            </wp:positionV>
            <wp:extent cx="311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8"/>
          </w:cols>
          <w:pgMar w:left="292" w:top="408" w:right="279" w:bottom="1440" w:gutter="0" w:footer="0" w:header="0"/>
        </w:sectPr>
      </w:pPr>
    </w:p>
    <w:bookmarkStart w:id="83" w:name="page84"/>
    <w:bookmarkEnd w:id="83"/>
    <w:tbl>
      <w:tblPr>
        <w:tblLayout w:type="fixed"/>
        <w:tblInd w:w="448" w:type="dxa"/>
        <w:tblCellMar>
          <w:top w:w="0" w:type="dxa"/>
          <w:left w:w="0" w:type="dxa"/>
          <w:bottom w:w="0" w:type="dxa"/>
          <w:right w:w="0" w:type="dxa"/>
        </w:tblCellMar>
      </w:tblPr>
      <w:tr>
        <w:trPr>
          <w:trHeight w:val="144"/>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175.8</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Any requirement in these Articles for the consent of a Member in regard to the receipt by such Member of electronic mail or other means of electronic communications approved by the Directors, including</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receipt of the Company’s audited accounts and the Directors’ and statutory auditor’s reports thereon, shall be deemed to have been satisfied where the Company has written to the Member informing</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her/him of its intention to use electronic communications for such purposes and the Member has not, within four (4) weeks of the issue of such notice, served an objection in writing on the Company to such</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proposal. Where a Member has given, or is deemed to have given, her/his consent to the receipt by such Member of electronic mail or other means of electronic communications approved by the Directors,</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she may revoke such consent at any time by requesting the Company to communicate with her in documented form; provided, however, that such revocation shall not take effect until five (5) days after</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written notice of the revocation is received by the Company.</w:t>
            </w:r>
          </w:p>
        </w:tc>
      </w:tr>
      <w:tr>
        <w:trPr>
          <w:trHeight w:val="277"/>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175.9</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Without prejudice to the provisions of sub-paragraphs 175.1(a) and 175.1(b) of this Article, if at any time by reason of the suspension or curtailment of postal services in any territory, the Company is unable</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9"/>
              </w:rPr>
              <w:t>effectively to convene a general meeting by notices sent through the post, a general meeting may be convened by a public announcement (as defined below) and such notice shall be deemed to have been duly</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served on all Members entitled thereto at noon (New York time) on the day on which the said public announcement is made. In any such case the Company shall put a full copy of the notice of the general</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meeting on its website. A “public announcement” shall mean disclosure in a press release reported by a financial news service or in a document publicly filed by the Company with the U.S. Securities and</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Exchange Commission pursuant to section 13, 14 or 15(d) of the Exchange Act and the rules and regulations promulgated thereunder.</w:t>
            </w:r>
          </w:p>
        </w:tc>
      </w:tr>
    </w:tbl>
    <w:p>
      <w:pPr>
        <w:spacing w:after="0" w:line="133" w:lineRule="exact"/>
        <w:rPr>
          <w:sz w:val="20"/>
          <w:szCs w:val="20"/>
          <w:color w:val="auto"/>
        </w:rPr>
      </w:pPr>
    </w:p>
    <w:p>
      <w:pPr>
        <w:ind w:left="908" w:hanging="908"/>
        <w:spacing w:after="0" w:line="279" w:lineRule="auto"/>
        <w:tabs>
          <w:tab w:leader="none" w:pos="908"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Notice may be given by the Company to the joint Members of a Share by giving the notice to the joint Member whose name stands first in the Register in respect of the Share and notice so given shall be sufficient notice to all the joint Members.</w:t>
      </w:r>
    </w:p>
    <w:p>
      <w:pPr>
        <w:spacing w:after="0" w:line="399" w:lineRule="exact"/>
        <w:rPr>
          <w:sz w:val="20"/>
          <w:szCs w:val="20"/>
          <w:color w:val="auto"/>
        </w:rPr>
      </w:pPr>
    </w:p>
    <w:tbl>
      <w:tblPr>
        <w:tblLayout w:type="fixed"/>
        <w:tblInd w:w="448" w:type="dxa"/>
        <w:tblCellMar>
          <w:top w:w="0" w:type="dxa"/>
          <w:left w:w="0" w:type="dxa"/>
          <w:bottom w:w="0" w:type="dxa"/>
          <w:right w:w="0" w:type="dxa"/>
        </w:tblCellMar>
      </w:tblPr>
      <w:tr>
        <w:trPr>
          <w:trHeight w:val="144"/>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177.1</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Every person who becomes entitled to a Share shall before her name is entered in the Register in respect of the Share, be bound by any notice in respect of that Share which has been duly given to a person</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from whom she derives her title.</w:t>
            </w:r>
          </w:p>
        </w:tc>
      </w:tr>
      <w:tr>
        <w:trPr>
          <w:trHeight w:val="277"/>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177.2</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 notice may be given by the Company to the persons entitled to a Share in consequence of the death or bankruptcy of a Member by sending or delivering it, in any manner authorised by these Articles for</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giving of notice to a Member, addressed to them at the Address, if any, supplied by them for that purpose. Until such an Address has been supplied, a notice may be given in any manner in which it might</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have been given if the death or bankruptcy had not occurred.</w:t>
            </w:r>
          </w:p>
        </w:tc>
      </w:tr>
    </w:tbl>
    <w:p>
      <w:pPr>
        <w:spacing w:after="0" w:line="133" w:lineRule="exact"/>
        <w:rPr>
          <w:sz w:val="20"/>
          <w:szCs w:val="20"/>
          <w:color w:val="auto"/>
        </w:rPr>
      </w:pPr>
    </w:p>
    <w:p>
      <w:pPr>
        <w:ind w:left="908" w:hanging="908"/>
        <w:spacing w:after="0" w:line="279" w:lineRule="auto"/>
        <w:tabs>
          <w:tab w:leader="none" w:pos="908"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10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UNTRACED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183515</wp:posOffset>
            </wp:positionV>
            <wp:extent cx="721487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84" w:name="page85"/>
    <w:bookmarkEnd w:id="84"/>
    <w:tbl>
      <w:tblPr>
        <w:tblLayout w:type="fixed"/>
        <w:tblInd w:w="448" w:type="dxa"/>
        <w:tblCellMar>
          <w:top w:w="0" w:type="dxa"/>
          <w:left w:w="0" w:type="dxa"/>
          <w:bottom w:w="0" w:type="dxa"/>
          <w:right w:w="0" w:type="dxa"/>
        </w:tblCellMar>
      </w:tblPr>
      <w:tr>
        <w:trPr>
          <w:trHeight w:val="155"/>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179.1</w:t>
            </w:r>
          </w:p>
        </w:tc>
        <w:tc>
          <w:tcPr>
            <w:tcW w:w="102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The Company shall be entitled to sell at the best price reasonably obtainable any Share or stock of a Member or any Share or stock to which a person is entitled by transmission if and provided that:</w:t>
            </w:r>
          </w:p>
        </w:tc>
      </w:tr>
      <w:tr>
        <w:trPr>
          <w:trHeight w:val="277"/>
        </w:trPr>
        <w:tc>
          <w:tcPr>
            <w:tcW w:w="58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for a period of twelve (12) years (not less than three (3) dividends having been declared and paid) no cheque or warrant sent by the Company through the post in a prepaid letter addressed</w:t>
            </w:r>
          </w:p>
        </w:tc>
      </w:tr>
      <w:tr>
        <w:trPr>
          <w:trHeight w:val="144"/>
        </w:trPr>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to the Member or to the person entitled by transmission to the Share or stock at her Address on the Register or other last known Address given by the Member or the person entitled by</w:t>
            </w:r>
          </w:p>
        </w:tc>
      </w:tr>
      <w:tr>
        <w:trPr>
          <w:trHeight w:val="144"/>
        </w:trPr>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transmission to which cheques and warrants are to be sent has been cashed and no communication has been received by the Company from the Member or the person entitled by</w:t>
            </w:r>
          </w:p>
        </w:tc>
      </w:tr>
      <w:tr>
        <w:trPr>
          <w:trHeight w:val="155"/>
        </w:trPr>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transmission; and</w:t>
            </w:r>
          </w:p>
        </w:tc>
      </w:tr>
      <w:tr>
        <w:trPr>
          <w:trHeight w:val="277"/>
        </w:trPr>
        <w:tc>
          <w:tcPr>
            <w:tcW w:w="58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(b)</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at the expiration of the said period of twelve (12) years the Company has given notice by advertisement in a leading Dublin newspaper and a newspaper circulating in the area in which the</w:t>
            </w:r>
          </w:p>
        </w:tc>
      </w:tr>
      <w:tr>
        <w:trPr>
          <w:trHeight w:val="155"/>
        </w:trPr>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Address referred to in paragraph (a) of this Article is located of its intention to sell such Share or stock; and</w:t>
            </w:r>
          </w:p>
        </w:tc>
      </w:tr>
      <w:tr>
        <w:trPr>
          <w:trHeight w:val="277"/>
        </w:trPr>
        <w:tc>
          <w:tcPr>
            <w:tcW w:w="580" w:type="dxa"/>
            <w:vAlign w:val="bottom"/>
          </w:tcPr>
          <w:p>
            <w:pPr>
              <w:spacing w:after="0"/>
              <w:rPr>
                <w:sz w:val="24"/>
                <w:szCs w:val="2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w:t>
            </w: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the Company has not during the further period of three (3) months after the date of the advertisement and prior to the exercise of the power of sale received any communication from the</w:t>
            </w:r>
          </w:p>
        </w:tc>
      </w:tr>
      <w:tr>
        <w:trPr>
          <w:trHeight w:val="155"/>
        </w:trPr>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Member or person entitled by transmission.</w:t>
            </w:r>
          </w:p>
        </w:tc>
      </w:tr>
      <w:tr>
        <w:trPr>
          <w:trHeight w:val="277"/>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179.2</w:t>
            </w:r>
          </w:p>
        </w:tc>
        <w:tc>
          <w:tcPr>
            <w:tcW w:w="102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To give effect to any such sale the Company may appoint any person to execute as transferor an instrument of transfer of such Share or stock and such instrument of transfer shall be as effective as if it had</w:t>
            </w:r>
          </w:p>
        </w:tc>
      </w:tr>
      <w:tr>
        <w:trPr>
          <w:trHeight w:val="144"/>
        </w:trPr>
        <w:tc>
          <w:tcPr>
            <w:tcW w:w="580" w:type="dxa"/>
            <w:vAlign w:val="bottom"/>
          </w:tcPr>
          <w:p>
            <w:pPr>
              <w:spacing w:after="0"/>
              <w:rPr>
                <w:sz w:val="12"/>
                <w:szCs w:val="12"/>
                <w:color w:val="auto"/>
              </w:rPr>
            </w:pPr>
          </w:p>
        </w:tc>
        <w:tc>
          <w:tcPr>
            <w:tcW w:w="102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been executed by the Member or person entitled by transmission to such Share or stock. The Company shall account to the Member or other person entitled to such Share or stock for the net proceeds of such</w:t>
            </w:r>
          </w:p>
        </w:tc>
      </w:tr>
      <w:tr>
        <w:trPr>
          <w:trHeight w:val="155"/>
        </w:trPr>
        <w:tc>
          <w:tcPr>
            <w:tcW w:w="580" w:type="dxa"/>
            <w:vAlign w:val="bottom"/>
          </w:tcPr>
          <w:p>
            <w:pPr>
              <w:spacing w:after="0"/>
              <w:rPr>
                <w:sz w:val="13"/>
                <w:szCs w:val="13"/>
                <w:color w:val="auto"/>
              </w:rPr>
            </w:pPr>
          </w:p>
        </w:tc>
        <w:tc>
          <w:tcPr>
            <w:tcW w:w="102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sale by carrying all monies in respect thereof to a separate account which shall be a permanent debt of the Company and the Company shall be deemed to be a debtor and not a trustee in respect thereof for</w:t>
            </w:r>
          </w:p>
        </w:tc>
      </w:tr>
    </w:tbl>
    <w:p>
      <w:pPr>
        <w:ind w:left="1348" w:right="20"/>
        <w:spacing w:after="0" w:line="260" w:lineRule="auto"/>
        <w:rPr>
          <w:sz w:val="20"/>
          <w:szCs w:val="20"/>
          <w:color w:val="auto"/>
        </w:rPr>
      </w:pPr>
      <w:r>
        <w:rPr>
          <w:rFonts w:ascii="Times New Roman" w:cs="Times New Roman" w:eastAsia="Times New Roman" w:hAnsi="Times New Roman"/>
          <w:sz w:val="12"/>
          <w:szCs w:val="12"/>
          <w:color w:val="auto"/>
        </w:rPr>
        <w:t>such Member or other person. Monies carried to such separate account may either be employed in the business of the Company or invested in such investments (other than Shares of the Company or its holding company if any) as the Directors may from time to time think fit.</w:t>
      </w:r>
    </w:p>
    <w:p>
      <w:pPr>
        <w:spacing w:after="0" w:line="4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DESTRUCTION OF DOCUMENTS</w:t>
      </w:r>
    </w:p>
    <w:p>
      <w:pPr>
        <w:spacing w:after="0" w:line="154" w:lineRule="exact"/>
        <w:rPr>
          <w:sz w:val="20"/>
          <w:szCs w:val="20"/>
          <w:color w:val="auto"/>
        </w:rPr>
      </w:pPr>
    </w:p>
    <w:p>
      <w:pPr>
        <w:ind w:left="908" w:hanging="908"/>
        <w:spacing w:after="0"/>
        <w:tabs>
          <w:tab w:leader="none" w:pos="908"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may destroy:</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180.1</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any dividend mandate or any variation or cancellation thereof or any notification of change of name or address, at any time after the expiry of two (2) years from the date such mandate variation, cancellation</w:t>
            </w:r>
          </w:p>
        </w:tc>
      </w:tr>
      <w:tr>
        <w:trPr>
          <w:trHeight w:val="155"/>
        </w:trPr>
        <w:tc>
          <w:tcPr>
            <w:tcW w:w="1020" w:type="dxa"/>
            <w:vAlign w:val="bottom"/>
          </w:tcPr>
          <w:p>
            <w:pPr>
              <w:spacing w:after="0"/>
              <w:rPr>
                <w:sz w:val="13"/>
                <w:szCs w:val="13"/>
                <w:color w:val="auto"/>
              </w:rPr>
            </w:pP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or notification was recorded by the Company;</w:t>
            </w:r>
          </w:p>
        </w:tc>
      </w:tr>
      <w:tr>
        <w:trPr>
          <w:trHeight w:val="288"/>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180.2</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any instrument of transfer of Shares which has been registered, at any time after the expiry of six (6) years from the date of registration; and</w:t>
            </w:r>
          </w:p>
        </w:tc>
      </w:tr>
      <w:tr>
        <w:trPr>
          <w:trHeight w:val="288"/>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180.3</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any other document on the basis of which any entry in the Register was made, at any time after the expiry of six (6) years from the date an entry in the Register was first made in respect of it;</w:t>
            </w:r>
          </w:p>
        </w:tc>
      </w:tr>
      <w:tr>
        <w:trPr>
          <w:trHeight w:val="288"/>
        </w:trPr>
        <w:tc>
          <w:tcPr>
            <w:tcW w:w="10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180.4</w:t>
            </w:r>
          </w:p>
        </w:tc>
        <w:tc>
          <w:tcPr>
            <w:tcW w:w="103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and it shall be presumed conclusively in favour of the Company that every share certificate (if any) so destroyed was a valid certificate duly and properly sealed and that every</w:t>
            </w:r>
          </w:p>
        </w:tc>
      </w:tr>
      <w:tr>
        <w:trPr>
          <w:trHeight w:val="288"/>
        </w:trPr>
        <w:tc>
          <w:tcPr>
            <w:tcW w:w="1020" w:type="dxa"/>
            <w:vAlign w:val="bottom"/>
            <w:tcBorders>
              <w:bottom w:val="single" w:sz="8" w:color="9A9A9A"/>
            </w:tcBorders>
          </w:tcPr>
          <w:p>
            <w:pPr>
              <w:spacing w:after="0"/>
              <w:rPr>
                <w:sz w:val="24"/>
                <w:szCs w:val="24"/>
                <w:color w:val="auto"/>
              </w:rPr>
            </w:pPr>
          </w:p>
        </w:tc>
        <w:tc>
          <w:tcPr>
            <w:tcW w:w="10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7171055</wp:posOffset>
            </wp:positionH>
            <wp:positionV relativeFrom="paragraph">
              <wp:posOffset>-23495</wp:posOffset>
            </wp:positionV>
            <wp:extent cx="311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8"/>
          </w:cols>
          <w:pgMar w:left="292" w:top="696" w:right="279" w:bottom="1440" w:gutter="0" w:footer="0" w:header="0"/>
        </w:sectPr>
      </w:pPr>
    </w:p>
    <w:bookmarkStart w:id="85" w:name="page86"/>
    <w:bookmarkEnd w:id="85"/>
    <w:p>
      <w:pPr>
        <w:ind w:left="1348" w:right="20"/>
        <w:spacing w:after="0" w:line="279" w:lineRule="auto"/>
        <w:rPr>
          <w:sz w:val="20"/>
          <w:szCs w:val="20"/>
          <w:color w:val="auto"/>
        </w:rPr>
      </w:pPr>
      <w:r>
        <w:rPr>
          <w:rFonts w:ascii="Times New Roman" w:cs="Times New Roman" w:eastAsia="Times New Roman" w:hAnsi="Times New Roman"/>
          <w:sz w:val="12"/>
          <w:szCs w:val="12"/>
          <w:color w:val="auto"/>
        </w:rPr>
        <w:t>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11" w:lineRule="exact"/>
        <w:rPr>
          <w:sz w:val="20"/>
          <w:szCs w:val="20"/>
          <w:color w:val="auto"/>
        </w:rPr>
      </w:pPr>
    </w:p>
    <w:p>
      <w:pPr>
        <w:ind w:left="2248" w:hanging="898"/>
        <w:spacing w:after="0" w:line="279" w:lineRule="auto"/>
        <w:tabs>
          <w:tab w:leader="none" w:pos="2248"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foregoing provisions of this Article shall apply only to the destruction of a document in good faith and without express notice to the Company that the preservation of such document was relevant to a claim;</w:t>
      </w:r>
    </w:p>
    <w:p>
      <w:pPr>
        <w:spacing w:after="0" w:line="111" w:lineRule="exact"/>
        <w:rPr>
          <w:rFonts w:ascii="Times New Roman" w:cs="Times New Roman" w:eastAsia="Times New Roman" w:hAnsi="Times New Roman"/>
          <w:sz w:val="12"/>
          <w:szCs w:val="12"/>
          <w:color w:val="auto"/>
        </w:rPr>
      </w:pPr>
    </w:p>
    <w:p>
      <w:pPr>
        <w:ind w:left="2248" w:hanging="898"/>
        <w:spacing w:after="0" w:line="279" w:lineRule="auto"/>
        <w:tabs>
          <w:tab w:leader="none" w:pos="2248"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contained in this Article shall be construed as imposing upon the Company any liability in respect of the destruction of any such document earlier than as aforesaid or in any case where the conditions of proviso (a) above are not fulfilled; and</w:t>
      </w:r>
    </w:p>
    <w:p>
      <w:pPr>
        <w:spacing w:after="0" w:line="111" w:lineRule="exact"/>
        <w:rPr>
          <w:rFonts w:ascii="Times New Roman" w:cs="Times New Roman" w:eastAsia="Times New Roman" w:hAnsi="Times New Roman"/>
          <w:sz w:val="12"/>
          <w:szCs w:val="12"/>
          <w:color w:val="auto"/>
        </w:rPr>
      </w:pPr>
    </w:p>
    <w:p>
      <w:pPr>
        <w:ind w:left="2248" w:hanging="898"/>
        <w:spacing w:after="0"/>
        <w:tabs>
          <w:tab w:leader="none" w:pos="2248"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references in this Article to the destruction of any document include references to its disposal in any manner.</w:t>
      </w:r>
    </w:p>
    <w:p>
      <w:pPr>
        <w:spacing w:after="0" w:line="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WINDING UP</w:t>
      </w:r>
    </w:p>
    <w:p>
      <w:pPr>
        <w:spacing w:after="0" w:line="154" w:lineRule="exact"/>
        <w:rPr>
          <w:sz w:val="20"/>
          <w:szCs w:val="20"/>
          <w:color w:val="auto"/>
        </w:rPr>
      </w:pPr>
    </w:p>
    <w:p>
      <w:pPr>
        <w:jc w:val="both"/>
        <w:ind w:left="908" w:hanging="908"/>
        <w:spacing w:after="0" w:line="257" w:lineRule="auto"/>
        <w:tabs>
          <w:tab w:leader="none" w:pos="908"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Members holding Shares issued upon special terms and conditions</w:t>
      </w:r>
      <w:r>
        <w:rPr>
          <w:rFonts w:ascii="Times New Roman" w:cs="Times New Roman" w:eastAsia="Times New Roman" w:hAnsi="Times New Roman"/>
          <w:sz w:val="12"/>
          <w:szCs w:val="12"/>
          <w:b w:val="1"/>
          <w:bCs w:val="1"/>
          <w:color w:val="auto"/>
        </w:rPr>
        <w:t>.</w:t>
      </w:r>
    </w:p>
    <w:p>
      <w:pPr>
        <w:spacing w:after="0" w:line="125" w:lineRule="exact"/>
        <w:rPr>
          <w:sz w:val="20"/>
          <w:szCs w:val="20"/>
          <w:color w:val="auto"/>
        </w:rPr>
      </w:pPr>
    </w:p>
    <w:tbl>
      <w:tblPr>
        <w:tblLayout w:type="fixed"/>
        <w:tblInd w:w="448" w:type="dxa"/>
        <w:tblCellMar>
          <w:top w:w="0" w:type="dxa"/>
          <w:left w:w="0" w:type="dxa"/>
          <w:bottom w:w="0" w:type="dxa"/>
          <w:right w:w="0" w:type="dxa"/>
        </w:tblCellMar>
      </w:tblPr>
      <w:tr>
        <w:trPr>
          <w:trHeight w:val="144"/>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181.1</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In case of a sale by the liquidator under section 601 of the Companies Act 2014, the liquidator may by the contract of sale agree so as to bind all the Members for the allotment to the Members directly of the</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proceeds of sale in proportion to their respective interests in the Company and may further by the contract limit a time at the expiration of which obligations or Shares not accepted or required to be sold shall</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be deemed to have been irrevocably refused and be at the disposal of the Company, but so that nothing herein contained shall be taken to diminish, prejudice or affect the rights of dissenting Members</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conferred by the said section 601.</w:t>
            </w:r>
          </w:p>
        </w:tc>
      </w:tr>
      <w:tr>
        <w:trPr>
          <w:trHeight w:val="277"/>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181.2</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power of sale of the liquidator shall include a power to sell wholly or partially debentures, debenture stock, or other obligations of another company, either then already constituted or about to</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be constituted for the purpose of carrying out the sale.</w:t>
            </w:r>
          </w:p>
        </w:tc>
      </w:tr>
    </w:tbl>
    <w:p>
      <w:pPr>
        <w:spacing w:after="0" w:line="133" w:lineRule="exact"/>
        <w:rPr>
          <w:sz w:val="20"/>
          <w:szCs w:val="20"/>
          <w:color w:val="auto"/>
        </w:rPr>
      </w:pPr>
    </w:p>
    <w:p>
      <w:pPr>
        <w:jc w:val="both"/>
        <w:ind w:left="908" w:hanging="908"/>
        <w:spacing w:after="0" w:line="265" w:lineRule="auto"/>
        <w:tabs>
          <w:tab w:leader="none" w:pos="908"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Company is wound up, the liquidator, with the sanction of a Special Resolution and any other sanction required by the Companies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161290</wp:posOffset>
            </wp:positionV>
            <wp:extent cx="721487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55"/>
        </w:trPr>
        <w:tc>
          <w:tcPr>
            <w:tcW w:w="800" w:type="dxa"/>
            <w:vAlign w:val="bottom"/>
          </w:tcPr>
          <w:p>
            <w:pPr>
              <w:spacing w:after="0"/>
              <w:rPr>
                <w:sz w:val="13"/>
                <w:szCs w:val="13"/>
                <w:color w:val="auto"/>
              </w:rPr>
            </w:pPr>
          </w:p>
        </w:tc>
        <w:tc>
          <w:tcPr>
            <w:tcW w:w="10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such trusts for the benefit of the contributories as, with the like sanction, she determines, but so that no Member shall be compelled to accept any assets upon which there is a liability.</w:t>
            </w:r>
          </w:p>
        </w:tc>
      </w:tr>
      <w:tr>
        <w:trPr>
          <w:trHeight w:val="288"/>
        </w:trPr>
        <w:tc>
          <w:tcPr>
            <w:tcW w:w="800" w:type="dxa"/>
            <w:vAlign w:val="bottom"/>
          </w:tcPr>
          <w:p>
            <w:pPr>
              <w:spacing w:after="0"/>
              <w:rPr>
                <w:sz w:val="24"/>
                <w:szCs w:val="24"/>
                <w:color w:val="auto"/>
              </w:rPr>
            </w:pPr>
          </w:p>
        </w:tc>
        <w:tc>
          <w:tcPr>
            <w:tcW w:w="10520" w:type="dxa"/>
            <w:vAlign w:val="bottom"/>
          </w:tcPr>
          <w:p>
            <w:pPr>
              <w:ind w:left="4480"/>
              <w:spacing w:after="0"/>
              <w:rPr>
                <w:sz w:val="20"/>
                <w:szCs w:val="20"/>
                <w:color w:val="auto"/>
              </w:rPr>
            </w:pPr>
            <w:r>
              <w:rPr>
                <w:rFonts w:ascii="Times New Roman" w:cs="Times New Roman" w:eastAsia="Times New Roman" w:hAnsi="Times New Roman"/>
                <w:sz w:val="12"/>
                <w:szCs w:val="12"/>
                <w:b w:val="1"/>
                <w:bCs w:val="1"/>
                <w:color w:val="auto"/>
              </w:rPr>
              <w:t>INDEMNITY</w:t>
            </w:r>
          </w:p>
        </w:tc>
      </w:tr>
      <w:tr>
        <w:trPr>
          <w:trHeight w:val="225"/>
        </w:trPr>
        <w:tc>
          <w:tcPr>
            <w:tcW w:w="800" w:type="dxa"/>
            <w:vAlign w:val="bottom"/>
          </w:tcPr>
          <w:p>
            <w:pPr>
              <w:jc w:val="right"/>
              <w:ind w:right="540"/>
              <w:spacing w:after="0"/>
              <w:rPr>
                <w:sz w:val="20"/>
                <w:szCs w:val="20"/>
                <w:color w:val="auto"/>
              </w:rPr>
            </w:pPr>
            <w:r>
              <w:rPr>
                <w:rFonts w:ascii="Times New Roman" w:cs="Times New Roman" w:eastAsia="Times New Roman" w:hAnsi="Times New Roman"/>
                <w:sz w:val="12"/>
                <w:szCs w:val="12"/>
                <w:color w:val="auto"/>
                <w:w w:val="85"/>
              </w:rPr>
              <w:t>183.</w:t>
            </w:r>
          </w:p>
        </w:tc>
        <w:tc>
          <w:tcPr>
            <w:tcW w:w="10520" w:type="dxa"/>
            <w:vAlign w:val="bottom"/>
          </w:tcPr>
          <w:p>
            <w:pPr>
              <w:spacing w:after="0"/>
              <w:rPr>
                <w:sz w:val="19"/>
                <w:szCs w:val="19"/>
                <w:color w:val="auto"/>
              </w:rPr>
            </w:pPr>
          </w:p>
        </w:tc>
      </w:tr>
      <w:tr>
        <w:trPr>
          <w:trHeight w:val="277"/>
        </w:trPr>
        <w:tc>
          <w:tcPr>
            <w:tcW w:w="8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183.1</w:t>
            </w: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Subject to the provisions of and so far as may be admitted by the Companies Acts, every Director and Secretary shall be entitled to be indemnified by the Company against all costs, charges, losses, expenses</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and liabilities incurred by her in the execution and discharge of her duties or in relation thereto including any liability incurred by her in defending any proceedings, civil or criminal, which relate to anything</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done or omitted or alleged to have been done or omitted by her as an officer or employee of the Company and in which judgement is given in her favour (or the proceedings are otherwise disposed of without</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any finding or admission of any material breach of duty on her part) or in which she is acquitted or in connection with any application under any statute for relief from liability in respect of any such act or</w:t>
            </w:r>
          </w:p>
        </w:tc>
      </w:tr>
      <w:tr>
        <w:trPr>
          <w:trHeight w:val="155"/>
        </w:trPr>
        <w:tc>
          <w:tcPr>
            <w:tcW w:w="800" w:type="dxa"/>
            <w:vAlign w:val="bottom"/>
          </w:tcPr>
          <w:p>
            <w:pPr>
              <w:spacing w:after="0"/>
              <w:rPr>
                <w:sz w:val="13"/>
                <w:szCs w:val="13"/>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omission in which relief is granted to her by the Court.</w:t>
            </w:r>
          </w:p>
        </w:tc>
      </w:tr>
      <w:tr>
        <w:trPr>
          <w:trHeight w:val="277"/>
        </w:trPr>
        <w:tc>
          <w:tcPr>
            <w:tcW w:w="8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183.2</w:t>
            </w: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As far as permissible under the Companies Acts, the Company shall indemnify any current or former executive of the Company (excluding any Directors or Secretary) or any person who is serving or has</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served at the request of the Company as a director, executive or trustee of another company, joint venture, trust or other enterprise against expenses, including attorneys’ fees, judgments, fines, and amounts</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paid in settlement actually and reasonably incurred by her in connection with any threatened, pending, or completed action, suit or proceeding, whether civil, criminal, administrative or investigative, other</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than an action by or in the right of the Company, to which she, or she was, is, or is threatened to be made a party by reason of the fact that she, or she is or was such a director, executive or trustee, provided</w:t>
            </w:r>
          </w:p>
        </w:tc>
      </w:tr>
      <w:tr>
        <w:trPr>
          <w:trHeight w:val="155"/>
        </w:trPr>
        <w:tc>
          <w:tcPr>
            <w:tcW w:w="800" w:type="dxa"/>
            <w:vAlign w:val="bottom"/>
          </w:tcPr>
          <w:p>
            <w:pPr>
              <w:spacing w:after="0"/>
              <w:rPr>
                <w:sz w:val="13"/>
                <w:szCs w:val="13"/>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always that the indemnity contained in this Article 183.2 shall not extend to any matter which would render it void pursuant to the Companies Acts.</w:t>
            </w:r>
          </w:p>
        </w:tc>
      </w:tr>
      <w:tr>
        <w:trPr>
          <w:trHeight w:val="277"/>
        </w:trPr>
        <w:tc>
          <w:tcPr>
            <w:tcW w:w="8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183.3</w:t>
            </w: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In the case of any threatened, pending or completed action, suit or proceeding by or in the right of the Company, the Company shall indemnify each person indicated in Article 183.2 of this Article against</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expenses, including attorneys’ fees, actually and reasonably incurred in connection with the defence or the settlement thereof, except no indemnification shall be made in respect of any claim, issue or matter</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as to which such person shall have been adjudged to be liable for fraud or dishonesty in the performance of her duty to the Company unless and only to the extent that the Court or the court in which such</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action or suit was brought shall determine upon application that despite the adjudication of liability, but in view of all the circumstances of the case, such person is fairly and reasonably entitled to indemnity</w:t>
            </w:r>
          </w:p>
        </w:tc>
      </w:tr>
      <w:tr>
        <w:trPr>
          <w:trHeight w:val="155"/>
        </w:trPr>
        <w:tc>
          <w:tcPr>
            <w:tcW w:w="800" w:type="dxa"/>
            <w:vAlign w:val="bottom"/>
          </w:tcPr>
          <w:p>
            <w:pPr>
              <w:spacing w:after="0"/>
              <w:rPr>
                <w:sz w:val="13"/>
                <w:szCs w:val="13"/>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for such expenses as the Court shall deem proper.</w:t>
            </w:r>
          </w:p>
        </w:tc>
      </w:tr>
      <w:tr>
        <w:trPr>
          <w:trHeight w:val="277"/>
        </w:trPr>
        <w:tc>
          <w:tcPr>
            <w:tcW w:w="8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183.4</w:t>
            </w: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As far as permissible under the Companies Acts, expenses, including attorneys’ fees, incurred in defending any action, suit or proceeding referred to in Articles 183.2 and 183.3 of this Article may be paid by</w:t>
            </w:r>
          </w:p>
        </w:tc>
      </w:tr>
      <w:tr>
        <w:trPr>
          <w:trHeight w:val="144"/>
        </w:trPr>
        <w:tc>
          <w:tcPr>
            <w:tcW w:w="800" w:type="dxa"/>
            <w:vAlign w:val="bottom"/>
          </w:tcPr>
          <w:p>
            <w:pPr>
              <w:spacing w:after="0"/>
              <w:rPr>
                <w:sz w:val="12"/>
                <w:szCs w:val="12"/>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the Company in advance of the final disposition of such action, suit or proceeding as authorised by the Board in the specific case upon receipt of an undertaking by or on behalf of the director, executive or</w:t>
            </w:r>
          </w:p>
        </w:tc>
      </w:tr>
      <w:tr>
        <w:trPr>
          <w:trHeight w:val="155"/>
        </w:trPr>
        <w:tc>
          <w:tcPr>
            <w:tcW w:w="800" w:type="dxa"/>
            <w:vAlign w:val="bottom"/>
          </w:tcPr>
          <w:p>
            <w:pPr>
              <w:spacing w:after="0"/>
              <w:rPr>
                <w:sz w:val="13"/>
                <w:szCs w:val="13"/>
                <w:color w:val="auto"/>
              </w:rPr>
            </w:pP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trustee, or other indemnitee to repay such amount, unless it shall ultimately be determined that she is entitled to be indemnified by the Company as authorised by these Articles.</w:t>
            </w:r>
          </w:p>
        </w:tc>
      </w:tr>
      <w:tr>
        <w:trPr>
          <w:trHeight w:val="288"/>
        </w:trPr>
        <w:tc>
          <w:tcPr>
            <w:tcW w:w="8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183.5</w:t>
            </w:r>
          </w:p>
        </w:tc>
        <w:tc>
          <w:tcPr>
            <w:tcW w:w="105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It being the policy of the Company that indemnification of the persons specified in this Article shall be made to the fullest extent permitted by law, the indemnification provided</w:t>
            </w:r>
          </w:p>
        </w:tc>
      </w:tr>
      <w:tr>
        <w:trPr>
          <w:trHeight w:val="288"/>
        </w:trPr>
        <w:tc>
          <w:tcPr>
            <w:tcW w:w="80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64" w:right="279" w:bottom="1440" w:gutter="0" w:footer="0" w:header="0"/>
        </w:sectPr>
      </w:pPr>
    </w:p>
    <w:bookmarkStart w:id="87" w:name="page88"/>
    <w:bookmarkEnd w:id="87"/>
    <w:tbl>
      <w:tblPr>
        <w:tblLayout w:type="fixed"/>
        <w:tblInd w:w="448" w:type="dxa"/>
        <w:tblCellMar>
          <w:top w:w="0" w:type="dxa"/>
          <w:left w:w="0" w:type="dxa"/>
          <w:bottom w:w="0" w:type="dxa"/>
          <w:right w:w="0" w:type="dxa"/>
        </w:tblCellMar>
      </w:tblP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by this Article shall not be deemed exclusive (a) of any other rights to which those seeking indemnification or advancement of expenses may be entitled under the Memorandum, Articles, any agreement, any</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insurance purchased by the Company, any vote of Members or disinterested Directors, or pursuant to the direction (however embodied) of any court of competent jurisdiction, or otherwise, both as to action</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in her official capacity and as to action in another capacity while holding such office, or (b) of the power of the Company to indemnify any person who is or was an employee or agent of the Company or of</w:t>
            </w:r>
          </w:p>
        </w:tc>
      </w:tr>
      <w:tr>
        <w:trPr>
          <w:trHeight w:val="140"/>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another company, joint venture, trust or other enterprise which she is serving or has served at the request of the Company, to the same extent and in the same situations and subject to the same determinations</w:t>
            </w:r>
          </w:p>
        </w:tc>
      </w:tr>
      <w:tr>
        <w:trPr>
          <w:trHeight w:val="148"/>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w w:val="99"/>
              </w:rPr>
              <w:t>as are hereinabove set forth with respect to a director, executive or trustee. As used in this paragraph (b), references to the “</w:t>
            </w:r>
            <w:r>
              <w:rPr>
                <w:rFonts w:ascii="Times New Roman" w:cs="Times New Roman" w:eastAsia="Times New Roman" w:hAnsi="Times New Roman"/>
                <w:sz w:val="12"/>
                <w:szCs w:val="12"/>
                <w:b w:val="1"/>
                <w:bCs w:val="1"/>
                <w:color w:val="auto"/>
                <w:w w:val="99"/>
              </w:rPr>
              <w:t>Company</w:t>
            </w:r>
            <w:r>
              <w:rPr>
                <w:rFonts w:ascii="Times New Roman" w:cs="Times New Roman" w:eastAsia="Times New Roman" w:hAnsi="Times New Roman"/>
                <w:sz w:val="12"/>
                <w:szCs w:val="12"/>
                <w:color w:val="auto"/>
                <w:w w:val="99"/>
              </w:rPr>
              <w:t>” include all constituent companies in a consolidation or merger in which</w:t>
            </w:r>
          </w:p>
        </w:tc>
      </w:tr>
      <w:tr>
        <w:trPr>
          <w:trHeight w:val="144"/>
        </w:trPr>
        <w:tc>
          <w:tcPr>
            <w:tcW w:w="580" w:type="dxa"/>
            <w:vAlign w:val="bottom"/>
          </w:tcPr>
          <w:p>
            <w:pPr>
              <w:spacing w:after="0"/>
              <w:rPr>
                <w:sz w:val="12"/>
                <w:szCs w:val="12"/>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Company or a predecessor to the Company by consolidation or merger was involved. The indemnification provided by this Article shall continue as to a person who has ceased to be a director, executive</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or trustee and shall inure to the benefit of the heirs, executors, and administrators of such a person.</w:t>
            </w:r>
          </w:p>
        </w:tc>
      </w:tr>
      <w:tr>
        <w:trPr>
          <w:trHeight w:val="277"/>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183.6</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Directors shall have power to purchase and maintain for any Director, the Secretary or other officers or employees of the Company insurance against any such liability as referred to in the Companies</w:t>
            </w:r>
          </w:p>
        </w:tc>
      </w:tr>
      <w:tr>
        <w:trPr>
          <w:trHeight w:val="155"/>
        </w:trPr>
        <w:tc>
          <w:tcPr>
            <w:tcW w:w="580" w:type="dxa"/>
            <w:vAlign w:val="bottom"/>
          </w:tcPr>
          <w:p>
            <w:pPr>
              <w:spacing w:after="0"/>
              <w:rPr>
                <w:sz w:val="13"/>
                <w:szCs w:val="13"/>
                <w:color w:val="auto"/>
              </w:rPr>
            </w:pP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Acts or otherwise.</w:t>
            </w:r>
          </w:p>
        </w:tc>
      </w:tr>
      <w:tr>
        <w:trPr>
          <w:trHeight w:val="288"/>
        </w:trPr>
        <w:tc>
          <w:tcPr>
            <w:tcW w:w="5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6"/>
              </w:rPr>
              <w:t>183.7</w:t>
            </w:r>
          </w:p>
        </w:tc>
        <w:tc>
          <w:tcPr>
            <w:tcW w:w="10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The Company may additionally indemnify any employee or agent of the Company or any director, executive, employee or agent of any of its subsidiaries to the fullest extent permitted by law.</w:t>
            </w:r>
          </w:p>
        </w:tc>
      </w:tr>
      <w:tr>
        <w:trPr>
          <w:trHeight w:val="216"/>
        </w:trPr>
        <w:tc>
          <w:tcPr>
            <w:tcW w:w="580" w:type="dxa"/>
            <w:vAlign w:val="bottom"/>
          </w:tcPr>
          <w:p>
            <w:pPr>
              <w:spacing w:after="0"/>
              <w:rPr>
                <w:sz w:val="18"/>
                <w:szCs w:val="18"/>
                <w:color w:val="auto"/>
              </w:rPr>
            </w:pPr>
          </w:p>
        </w:tc>
        <w:tc>
          <w:tcPr>
            <w:tcW w:w="10280" w:type="dxa"/>
            <w:vAlign w:val="bottom"/>
          </w:tcPr>
          <w:p>
            <w:pPr>
              <w:ind w:left="4100"/>
              <w:spacing w:after="0"/>
              <w:rPr>
                <w:sz w:val="20"/>
                <w:szCs w:val="20"/>
                <w:color w:val="auto"/>
              </w:rPr>
            </w:pPr>
            <w:r>
              <w:rPr>
                <w:rFonts w:ascii="Times New Roman" w:cs="Times New Roman" w:eastAsia="Times New Roman" w:hAnsi="Times New Roman"/>
                <w:sz w:val="12"/>
                <w:szCs w:val="12"/>
                <w:b w:val="1"/>
                <w:bCs w:val="1"/>
                <w:color w:val="auto"/>
              </w:rPr>
              <w:t>FINANCIAL YEAR</w:t>
            </w:r>
          </w:p>
        </w:tc>
      </w:tr>
    </w:tbl>
    <w:p>
      <w:pPr>
        <w:spacing w:after="0" w:line="133" w:lineRule="exact"/>
        <w:rPr>
          <w:sz w:val="20"/>
          <w:szCs w:val="20"/>
          <w:color w:val="auto"/>
        </w:rPr>
      </w:pPr>
    </w:p>
    <w:p>
      <w:pPr>
        <w:ind w:left="908" w:hanging="908"/>
        <w:spacing w:after="0"/>
        <w:tabs>
          <w:tab w:leader="none" w:pos="908"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year of the Company shall be as prescribed by the Board from time to time.</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SHAREHOLDER RIGHTS PLAN</w:t>
      </w:r>
    </w:p>
    <w:p>
      <w:pPr>
        <w:spacing w:after="0" w:line="154" w:lineRule="exact"/>
        <w:rPr>
          <w:sz w:val="20"/>
          <w:szCs w:val="20"/>
          <w:color w:val="auto"/>
        </w:rPr>
      </w:pPr>
    </w:p>
    <w:p>
      <w:pPr>
        <w:jc w:val="both"/>
        <w:ind w:left="908" w:hanging="908"/>
        <w:spacing w:after="0" w:line="265" w:lineRule="auto"/>
        <w:tabs>
          <w:tab w:leader="none" w:pos="908"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is hereby expressly authorised to adopt any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Directors or any duly appointed committee thereof may effect an exchange of rights in accordance with such Shareholder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344170</wp:posOffset>
            </wp:positionV>
            <wp:extent cx="721487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4" w:right="299" w:bottom="1440" w:gutter="0" w:footer="0" w:header="0"/>
        </w:sectPr>
      </w:pPr>
    </w:p>
    <w:bookmarkStart w:id="88" w:name="page89"/>
    <w:bookmarkEnd w:id="88"/>
    <w:p>
      <w:pPr>
        <w:spacing w:after="0" w:line="279" w:lineRule="auto"/>
        <w:rPr>
          <w:sz w:val="20"/>
          <w:szCs w:val="20"/>
          <w:color w:val="auto"/>
        </w:rPr>
      </w:pPr>
      <w:r>
        <w:rPr>
          <w:rFonts w:ascii="Times New Roman" w:cs="Times New Roman" w:eastAsia="Times New Roman" w:hAnsi="Times New Roman"/>
          <w:sz w:val="12"/>
          <w:szCs w:val="12"/>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Names, addresses and descriptions</w:t>
            </w:r>
          </w:p>
        </w:tc>
        <w:tc>
          <w:tcPr>
            <w:tcW w:w="1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Number of Shares taken</w:t>
            </w:r>
          </w:p>
        </w:tc>
      </w:tr>
      <w:tr>
        <w:trPr>
          <w:trHeight w:val="155"/>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of subscribers</w:t>
            </w:r>
          </w:p>
        </w:tc>
        <w:tc>
          <w:tcPr>
            <w:tcW w:w="1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by each subscriber</w:t>
            </w:r>
          </w:p>
        </w:tc>
      </w:tr>
      <w:tr>
        <w:trPr>
          <w:trHeight w:val="142"/>
        </w:trPr>
        <w:tc>
          <w:tcPr>
            <w:tcW w:w="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55"/>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Goodbody Subscriber One Limited</w:t>
            </w:r>
          </w:p>
        </w:tc>
        <w:tc>
          <w:tcPr>
            <w:tcW w:w="12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One ordinary share of US$0.01</w:t>
            </w:r>
          </w:p>
        </w:tc>
      </w:tr>
      <w:tr>
        <w:trPr>
          <w:trHeight w:val="155"/>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International Financial Services Centre</w:t>
            </w:r>
          </w:p>
        </w:tc>
        <w:tc>
          <w:tcPr>
            <w:tcW w:w="12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r>
      <w:tr>
        <w:trPr>
          <w:trHeight w:val="15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North Wall Quay</w:t>
            </w:r>
          </w:p>
        </w:tc>
        <w:tc>
          <w:tcPr>
            <w:tcW w:w="12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r>
      <w:tr>
        <w:trPr>
          <w:trHeight w:val="180"/>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Dublin 1</w:t>
            </w:r>
          </w:p>
        </w:tc>
        <w:tc>
          <w:tcPr>
            <w:tcW w:w="1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r>
      <w:tr>
        <w:trPr>
          <w:trHeight w:val="162"/>
        </w:trPr>
        <w:tc>
          <w:tcPr>
            <w:tcW w:w="26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2"/>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Limited liability company</w:t>
            </w:r>
          </w:p>
        </w:tc>
        <w:tc>
          <w:tcPr>
            <w:tcW w:w="1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288"/>
        </w:trPr>
        <w:tc>
          <w:tcPr>
            <w:tcW w:w="2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Dated the 29 day of April 2011</w:t>
            </w: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88"/>
        </w:trPr>
        <w:tc>
          <w:tcPr>
            <w:tcW w:w="2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Witnesses to the above signatures:</w:t>
            </w: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19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Isabel Hyde</w:t>
            </w: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55"/>
        </w:trPr>
        <w:tc>
          <w:tcPr>
            <w:tcW w:w="700" w:type="dxa"/>
            <w:vAlign w:val="bottom"/>
          </w:tcPr>
          <w:p>
            <w:pPr>
              <w:spacing w:after="0"/>
              <w:rPr>
                <w:sz w:val="13"/>
                <w:szCs w:val="13"/>
                <w:color w:val="auto"/>
              </w:rPr>
            </w:pPr>
          </w:p>
        </w:tc>
        <w:tc>
          <w:tcPr>
            <w:tcW w:w="194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Trainee Solicitor</w:t>
            </w: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Address:</w:t>
            </w:r>
          </w:p>
        </w:tc>
        <w:tc>
          <w:tcPr>
            <w:tcW w:w="19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A&amp;L Goodbody</w:t>
            </w: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44"/>
        </w:trPr>
        <w:tc>
          <w:tcPr>
            <w:tcW w:w="700" w:type="dxa"/>
            <w:vAlign w:val="bottom"/>
          </w:tcPr>
          <w:p>
            <w:pPr>
              <w:spacing w:after="0"/>
              <w:rPr>
                <w:sz w:val="12"/>
                <w:szCs w:val="12"/>
                <w:color w:val="auto"/>
              </w:rPr>
            </w:pPr>
          </w:p>
        </w:tc>
        <w:tc>
          <w:tcPr>
            <w:tcW w:w="194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IFSC,</w:t>
            </w: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4"/>
        </w:trPr>
        <w:tc>
          <w:tcPr>
            <w:tcW w:w="700" w:type="dxa"/>
            <w:vAlign w:val="bottom"/>
          </w:tcPr>
          <w:p>
            <w:pPr>
              <w:spacing w:after="0"/>
              <w:rPr>
                <w:sz w:val="12"/>
                <w:szCs w:val="12"/>
                <w:color w:val="auto"/>
              </w:rPr>
            </w:pPr>
          </w:p>
        </w:tc>
        <w:tc>
          <w:tcPr>
            <w:tcW w:w="194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North Wall Quay,</w:t>
            </w: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55"/>
        </w:trPr>
        <w:tc>
          <w:tcPr>
            <w:tcW w:w="700" w:type="dxa"/>
            <w:vAlign w:val="bottom"/>
          </w:tcPr>
          <w:p>
            <w:pPr>
              <w:spacing w:after="0"/>
              <w:rPr>
                <w:sz w:val="13"/>
                <w:szCs w:val="13"/>
                <w:color w:val="auto"/>
              </w:rPr>
            </w:pPr>
          </w:p>
        </w:tc>
        <w:tc>
          <w:tcPr>
            <w:tcW w:w="194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Dublin 1</w:t>
            </w: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r>
    </w:tbl>
    <w:p>
      <w:pPr>
        <w:sectPr>
          <w:pgSz w:w="11900" w:h="16838" w:orient="portrait"/>
          <w:cols w:equalWidth="0" w:num="1">
            <w:col w:w="11280"/>
          </w:cols>
          <w:pgMar w:left="300" w:top="264" w:right="3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2"/>
          <w:szCs w:val="12"/>
          <w:b w:val="1"/>
          <w:bCs w:val="1"/>
          <w:color w:val="auto"/>
        </w:rPr>
        <w:t>Exhibit 10.1.1</w:t>
      </w:r>
    </w:p>
    <w:p>
      <w:pPr>
        <w:spacing w:after="0" w:line="15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2018 Plan Award Certfcate – Non-Employee Director New Director Grant Non-Qualifed Stock Opton</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color w:val="auto"/>
        </w:rPr>
        <w:t>Alkermes plc</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Connaught House</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1 Burlington Road</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Dublin 4, Ireland</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280" w:type="dxa"/>
            <w:vAlign w:val="bottom"/>
            <w:tcBorders>
              <w:top w:val="single" w:sz="8" w:color="auto"/>
              <w:left w:val="single" w:sz="8" w:color="auto"/>
            </w:tcBorders>
          </w:tcPr>
          <w:p>
            <w:pPr>
              <w:spacing w:after="0"/>
              <w:rPr>
                <w:sz w:val="20"/>
                <w:szCs w:val="20"/>
                <w:color w:val="auto"/>
              </w:rPr>
            </w:pPr>
            <w:r>
              <w:rPr>
                <w:rFonts w:ascii="Calibri" w:cs="Calibri" w:eastAsia="Calibri" w:hAnsi="Calibri"/>
                <w:sz w:val="13"/>
                <w:szCs w:val="13"/>
                <w:color w:val="auto"/>
              </w:rPr>
              <w:t>Name:</w:t>
            </w:r>
          </w:p>
        </w:tc>
        <w:tc>
          <w:tcPr>
            <w:tcW w:w="10020" w:type="dxa"/>
            <w:vAlign w:val="bottom"/>
            <w:tcBorders>
              <w:top w:val="single" w:sz="8" w:color="auto"/>
              <w:right w:val="single" w:sz="8" w:color="auto"/>
            </w:tcBorders>
          </w:tcPr>
          <w:p>
            <w:pPr>
              <w:ind w:left="800"/>
              <w:spacing w:after="0"/>
              <w:rPr>
                <w:sz w:val="20"/>
                <w:szCs w:val="20"/>
                <w:color w:val="auto"/>
              </w:rPr>
            </w:pPr>
            <w:r>
              <w:rPr>
                <w:rFonts w:ascii="Calibri" w:cs="Calibri" w:eastAsia="Calibri" w:hAnsi="Calibri"/>
                <w:sz w:val="13"/>
                <w:szCs w:val="13"/>
                <w:color w:val="auto"/>
              </w:rPr>
              <w:t>Partcipant Name</w:t>
            </w:r>
          </w:p>
        </w:tc>
      </w:tr>
      <w:tr>
        <w:trPr>
          <w:trHeight w:val="307"/>
        </w:trPr>
        <w:tc>
          <w:tcPr>
            <w:tcW w:w="1280" w:type="dxa"/>
            <w:vAlign w:val="bottom"/>
            <w:tcBorders>
              <w:left w:val="single" w:sz="8" w:color="auto"/>
            </w:tcBorders>
          </w:tcPr>
          <w:p>
            <w:pPr>
              <w:spacing w:after="0"/>
              <w:rPr>
                <w:sz w:val="20"/>
                <w:szCs w:val="20"/>
                <w:color w:val="auto"/>
              </w:rPr>
            </w:pPr>
            <w:r>
              <w:rPr>
                <w:rFonts w:ascii="Calibri" w:cs="Calibri" w:eastAsia="Calibri" w:hAnsi="Calibri"/>
                <w:sz w:val="13"/>
                <w:szCs w:val="13"/>
                <w:color w:val="auto"/>
              </w:rPr>
              <w:t>Address:</w:t>
            </w:r>
          </w:p>
        </w:tc>
        <w:tc>
          <w:tcPr>
            <w:tcW w:w="10020" w:type="dxa"/>
            <w:vAlign w:val="bottom"/>
            <w:tcBorders>
              <w:right w:val="single" w:sz="8" w:color="auto"/>
            </w:tcBorders>
          </w:tcPr>
          <w:p>
            <w:pPr>
              <w:ind w:left="800"/>
              <w:spacing w:after="0"/>
              <w:rPr>
                <w:sz w:val="20"/>
                <w:szCs w:val="20"/>
                <w:color w:val="auto"/>
              </w:rPr>
            </w:pPr>
            <w:r>
              <w:rPr>
                <w:rFonts w:ascii="Calibri" w:cs="Calibri" w:eastAsia="Calibri" w:hAnsi="Calibri"/>
                <w:sz w:val="13"/>
                <w:szCs w:val="13"/>
                <w:color w:val="auto"/>
              </w:rPr>
              <w:t>Partcipant Address</w:t>
            </w:r>
          </w:p>
        </w:tc>
      </w:tr>
      <w:tr>
        <w:trPr>
          <w:trHeight w:val="324"/>
        </w:trPr>
        <w:tc>
          <w:tcPr>
            <w:tcW w:w="1280" w:type="dxa"/>
            <w:vAlign w:val="bottom"/>
            <w:tcBorders>
              <w:left w:val="single" w:sz="8" w:color="auto"/>
            </w:tcBorders>
          </w:tcPr>
          <w:p>
            <w:pPr>
              <w:spacing w:after="0"/>
              <w:rPr>
                <w:sz w:val="20"/>
                <w:szCs w:val="20"/>
                <w:color w:val="auto"/>
              </w:rPr>
            </w:pPr>
            <w:r>
              <w:rPr>
                <w:rFonts w:ascii="Calibri" w:cs="Calibri" w:eastAsia="Calibri" w:hAnsi="Calibri"/>
                <w:sz w:val="13"/>
                <w:szCs w:val="13"/>
                <w:color w:val="auto"/>
              </w:rPr>
              <w:t>Grant ID:</w:t>
            </w:r>
          </w:p>
        </w:tc>
        <w:tc>
          <w:tcPr>
            <w:tcW w:w="10020" w:type="dxa"/>
            <w:vAlign w:val="bottom"/>
            <w:tcBorders>
              <w:right w:val="single" w:sz="8" w:color="auto"/>
            </w:tcBorders>
          </w:tcPr>
          <w:p>
            <w:pPr>
              <w:ind w:left="800"/>
              <w:spacing w:after="0"/>
              <w:rPr>
                <w:sz w:val="20"/>
                <w:szCs w:val="20"/>
                <w:color w:val="auto"/>
              </w:rPr>
            </w:pPr>
            <w:r>
              <w:rPr>
                <w:rFonts w:ascii="Calibri" w:cs="Calibri" w:eastAsia="Calibri" w:hAnsi="Calibri"/>
                <w:sz w:val="13"/>
                <w:szCs w:val="13"/>
                <w:color w:val="auto"/>
              </w:rPr>
              <w:t>Grant ID</w:t>
            </w:r>
          </w:p>
        </w:tc>
      </w:tr>
      <w:tr>
        <w:trPr>
          <w:trHeight w:val="324"/>
        </w:trPr>
        <w:tc>
          <w:tcPr>
            <w:tcW w:w="1280" w:type="dxa"/>
            <w:vAlign w:val="bottom"/>
            <w:tcBorders>
              <w:left w:val="single" w:sz="8" w:color="auto"/>
            </w:tcBorders>
          </w:tcPr>
          <w:p>
            <w:pPr>
              <w:spacing w:after="0"/>
              <w:rPr>
                <w:sz w:val="20"/>
                <w:szCs w:val="20"/>
                <w:color w:val="auto"/>
              </w:rPr>
            </w:pPr>
            <w:r>
              <w:rPr>
                <w:rFonts w:ascii="Calibri" w:cs="Calibri" w:eastAsia="Calibri" w:hAnsi="Calibri"/>
                <w:sz w:val="13"/>
                <w:szCs w:val="13"/>
                <w:color w:val="auto"/>
              </w:rPr>
              <w:t>Plan:</w:t>
            </w:r>
          </w:p>
        </w:tc>
        <w:tc>
          <w:tcPr>
            <w:tcW w:w="10020" w:type="dxa"/>
            <w:vAlign w:val="bottom"/>
            <w:tcBorders>
              <w:right w:val="single" w:sz="8" w:color="auto"/>
            </w:tcBorders>
          </w:tcPr>
          <w:p>
            <w:pPr>
              <w:ind w:left="800"/>
              <w:spacing w:after="0"/>
              <w:rPr>
                <w:sz w:val="20"/>
                <w:szCs w:val="20"/>
                <w:color w:val="auto"/>
              </w:rPr>
            </w:pPr>
            <w:r>
              <w:rPr>
                <w:rFonts w:ascii="Calibri" w:cs="Calibri" w:eastAsia="Calibri" w:hAnsi="Calibri"/>
                <w:sz w:val="13"/>
                <w:szCs w:val="13"/>
                <w:color w:val="auto"/>
              </w:rPr>
              <w:t>Plan ID</w:t>
            </w:r>
          </w:p>
        </w:tc>
      </w:tr>
      <w:tr>
        <w:trPr>
          <w:trHeight w:val="324"/>
        </w:trPr>
        <w:tc>
          <w:tcPr>
            <w:tcW w:w="1280" w:type="dxa"/>
            <w:vAlign w:val="bottom"/>
            <w:tcBorders>
              <w:left w:val="single" w:sz="8" w:color="auto"/>
            </w:tcBorders>
          </w:tcPr>
          <w:p>
            <w:pPr>
              <w:spacing w:after="0"/>
              <w:rPr>
                <w:sz w:val="20"/>
                <w:szCs w:val="20"/>
                <w:color w:val="auto"/>
              </w:rPr>
            </w:pPr>
            <w:r>
              <w:rPr>
                <w:rFonts w:ascii="Calibri" w:cs="Calibri" w:eastAsia="Calibri" w:hAnsi="Calibri"/>
                <w:sz w:val="13"/>
                <w:szCs w:val="13"/>
                <w:color w:val="auto"/>
              </w:rPr>
              <w:t>ID:</w:t>
            </w:r>
          </w:p>
        </w:tc>
        <w:tc>
          <w:tcPr>
            <w:tcW w:w="10020" w:type="dxa"/>
            <w:vAlign w:val="bottom"/>
            <w:tcBorders>
              <w:right w:val="single" w:sz="8" w:color="auto"/>
            </w:tcBorders>
          </w:tcPr>
          <w:p>
            <w:pPr>
              <w:ind w:left="800"/>
              <w:spacing w:after="0"/>
              <w:rPr>
                <w:sz w:val="20"/>
                <w:szCs w:val="20"/>
                <w:color w:val="auto"/>
              </w:rPr>
            </w:pPr>
            <w:r>
              <w:rPr>
                <w:rFonts w:ascii="Calibri" w:cs="Calibri" w:eastAsia="Calibri" w:hAnsi="Calibri"/>
                <w:sz w:val="13"/>
                <w:szCs w:val="13"/>
                <w:color w:val="auto"/>
              </w:rPr>
              <w:t>Optonee ID</w:t>
            </w:r>
          </w:p>
        </w:tc>
      </w:tr>
      <w:tr>
        <w:trPr>
          <w:trHeight w:val="22"/>
        </w:trPr>
        <w:tc>
          <w:tcPr>
            <w:tcW w:w="1280" w:type="dxa"/>
            <w:vAlign w:val="bottom"/>
            <w:tcBorders>
              <w:left w:val="single" w:sz="8" w:color="auto"/>
              <w:bottom w:val="single" w:sz="8" w:color="auto"/>
            </w:tcBorders>
          </w:tcPr>
          <w:p>
            <w:pPr>
              <w:spacing w:after="0" w:line="20" w:lineRule="exact"/>
              <w:rPr>
                <w:sz w:val="1"/>
                <w:szCs w:val="1"/>
                <w:color w:val="auto"/>
              </w:rPr>
            </w:pPr>
          </w:p>
        </w:tc>
        <w:tc>
          <w:tcPr>
            <w:tcW w:w="10020" w:type="dxa"/>
            <w:vAlign w:val="bottom"/>
            <w:tcBorders>
              <w:bottom w:val="single" w:sz="8" w:color="auto"/>
              <w:right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220"/>
        <w:spacing w:after="0" w:line="242" w:lineRule="auto"/>
        <w:rPr>
          <w:sz w:val="20"/>
          <w:szCs w:val="20"/>
          <w:color w:val="auto"/>
        </w:rPr>
      </w:pPr>
      <w:r>
        <w:rPr>
          <w:rFonts w:ascii="Calibri" w:cs="Calibri" w:eastAsia="Calibri" w:hAnsi="Calibri"/>
          <w:sz w:val="13"/>
          <w:szCs w:val="13"/>
          <w:color w:val="auto"/>
        </w:rPr>
        <w:t>Efectve [Grant Date] (the “Grant Date”), you have been granted a non-qualifed stock opton (the “NQ Opton”) to buy [Award Grant Amount] ordinary shares, par value $0.01 per share (the “Shares”), of Alkermes plc (the “Company”) with an exercise price of $[Grant Price] per share.</w:t>
      </w:r>
    </w:p>
    <w:p>
      <w:pPr>
        <w:spacing w:after="0" w:line="166" w:lineRule="exact"/>
        <w:rPr>
          <w:sz w:val="20"/>
          <w:szCs w:val="20"/>
          <w:color w:val="auto"/>
        </w:rPr>
      </w:pPr>
    </w:p>
    <w:p>
      <w:pPr>
        <w:ind w:right="40"/>
        <w:spacing w:after="0" w:line="244" w:lineRule="auto"/>
        <w:rPr>
          <w:sz w:val="20"/>
          <w:szCs w:val="20"/>
          <w:color w:val="auto"/>
        </w:rPr>
      </w:pPr>
      <w:r>
        <w:rPr>
          <w:rFonts w:ascii="Calibri" w:cs="Calibri" w:eastAsia="Calibri" w:hAnsi="Calibri"/>
          <w:sz w:val="13"/>
          <w:szCs w:val="13"/>
          <w:color w:val="auto"/>
        </w:rPr>
        <w:t>The NQ Opton was granted under the Alkermes plc 2018 Stock Opton and Incentve Plan (the “Plan”),and is governed by the terms and conditons thereof and of this award certfcate (this “Award Certfcate”). A copy of the Plan is available upon request. Unless otherwise defned in this Award Certfcate, all capitalized terms used in this Award Certfcate shall have the respectve meanings ascribed to them in the Plan.</w:t>
      </w:r>
    </w:p>
    <w:p>
      <w:pPr>
        <w:spacing w:after="0" w:line="325" w:lineRule="exact"/>
        <w:rPr>
          <w:sz w:val="20"/>
          <w:szCs w:val="20"/>
          <w:color w:val="auto"/>
        </w:rPr>
      </w:pPr>
    </w:p>
    <w:p>
      <w:pPr>
        <w:ind w:right="60"/>
        <w:spacing w:after="0" w:line="242" w:lineRule="auto"/>
        <w:rPr>
          <w:sz w:val="20"/>
          <w:szCs w:val="20"/>
          <w:color w:val="auto"/>
        </w:rPr>
      </w:pPr>
      <w:r>
        <w:rPr>
          <w:rFonts w:ascii="Calibri" w:cs="Calibri" w:eastAsia="Calibri" w:hAnsi="Calibri"/>
          <w:sz w:val="13"/>
          <w:szCs w:val="13"/>
          <w:color w:val="auto"/>
        </w:rPr>
        <w:t>Vestng details for the NQ Opton are available via your Bank of America Merrill Lynch Benefts Online account. The NQ Opton shall expire on the earlier to occur of: (i) the 10th anniversary of the Grant Date or (ii) three years afer any terminaton of your service relatonship with the Company.</w:t>
      </w:r>
    </w:p>
    <w:p>
      <w:pPr>
        <w:spacing w:after="0" w:line="157" w:lineRule="exact"/>
        <w:rPr>
          <w:sz w:val="20"/>
          <w:szCs w:val="20"/>
          <w:color w:val="auto"/>
        </w:rPr>
      </w:pPr>
    </w:p>
    <w:p>
      <w:pPr>
        <w:ind w:right="80"/>
        <w:spacing w:after="0" w:line="244" w:lineRule="auto"/>
        <w:rPr>
          <w:sz w:val="20"/>
          <w:szCs w:val="20"/>
          <w:color w:val="auto"/>
        </w:rPr>
      </w:pPr>
      <w:r>
        <w:rPr>
          <w:rFonts w:ascii="Calibri" w:cs="Calibri" w:eastAsia="Calibri" w:hAnsi="Calibri"/>
          <w:sz w:val="13"/>
          <w:szCs w:val="13"/>
          <w:color w:val="auto"/>
        </w:rPr>
        <w:t>In the event your service relatonship with the Company is terminated as a result of the shareholders of the Company not electng or re-electng you, as the case may be, to the Company’s board of directors at the frst annual general meetng of the Company’s shareholders at which your nominaton as a director is voted upon by the Company’s shareholders, the NQ Opton shall be subject to partal forfeiture efectve upon such terminaton, with the percentage of shares underlying the NQ Opton that are to be forfeited equal to the number of days remaining in the full vestng period for the NQ Opton (as measured on the date of such terminaton), divided by the total number of days in the full vestng period for the NQ Opton, with the number of shares to be forfeited based on such calculaton rounded to the nearest whole share. In the event of a partal forfeiture pursuant to this paragraph, all subsequent references to the defned term “NQ Opton” in this Award Certfcate shall be deemed to refer to the non-forfeited porton of the NQ Opton.</w:t>
      </w:r>
    </w:p>
    <w:p>
      <w:pPr>
        <w:spacing w:after="0" w:line="317" w:lineRule="exact"/>
        <w:rPr>
          <w:sz w:val="20"/>
          <w:szCs w:val="20"/>
          <w:color w:val="auto"/>
        </w:rPr>
      </w:pPr>
    </w:p>
    <w:p>
      <w:pPr>
        <w:spacing w:after="0"/>
        <w:rPr>
          <w:sz w:val="20"/>
          <w:szCs w:val="20"/>
          <w:color w:val="auto"/>
        </w:rPr>
      </w:pPr>
      <w:r>
        <w:rPr>
          <w:rFonts w:ascii="Calibri" w:cs="Calibri" w:eastAsia="Calibri" w:hAnsi="Calibri"/>
          <w:sz w:val="13"/>
          <w:szCs w:val="13"/>
          <w:color w:val="auto"/>
        </w:rPr>
        <w:t>In the event of the terminaton of your service relatonship with the Company, the NQ Opton shall vest and become exercisable in full on the date of such terminaton, and the period during</w:t>
      </w:r>
    </w:p>
    <w:p>
      <w:pPr>
        <w:spacing w:after="0" w:line="5" w:lineRule="exact"/>
        <w:rPr>
          <w:sz w:val="20"/>
          <w:szCs w:val="20"/>
          <w:color w:val="auto"/>
        </w:rPr>
      </w:pPr>
    </w:p>
    <w:p>
      <w:pPr>
        <w:ind w:right="240"/>
        <w:spacing w:after="0" w:line="242" w:lineRule="auto"/>
        <w:rPr>
          <w:sz w:val="20"/>
          <w:szCs w:val="20"/>
          <w:color w:val="auto"/>
        </w:rPr>
      </w:pPr>
      <w:r>
        <w:rPr>
          <w:rFonts w:ascii="Calibri" w:cs="Calibri" w:eastAsia="Calibri" w:hAnsi="Calibri"/>
          <w:sz w:val="13"/>
          <w:szCs w:val="13"/>
          <w:color w:val="auto"/>
        </w:rPr>
        <w:t xml:space="preserve">which the NQ Opton may be exercised (to the extent that it is exercisable on the date of such terminaton) shall be three years following the date of such terminaton, </w:t>
      </w:r>
      <w:r>
        <w:rPr>
          <w:rFonts w:ascii="Calibri" w:cs="Calibri" w:eastAsia="Calibri" w:hAnsi="Calibri"/>
          <w:sz w:val="13"/>
          <w:szCs w:val="13"/>
          <w:i w:val="1"/>
          <w:iCs w:val="1"/>
          <w:color w:val="auto"/>
        </w:rPr>
        <w:t>provided, however</w:t>
      </w:r>
      <w:r>
        <w:rPr>
          <w:rFonts w:ascii="Calibri" w:cs="Calibri" w:eastAsia="Calibri" w:hAnsi="Calibri"/>
          <w:sz w:val="13"/>
          <w:szCs w:val="13"/>
          <w:color w:val="auto"/>
        </w:rPr>
        <w:t>, that in no event shall such three-year period extend beyond the original term of the NQ Opton.</w:t>
      </w:r>
    </w:p>
    <w:p>
      <w:pPr>
        <w:spacing w:after="0" w:line="166" w:lineRule="exact"/>
        <w:rPr>
          <w:sz w:val="20"/>
          <w:szCs w:val="20"/>
          <w:color w:val="auto"/>
        </w:rPr>
      </w:pPr>
    </w:p>
    <w:p>
      <w:pPr>
        <w:ind w:right="40"/>
        <w:spacing w:after="0" w:line="242" w:lineRule="auto"/>
        <w:rPr>
          <w:sz w:val="20"/>
          <w:szCs w:val="20"/>
          <w:color w:val="auto"/>
        </w:rPr>
      </w:pPr>
      <w:r>
        <w:rPr>
          <w:rFonts w:ascii="Calibri" w:cs="Calibri" w:eastAsia="Calibri" w:hAnsi="Calibri"/>
          <w:sz w:val="13"/>
          <w:szCs w:val="13"/>
          <w:color w:val="auto"/>
        </w:rPr>
        <w:t>The grant of the NQ Opton does not infer any right to, or expectaton of, the grant of any additonal Optons or other Awards on the same basis or at all, in any future year. Partcipaton in the Plan shall in no way give you any rights to compensaton for any claim of loss in relaton to the Plan, including without limitaton: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234950</wp:posOffset>
            </wp:positionV>
            <wp:extent cx="72148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0" w:name="page91"/>
    <w:bookmarkEnd w:id="90"/>
    <w:p>
      <w:pPr>
        <w:ind w:left="1140" w:hanging="599"/>
        <w:spacing w:after="0"/>
        <w:tabs>
          <w:tab w:leader="none" w:pos="1140" w:val="left"/>
        </w:tabs>
        <w:numPr>
          <w:ilvl w:val="0"/>
          <w:numId w:val="92"/>
        </w:numPr>
        <w:rPr>
          <w:rFonts w:ascii="Calibri" w:cs="Calibri" w:eastAsia="Calibri" w:hAnsi="Calibri"/>
          <w:sz w:val="13"/>
          <w:szCs w:val="13"/>
          <w:color w:val="auto"/>
        </w:rPr>
      </w:pPr>
      <w:r>
        <w:rPr>
          <w:rFonts w:ascii="Calibri" w:cs="Calibri" w:eastAsia="Calibri" w:hAnsi="Calibri"/>
          <w:sz w:val="13"/>
          <w:szCs w:val="13"/>
          <w:color w:val="auto"/>
        </w:rPr>
        <w:t>any loss or reducton of any rights or expectatons under the Plan in any circumstances or for any reason;</w:t>
      </w:r>
    </w:p>
    <w:p>
      <w:pPr>
        <w:spacing w:after="0" w:line="156" w:lineRule="exact"/>
        <w:rPr>
          <w:rFonts w:ascii="Calibri" w:cs="Calibri" w:eastAsia="Calibri" w:hAnsi="Calibri"/>
          <w:sz w:val="13"/>
          <w:szCs w:val="13"/>
          <w:color w:val="auto"/>
        </w:rPr>
      </w:pPr>
    </w:p>
    <w:p>
      <w:pPr>
        <w:ind w:left="1180" w:hanging="621"/>
        <w:spacing w:after="0"/>
        <w:tabs>
          <w:tab w:leader="none" w:pos="1180" w:val="left"/>
        </w:tabs>
        <w:numPr>
          <w:ilvl w:val="1"/>
          <w:numId w:val="92"/>
        </w:numPr>
        <w:rPr>
          <w:rFonts w:ascii="Calibri" w:cs="Calibri" w:eastAsia="Calibri" w:hAnsi="Calibri"/>
          <w:sz w:val="13"/>
          <w:szCs w:val="13"/>
          <w:color w:val="auto"/>
        </w:rPr>
      </w:pPr>
      <w:r>
        <w:rPr>
          <w:rFonts w:ascii="Calibri" w:cs="Calibri" w:eastAsia="Calibri" w:hAnsi="Calibri"/>
          <w:sz w:val="13"/>
          <w:szCs w:val="13"/>
          <w:color w:val="auto"/>
        </w:rPr>
        <w:t>any exercise of a discreton or a decision taken in relaton to an Award or to the Plan, or any failure to exercise a discreton or take a decision; or</w:t>
      </w:r>
    </w:p>
    <w:p>
      <w:pPr>
        <w:spacing w:after="0" w:line="165" w:lineRule="exact"/>
        <w:rPr>
          <w:sz w:val="20"/>
          <w:szCs w:val="20"/>
          <w:color w:val="auto"/>
        </w:rPr>
      </w:pPr>
    </w:p>
    <w:p>
      <w:pPr>
        <w:ind w:left="1140" w:hanging="599"/>
        <w:spacing w:after="0"/>
        <w:tabs>
          <w:tab w:leader="none" w:pos="1140" w:val="left"/>
        </w:tabs>
        <w:numPr>
          <w:ilvl w:val="0"/>
          <w:numId w:val="93"/>
        </w:numPr>
        <w:rPr>
          <w:rFonts w:ascii="Calibri" w:cs="Calibri" w:eastAsia="Calibri" w:hAnsi="Calibri"/>
          <w:sz w:val="13"/>
          <w:szCs w:val="13"/>
          <w:color w:val="auto"/>
        </w:rPr>
      </w:pPr>
      <w:r>
        <w:rPr>
          <w:rFonts w:ascii="Calibri" w:cs="Calibri" w:eastAsia="Calibri" w:hAnsi="Calibri"/>
          <w:sz w:val="13"/>
          <w:szCs w:val="13"/>
          <w:color w:val="auto"/>
        </w:rPr>
        <w:t>the operaton, suspension, terminaton or amendment of the Plan.</w:t>
      </w:r>
    </w:p>
    <w:p>
      <w:pPr>
        <w:spacing w:after="0" w:line="167" w:lineRule="exact"/>
        <w:rPr>
          <w:sz w:val="20"/>
          <w:szCs w:val="20"/>
          <w:color w:val="auto"/>
        </w:rPr>
      </w:pPr>
    </w:p>
    <w:p>
      <w:pPr>
        <w:ind w:right="100"/>
        <w:spacing w:after="0" w:line="244" w:lineRule="auto"/>
        <w:rPr>
          <w:sz w:val="20"/>
          <w:szCs w:val="20"/>
          <w:color w:val="auto"/>
        </w:rPr>
      </w:pPr>
      <w:r>
        <w:rPr>
          <w:rFonts w:ascii="Calibri" w:cs="Calibri" w:eastAsia="Calibri" w:hAnsi="Calibri"/>
          <w:sz w:val="13"/>
          <w:szCs w:val="13"/>
          <w:color w:val="auto"/>
        </w:rPr>
        <w:t>Any controversy or claim arising out of or relatng to this Award Certfcate and/or the NQ Opton shall, to the fullest extent permited by law, be setled by arbitraton in any forum and form agreed upon by the partes or, in the absence of such an agreement, under the auspices of the American Arbitraton Associaton (“AAA”) in Boston, Massachusets, USA, in accordance with the rules and procedures of the AAA, including, but not limited to, the rules and procedures applicable to the selecton of arbitrators. Judgment upon the award rendered by the arbitrator may be entered in any court having jurisdicton thereof.</w:t>
      </w:r>
    </w:p>
    <w:p>
      <w:pPr>
        <w:spacing w:after="0" w:line="326" w:lineRule="exact"/>
        <w:rPr>
          <w:sz w:val="20"/>
          <w:szCs w:val="20"/>
          <w:color w:val="auto"/>
        </w:rPr>
      </w:pPr>
    </w:p>
    <w:p>
      <w:pPr>
        <w:ind w:right="580"/>
        <w:spacing w:after="0" w:line="243" w:lineRule="auto"/>
        <w:rPr>
          <w:sz w:val="20"/>
          <w:szCs w:val="20"/>
          <w:color w:val="auto"/>
        </w:rPr>
      </w:pPr>
      <w:r>
        <w:rPr>
          <w:rFonts w:ascii="Calibri" w:cs="Calibri" w:eastAsia="Calibri" w:hAnsi="Calibri"/>
          <w:sz w:val="13"/>
          <w:szCs w:val="13"/>
          <w:color w:val="auto"/>
        </w:rPr>
        <w:t>You may not be issued any Shares in respect of the NQ Opton unless either (i) the Shares are registered under the Securites Act of 1933, as amended (the “Securites Act”); or (ii) the Company has determined that such issuance would be exempt from the registraton requirements of the Securites Act. The NQ Opton also must comply with other applicable laws and regulatons governing the NQ Opton, and you will not receive such Shares if the Company determines that such receipt would not be in material compliance with such laws and regulatons.</w:t>
      </w:r>
    </w:p>
    <w:p>
      <w:pPr>
        <w:spacing w:after="0" w:line="166" w:lineRule="exact"/>
        <w:rPr>
          <w:sz w:val="20"/>
          <w:szCs w:val="20"/>
          <w:color w:val="auto"/>
        </w:rPr>
      </w:pPr>
    </w:p>
    <w:p>
      <w:pPr>
        <w:ind w:right="240"/>
        <w:spacing w:after="0" w:line="242" w:lineRule="auto"/>
        <w:rPr>
          <w:sz w:val="20"/>
          <w:szCs w:val="20"/>
          <w:color w:val="auto"/>
        </w:rPr>
      </w:pPr>
      <w:r>
        <w:rPr>
          <w:rFonts w:ascii="Calibri" w:cs="Calibri" w:eastAsia="Calibri" w:hAnsi="Calibri"/>
          <w:sz w:val="13"/>
          <w:szCs w:val="13"/>
          <w:color w:val="auto"/>
        </w:rPr>
        <w:t>The Company has no duty or obligaton to minimize the tax consequences to you of the NQ Opton and will not be liable to you for any adverse tax consequences to you arising in connecton with the NQ Opton. You are advised to consult with your own personal tax, fnancial and/or legal advisors regarding the tax consequences of the NQ Opton.</w:t>
      </w:r>
    </w:p>
    <w:p>
      <w:pPr>
        <w:spacing w:after="0" w:line="166" w:lineRule="exact"/>
        <w:rPr>
          <w:sz w:val="20"/>
          <w:szCs w:val="20"/>
          <w:color w:val="auto"/>
        </w:rPr>
      </w:pPr>
    </w:p>
    <w:p>
      <w:pPr>
        <w:spacing w:after="0" w:line="244" w:lineRule="auto"/>
        <w:rPr>
          <w:sz w:val="20"/>
          <w:szCs w:val="20"/>
          <w:color w:val="auto"/>
        </w:rPr>
      </w:pPr>
      <w:r>
        <w:rPr>
          <w:rFonts w:ascii="Calibri" w:cs="Calibri" w:eastAsia="Calibri" w:hAnsi="Calibri"/>
          <w:sz w:val="13"/>
          <w:szCs w:val="13"/>
          <w:color w:val="auto"/>
        </w:rPr>
        <w:t xml:space="preserve">This Award Certfcate may not be modifed or amended except in a writng signed by you and a duly authorized ofcer of the Company. Notwithstanding the foregoing, the Administrator reserves the right to modify or amend, by writen notce to you, the terms of the NQ Opton and/or this Award Certfcate in any way it may deem necessary or advisable (i) as a result of any change in applicable laws or regulatons, or any future law, regulaton, ruling, or judicial decision, in each case applicable to the NQ Opton, or (ii) for any other legal purpose, </w:t>
      </w:r>
      <w:r>
        <w:rPr>
          <w:rFonts w:ascii="Calibri" w:cs="Calibri" w:eastAsia="Calibri" w:hAnsi="Calibri"/>
          <w:sz w:val="13"/>
          <w:szCs w:val="13"/>
          <w:i w:val="1"/>
          <w:iCs w:val="1"/>
          <w:color w:val="auto"/>
        </w:rPr>
        <w:t>provided that</w:t>
      </w:r>
      <w:r>
        <w:rPr>
          <w:rFonts w:ascii="Calibri" w:cs="Calibri" w:eastAsia="Calibri" w:hAnsi="Calibri"/>
          <w:sz w:val="13"/>
          <w:szCs w:val="13"/>
          <w:color w:val="auto"/>
        </w:rPr>
        <w:t xml:space="preserve"> (in each case of (i) or (ii) above), no such modifcaton or amendment shall adversely afect your rights under the NQ Opton and/or this Award Certfcate without your writen consent.</w:t>
      </w:r>
    </w:p>
    <w:p>
      <w:pPr>
        <w:spacing w:after="0" w:line="163" w:lineRule="exact"/>
        <w:rPr>
          <w:sz w:val="20"/>
          <w:szCs w:val="20"/>
          <w:color w:val="auto"/>
        </w:rPr>
      </w:pPr>
    </w:p>
    <w:p>
      <w:pPr>
        <w:spacing w:after="0"/>
        <w:rPr>
          <w:sz w:val="20"/>
          <w:szCs w:val="20"/>
          <w:color w:val="auto"/>
        </w:rPr>
      </w:pPr>
      <w:r>
        <w:rPr>
          <w:rFonts w:ascii="Calibri" w:cs="Calibri" w:eastAsia="Calibri" w:hAnsi="Calibri"/>
          <w:sz w:val="13"/>
          <w:szCs w:val="13"/>
          <w:color w:val="auto"/>
        </w:rPr>
        <w:t>Alkermes plc</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color w:val="auto"/>
        </w:rPr>
        <w:t>___________________________________</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By:_________________ , _______________</w:t>
      </w:r>
    </w:p>
    <w:p>
      <w:pPr>
        <w:sectPr>
          <w:pgSz w:w="11900" w:h="16838" w:orient="portrait"/>
          <w:cols w:equalWidth="0" w:num="1">
            <w:col w:w="11280"/>
          </w:cols>
          <w:pgMar w:left="300" w:top="436" w:right="3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2"/>
          <w:szCs w:val="12"/>
          <w:b w:val="1"/>
          <w:bCs w:val="1"/>
          <w:color w:val="auto"/>
        </w:rPr>
        <w:t>Exhibit 10.1.2</w:t>
      </w:r>
    </w:p>
    <w:p>
      <w:pPr>
        <w:spacing w:after="0" w:line="15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2018 Plan Award Certfcate – Non-Employee Director New Director Grant Restricted Stock Unit (Time-Vestng)</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color w:val="auto"/>
        </w:rPr>
        <w:t>Alkermes plc</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Connaught House</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1 Burlington Road</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Dublin 4, Ireland</w:t>
      </w: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tcBorders>
          </w:tcPr>
          <w:p>
            <w:pPr>
              <w:spacing w:after="0"/>
              <w:rPr>
                <w:sz w:val="20"/>
                <w:szCs w:val="20"/>
                <w:color w:val="auto"/>
              </w:rPr>
            </w:pPr>
            <w:r>
              <w:rPr>
                <w:rFonts w:ascii="Calibri" w:cs="Calibri" w:eastAsia="Calibri" w:hAnsi="Calibri"/>
                <w:sz w:val="13"/>
                <w:szCs w:val="13"/>
                <w:color w:val="auto"/>
              </w:rPr>
              <w:t>Name:</w:t>
            </w:r>
          </w:p>
        </w:tc>
        <w:tc>
          <w:tcPr>
            <w:tcW w:w="10180" w:type="dxa"/>
            <w:vAlign w:val="bottom"/>
            <w:tcBorders>
              <w:top w:val="single" w:sz="8" w:color="auto"/>
              <w:right w:val="single" w:sz="8" w:color="auto"/>
            </w:tcBorders>
          </w:tcPr>
          <w:p>
            <w:pPr>
              <w:ind w:left="640"/>
              <w:spacing w:after="0"/>
              <w:rPr>
                <w:sz w:val="20"/>
                <w:szCs w:val="20"/>
                <w:color w:val="auto"/>
              </w:rPr>
            </w:pPr>
            <w:r>
              <w:rPr>
                <w:rFonts w:ascii="Calibri" w:cs="Calibri" w:eastAsia="Calibri" w:hAnsi="Calibri"/>
                <w:sz w:val="13"/>
                <w:szCs w:val="13"/>
                <w:color w:val="auto"/>
              </w:rPr>
              <w:t>Partcipant Name</w:t>
            </w:r>
          </w:p>
        </w:tc>
      </w:tr>
      <w:tr>
        <w:trPr>
          <w:trHeight w:val="307"/>
        </w:trPr>
        <w:tc>
          <w:tcPr>
            <w:tcW w:w="1140" w:type="dxa"/>
            <w:vAlign w:val="bottom"/>
            <w:tcBorders>
              <w:left w:val="single" w:sz="8" w:color="auto"/>
            </w:tcBorders>
          </w:tcPr>
          <w:p>
            <w:pPr>
              <w:spacing w:after="0"/>
              <w:rPr>
                <w:sz w:val="20"/>
                <w:szCs w:val="20"/>
                <w:color w:val="auto"/>
              </w:rPr>
            </w:pPr>
            <w:r>
              <w:rPr>
                <w:rFonts w:ascii="Calibri" w:cs="Calibri" w:eastAsia="Calibri" w:hAnsi="Calibri"/>
                <w:sz w:val="13"/>
                <w:szCs w:val="13"/>
                <w:color w:val="auto"/>
              </w:rPr>
              <w:t>Address:</w:t>
            </w:r>
          </w:p>
        </w:tc>
        <w:tc>
          <w:tcPr>
            <w:tcW w:w="10180" w:type="dxa"/>
            <w:vAlign w:val="bottom"/>
            <w:tcBorders>
              <w:right w:val="single" w:sz="8" w:color="auto"/>
            </w:tcBorders>
          </w:tcPr>
          <w:p>
            <w:pPr>
              <w:ind w:left="640"/>
              <w:spacing w:after="0"/>
              <w:rPr>
                <w:sz w:val="20"/>
                <w:szCs w:val="20"/>
                <w:color w:val="auto"/>
              </w:rPr>
            </w:pPr>
            <w:r>
              <w:rPr>
                <w:rFonts w:ascii="Calibri" w:cs="Calibri" w:eastAsia="Calibri" w:hAnsi="Calibri"/>
                <w:sz w:val="13"/>
                <w:szCs w:val="13"/>
                <w:color w:val="auto"/>
              </w:rPr>
              <w:t>Partcipant Address</w:t>
            </w:r>
          </w:p>
        </w:tc>
      </w:tr>
      <w:tr>
        <w:trPr>
          <w:trHeight w:val="324"/>
        </w:trPr>
        <w:tc>
          <w:tcPr>
            <w:tcW w:w="1140" w:type="dxa"/>
            <w:vAlign w:val="bottom"/>
            <w:tcBorders>
              <w:left w:val="single" w:sz="8" w:color="auto"/>
            </w:tcBorders>
          </w:tcPr>
          <w:p>
            <w:pPr>
              <w:spacing w:after="0"/>
              <w:rPr>
                <w:sz w:val="20"/>
                <w:szCs w:val="20"/>
                <w:color w:val="auto"/>
              </w:rPr>
            </w:pPr>
            <w:r>
              <w:rPr>
                <w:rFonts w:ascii="Calibri" w:cs="Calibri" w:eastAsia="Calibri" w:hAnsi="Calibri"/>
                <w:sz w:val="13"/>
                <w:szCs w:val="13"/>
                <w:color w:val="auto"/>
              </w:rPr>
              <w:t>Grant ID:</w:t>
            </w:r>
          </w:p>
        </w:tc>
        <w:tc>
          <w:tcPr>
            <w:tcW w:w="10180" w:type="dxa"/>
            <w:vAlign w:val="bottom"/>
            <w:tcBorders>
              <w:right w:val="single" w:sz="8" w:color="auto"/>
            </w:tcBorders>
          </w:tcPr>
          <w:p>
            <w:pPr>
              <w:ind w:left="640"/>
              <w:spacing w:after="0"/>
              <w:rPr>
                <w:sz w:val="20"/>
                <w:szCs w:val="20"/>
                <w:color w:val="auto"/>
              </w:rPr>
            </w:pPr>
            <w:r>
              <w:rPr>
                <w:rFonts w:ascii="Calibri" w:cs="Calibri" w:eastAsia="Calibri" w:hAnsi="Calibri"/>
                <w:sz w:val="13"/>
                <w:szCs w:val="13"/>
                <w:color w:val="auto"/>
              </w:rPr>
              <w:t>Grant ID</w:t>
            </w:r>
          </w:p>
        </w:tc>
      </w:tr>
      <w:tr>
        <w:trPr>
          <w:trHeight w:val="324"/>
        </w:trPr>
        <w:tc>
          <w:tcPr>
            <w:tcW w:w="1140" w:type="dxa"/>
            <w:vAlign w:val="bottom"/>
            <w:tcBorders>
              <w:left w:val="single" w:sz="8" w:color="auto"/>
            </w:tcBorders>
          </w:tcPr>
          <w:p>
            <w:pPr>
              <w:spacing w:after="0"/>
              <w:rPr>
                <w:sz w:val="20"/>
                <w:szCs w:val="20"/>
                <w:color w:val="auto"/>
              </w:rPr>
            </w:pPr>
            <w:r>
              <w:rPr>
                <w:rFonts w:ascii="Calibri" w:cs="Calibri" w:eastAsia="Calibri" w:hAnsi="Calibri"/>
                <w:sz w:val="13"/>
                <w:szCs w:val="13"/>
                <w:color w:val="auto"/>
              </w:rPr>
              <w:t>Plan:</w:t>
            </w:r>
          </w:p>
        </w:tc>
        <w:tc>
          <w:tcPr>
            <w:tcW w:w="10180" w:type="dxa"/>
            <w:vAlign w:val="bottom"/>
            <w:tcBorders>
              <w:right w:val="single" w:sz="8" w:color="auto"/>
            </w:tcBorders>
          </w:tcPr>
          <w:p>
            <w:pPr>
              <w:ind w:left="640"/>
              <w:spacing w:after="0"/>
              <w:rPr>
                <w:sz w:val="20"/>
                <w:szCs w:val="20"/>
                <w:color w:val="auto"/>
              </w:rPr>
            </w:pPr>
            <w:r>
              <w:rPr>
                <w:rFonts w:ascii="Calibri" w:cs="Calibri" w:eastAsia="Calibri" w:hAnsi="Calibri"/>
                <w:sz w:val="13"/>
                <w:szCs w:val="13"/>
                <w:color w:val="auto"/>
              </w:rPr>
              <w:t>Plan ID</w:t>
            </w:r>
          </w:p>
        </w:tc>
      </w:tr>
      <w:tr>
        <w:trPr>
          <w:trHeight w:val="324"/>
        </w:trPr>
        <w:tc>
          <w:tcPr>
            <w:tcW w:w="1140" w:type="dxa"/>
            <w:vAlign w:val="bottom"/>
            <w:tcBorders>
              <w:left w:val="single" w:sz="8" w:color="auto"/>
            </w:tcBorders>
          </w:tcPr>
          <w:p>
            <w:pPr>
              <w:spacing w:after="0"/>
              <w:rPr>
                <w:sz w:val="20"/>
                <w:szCs w:val="20"/>
                <w:color w:val="auto"/>
              </w:rPr>
            </w:pPr>
            <w:r>
              <w:rPr>
                <w:rFonts w:ascii="Calibri" w:cs="Calibri" w:eastAsia="Calibri" w:hAnsi="Calibri"/>
                <w:sz w:val="13"/>
                <w:szCs w:val="13"/>
                <w:color w:val="auto"/>
              </w:rPr>
              <w:t>ID:</w:t>
            </w:r>
          </w:p>
        </w:tc>
        <w:tc>
          <w:tcPr>
            <w:tcW w:w="10180" w:type="dxa"/>
            <w:vAlign w:val="bottom"/>
            <w:tcBorders>
              <w:right w:val="single" w:sz="8" w:color="auto"/>
            </w:tcBorders>
          </w:tcPr>
          <w:p>
            <w:pPr>
              <w:ind w:left="640"/>
              <w:spacing w:after="0"/>
              <w:rPr>
                <w:sz w:val="20"/>
                <w:szCs w:val="20"/>
                <w:color w:val="auto"/>
              </w:rPr>
            </w:pPr>
            <w:r>
              <w:rPr>
                <w:rFonts w:ascii="Calibri" w:cs="Calibri" w:eastAsia="Calibri" w:hAnsi="Calibri"/>
                <w:sz w:val="13"/>
                <w:szCs w:val="13"/>
                <w:color w:val="auto"/>
              </w:rPr>
              <w:t>Grantee ID</w:t>
            </w:r>
          </w:p>
        </w:tc>
      </w:tr>
      <w:tr>
        <w:trPr>
          <w:trHeight w:val="22"/>
        </w:trPr>
        <w:tc>
          <w:tcPr>
            <w:tcW w:w="1140" w:type="dxa"/>
            <w:vAlign w:val="bottom"/>
            <w:tcBorders>
              <w:left w:val="single" w:sz="8" w:color="auto"/>
              <w:bottom w:val="single" w:sz="8" w:color="auto"/>
            </w:tcBorders>
          </w:tcPr>
          <w:p>
            <w:pPr>
              <w:spacing w:after="0" w:line="20" w:lineRule="exact"/>
              <w:rPr>
                <w:sz w:val="1"/>
                <w:szCs w:val="1"/>
                <w:color w:val="auto"/>
              </w:rPr>
            </w:pPr>
          </w:p>
        </w:tc>
        <w:tc>
          <w:tcPr>
            <w:tcW w:w="10180" w:type="dxa"/>
            <w:vAlign w:val="bottom"/>
            <w:tcBorders>
              <w:bottom w:val="single" w:sz="8" w:color="auto"/>
              <w:right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right="200"/>
        <w:spacing w:after="0" w:line="242" w:lineRule="auto"/>
        <w:rPr>
          <w:sz w:val="20"/>
          <w:szCs w:val="20"/>
          <w:color w:val="auto"/>
        </w:rPr>
      </w:pPr>
      <w:r>
        <w:rPr>
          <w:rFonts w:ascii="Calibri" w:cs="Calibri" w:eastAsia="Calibri" w:hAnsi="Calibri"/>
          <w:sz w:val="13"/>
          <w:szCs w:val="13"/>
          <w:color w:val="auto"/>
        </w:rPr>
        <w:t>Efectve [Grant Date] (the “Grant Date”), you have been granted a tme-vestng restricted stock unit award (the "RSU"). The RSU is for a total of [Award Grant Amount] ordinary shares, par value $0.01 per share (the “Shares”), of Alkermes plc (the “Company”).</w:t>
      </w:r>
    </w:p>
    <w:p>
      <w:pPr>
        <w:spacing w:after="0" w:line="166" w:lineRule="exact"/>
        <w:rPr>
          <w:sz w:val="20"/>
          <w:szCs w:val="20"/>
          <w:color w:val="auto"/>
        </w:rPr>
      </w:pPr>
    </w:p>
    <w:p>
      <w:pPr>
        <w:ind w:right="120"/>
        <w:spacing w:after="0" w:line="244" w:lineRule="auto"/>
        <w:rPr>
          <w:sz w:val="20"/>
          <w:szCs w:val="20"/>
          <w:color w:val="auto"/>
        </w:rPr>
      </w:pPr>
      <w:r>
        <w:rPr>
          <w:rFonts w:ascii="Calibri" w:cs="Calibri" w:eastAsia="Calibri" w:hAnsi="Calibri"/>
          <w:sz w:val="13"/>
          <w:szCs w:val="13"/>
          <w:color w:val="auto"/>
        </w:rPr>
        <w:t>The RSU was granted under the Alkermes plc 2018 Stock Opton and Incentve Plan (the “Plan”) and is governed by the terms and conditons thereof and of this award certfcate (this “Award Certfcate”). A copy of the Plan is available upon request. Unless otherwise defned in this Award Certfcate, all capitalized terms used in this Award Certfcate shall have the respectve meanings ascribed to them in the Plan.</w:t>
      </w:r>
    </w:p>
    <w:p>
      <w:pPr>
        <w:spacing w:after="0" w:line="324" w:lineRule="exact"/>
        <w:rPr>
          <w:sz w:val="20"/>
          <w:szCs w:val="20"/>
          <w:color w:val="auto"/>
        </w:rPr>
      </w:pPr>
    </w:p>
    <w:p>
      <w:pPr>
        <w:spacing w:after="0"/>
        <w:rPr>
          <w:sz w:val="20"/>
          <w:szCs w:val="20"/>
          <w:color w:val="auto"/>
        </w:rPr>
      </w:pPr>
      <w:r>
        <w:rPr>
          <w:rFonts w:ascii="Calibri" w:cs="Calibri" w:eastAsia="Calibri" w:hAnsi="Calibri"/>
          <w:sz w:val="13"/>
          <w:szCs w:val="13"/>
          <w:color w:val="auto"/>
        </w:rPr>
        <w:t>Vestng details for the RSU are available via your Bank of America Merrill Lynch Benefts Online account.</w:t>
      </w:r>
    </w:p>
    <w:p>
      <w:pPr>
        <w:spacing w:after="0" w:line="158" w:lineRule="exact"/>
        <w:rPr>
          <w:sz w:val="20"/>
          <w:szCs w:val="20"/>
          <w:color w:val="auto"/>
        </w:rPr>
      </w:pPr>
    </w:p>
    <w:p>
      <w:pPr>
        <w:ind w:right="160"/>
        <w:spacing w:after="0" w:line="244" w:lineRule="auto"/>
        <w:rPr>
          <w:sz w:val="20"/>
          <w:szCs w:val="20"/>
          <w:color w:val="auto"/>
        </w:rPr>
      </w:pPr>
      <w:r>
        <w:rPr>
          <w:rFonts w:ascii="Calibri" w:cs="Calibri" w:eastAsia="Calibri" w:hAnsi="Calibri"/>
          <w:sz w:val="13"/>
          <w:szCs w:val="13"/>
          <w:color w:val="auto"/>
        </w:rPr>
        <w:t>You must be in a service relatonship with the Company on each vestng date in order to receive the Shares that vest on each such date. The Company will deliver to you a number of Shares equal to the number of vested Shares underlying your RSU, subject to the satsfacton of tax withholding obligatons as set forth in the Plan, within three business days of each applicable vestng date. Delivery of the Shares in setlement of your RSU is intended to comply with the requirements for the short-term deferral exempton available under Treasury Regulatons Secton 1.409A-1(b)(4) and shall be construed and administered in such manner.</w:t>
      </w:r>
    </w:p>
    <w:p>
      <w:pPr>
        <w:spacing w:after="0" w:line="317" w:lineRule="exact"/>
        <w:rPr>
          <w:sz w:val="20"/>
          <w:szCs w:val="20"/>
          <w:color w:val="auto"/>
        </w:rPr>
      </w:pPr>
    </w:p>
    <w:p>
      <w:pPr>
        <w:ind w:right="80"/>
        <w:spacing w:after="0" w:line="244" w:lineRule="auto"/>
        <w:rPr>
          <w:sz w:val="20"/>
          <w:szCs w:val="20"/>
          <w:color w:val="auto"/>
        </w:rPr>
      </w:pPr>
      <w:r>
        <w:rPr>
          <w:rFonts w:ascii="Calibri" w:cs="Calibri" w:eastAsia="Calibri" w:hAnsi="Calibri"/>
          <w:sz w:val="13"/>
          <w:szCs w:val="13"/>
          <w:color w:val="auto"/>
        </w:rPr>
        <w:t>In the event your service relatonship with the Company is terminated as a result of the shareholders of the Company not electng or re-electng you, as the case may be, to the Company’s board of directors at the frst annual general meetng of the Company’s shareholders at which your nominaton as a director is voted upon by the Company’s shareholders, the RSU shall be subject to partal forfeiture efectve upon such terminaton, with the percentage of shares underlying the RSU that are to be forfeited equal to the number of days remaining in the full vestng period for the RSU (as measured on the date of such terminaton), divided by the total number of days in the full vestng period for the RSU, with the number of shares to be forfeited based on such calculaton rounded to the nearest whole share. In the event of a partal forfeiture pursuant to this paragraph, all subsequent references to the defned term “RSU” in this Award Certfcate shall be deemed to refer to the non-forfeited porton of the RSU.</w:t>
      </w:r>
    </w:p>
    <w:p>
      <w:pPr>
        <w:spacing w:after="0" w:line="155" w:lineRule="exact"/>
        <w:rPr>
          <w:sz w:val="20"/>
          <w:szCs w:val="20"/>
          <w:color w:val="auto"/>
        </w:rPr>
      </w:pPr>
    </w:p>
    <w:p>
      <w:pPr>
        <w:spacing w:after="0"/>
        <w:rPr>
          <w:sz w:val="20"/>
          <w:szCs w:val="20"/>
          <w:color w:val="auto"/>
        </w:rPr>
      </w:pPr>
      <w:r>
        <w:rPr>
          <w:rFonts w:ascii="Calibri" w:cs="Calibri" w:eastAsia="Calibri" w:hAnsi="Calibri"/>
          <w:sz w:val="13"/>
          <w:szCs w:val="13"/>
          <w:color w:val="auto"/>
        </w:rPr>
        <w:t>In the event of the terminaton of your service relatonship with the Company, the RSU shall automatcally vest in full, efectve upon such terminaton.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332740</wp:posOffset>
            </wp:positionV>
            <wp:extent cx="721487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2" w:name="page93"/>
    <w:bookmarkEnd w:id="92"/>
    <w:p>
      <w:pPr>
        <w:ind w:right="40"/>
        <w:spacing w:after="0" w:line="242" w:lineRule="auto"/>
        <w:rPr>
          <w:sz w:val="20"/>
          <w:szCs w:val="20"/>
          <w:color w:val="auto"/>
        </w:rPr>
      </w:pPr>
      <w:r>
        <w:rPr>
          <w:rFonts w:ascii="Calibri" w:cs="Calibri" w:eastAsia="Calibri" w:hAnsi="Calibri"/>
          <w:sz w:val="13"/>
          <w:szCs w:val="13"/>
          <w:color w:val="auto"/>
        </w:rPr>
        <w:t>The grant of the RSU does not infer any right to, or expectaton of, the grant of any additonal Awards on the same basis or at all, in any future year. Partcipaton in the Plan shall in no way give you any rights to compensaton for any claim of loss in relaton to the Plan, including without limitaton:</w:t>
      </w:r>
    </w:p>
    <w:p>
      <w:pPr>
        <w:spacing w:after="0" w:line="164" w:lineRule="exact"/>
        <w:rPr>
          <w:sz w:val="20"/>
          <w:szCs w:val="20"/>
          <w:color w:val="auto"/>
        </w:rPr>
      </w:pPr>
    </w:p>
    <w:p>
      <w:pPr>
        <w:ind w:left="1360" w:hanging="747"/>
        <w:spacing w:after="0"/>
        <w:tabs>
          <w:tab w:leader="none" w:pos="1360" w:val="left"/>
        </w:tabs>
        <w:numPr>
          <w:ilvl w:val="0"/>
          <w:numId w:val="94"/>
        </w:numPr>
        <w:rPr>
          <w:rFonts w:ascii="Calibri" w:cs="Calibri" w:eastAsia="Calibri" w:hAnsi="Calibri"/>
          <w:sz w:val="13"/>
          <w:szCs w:val="13"/>
          <w:color w:val="auto"/>
        </w:rPr>
      </w:pPr>
      <w:r>
        <w:rPr>
          <w:rFonts w:ascii="Calibri" w:cs="Calibri" w:eastAsia="Calibri" w:hAnsi="Calibri"/>
          <w:sz w:val="13"/>
          <w:szCs w:val="13"/>
          <w:color w:val="auto"/>
        </w:rPr>
        <w:t>any loss or reducton of any rights or expectatons under the Plan in any circumstances or for any reason;</w:t>
      </w:r>
    </w:p>
    <w:p>
      <w:pPr>
        <w:spacing w:after="0" w:line="167" w:lineRule="exact"/>
        <w:rPr>
          <w:rFonts w:ascii="Calibri" w:cs="Calibri" w:eastAsia="Calibri" w:hAnsi="Calibri"/>
          <w:sz w:val="13"/>
          <w:szCs w:val="13"/>
          <w:color w:val="auto"/>
        </w:rPr>
      </w:pPr>
    </w:p>
    <w:p>
      <w:pPr>
        <w:ind w:left="1360" w:right="3920" w:hanging="747"/>
        <w:spacing w:after="0" w:line="242" w:lineRule="auto"/>
        <w:tabs>
          <w:tab w:leader="none" w:pos="1360" w:val="left"/>
        </w:tabs>
        <w:numPr>
          <w:ilvl w:val="0"/>
          <w:numId w:val="94"/>
        </w:numPr>
        <w:rPr>
          <w:rFonts w:ascii="Calibri" w:cs="Calibri" w:eastAsia="Calibri" w:hAnsi="Calibri"/>
          <w:sz w:val="13"/>
          <w:szCs w:val="13"/>
          <w:color w:val="auto"/>
        </w:rPr>
      </w:pPr>
      <w:r>
        <w:rPr>
          <w:rFonts w:ascii="Calibri" w:cs="Calibri" w:eastAsia="Calibri" w:hAnsi="Calibri"/>
          <w:sz w:val="13"/>
          <w:szCs w:val="13"/>
          <w:color w:val="auto"/>
        </w:rPr>
        <w:t>any exercise of a discreton or a decision taken in relaton to an Award or to the Plan, or any failure to exercise a discreton or take a decision; or</w:t>
      </w:r>
    </w:p>
    <w:p>
      <w:pPr>
        <w:spacing w:after="0" w:line="164" w:lineRule="exact"/>
        <w:rPr>
          <w:rFonts w:ascii="Calibri" w:cs="Calibri" w:eastAsia="Calibri" w:hAnsi="Calibri"/>
          <w:sz w:val="13"/>
          <w:szCs w:val="13"/>
          <w:color w:val="auto"/>
        </w:rPr>
      </w:pPr>
    </w:p>
    <w:p>
      <w:pPr>
        <w:ind w:left="1360" w:hanging="747"/>
        <w:spacing w:after="0"/>
        <w:tabs>
          <w:tab w:leader="none" w:pos="1360" w:val="left"/>
        </w:tabs>
        <w:numPr>
          <w:ilvl w:val="0"/>
          <w:numId w:val="94"/>
        </w:numPr>
        <w:rPr>
          <w:rFonts w:ascii="Calibri" w:cs="Calibri" w:eastAsia="Calibri" w:hAnsi="Calibri"/>
          <w:sz w:val="13"/>
          <w:szCs w:val="13"/>
          <w:color w:val="auto"/>
        </w:rPr>
      </w:pPr>
      <w:r>
        <w:rPr>
          <w:rFonts w:ascii="Calibri" w:cs="Calibri" w:eastAsia="Calibri" w:hAnsi="Calibri"/>
          <w:sz w:val="13"/>
          <w:szCs w:val="13"/>
          <w:color w:val="auto"/>
        </w:rPr>
        <w:t>the operaton, suspension, terminaton or amendment of the Plan.</w:t>
      </w:r>
    </w:p>
    <w:p>
      <w:pPr>
        <w:spacing w:after="0" w:line="167" w:lineRule="exact"/>
        <w:rPr>
          <w:sz w:val="20"/>
          <w:szCs w:val="20"/>
          <w:color w:val="auto"/>
        </w:rPr>
      </w:pPr>
    </w:p>
    <w:p>
      <w:pPr>
        <w:ind w:right="60"/>
        <w:spacing w:after="0" w:line="243" w:lineRule="auto"/>
        <w:rPr>
          <w:sz w:val="20"/>
          <w:szCs w:val="20"/>
          <w:color w:val="auto"/>
        </w:rPr>
      </w:pPr>
      <w:r>
        <w:rPr>
          <w:rFonts w:ascii="Calibri" w:cs="Calibri" w:eastAsia="Calibri" w:hAnsi="Calibri"/>
          <w:sz w:val="13"/>
          <w:szCs w:val="13"/>
          <w:color w:val="auto"/>
        </w:rPr>
        <w:t>Any controversy or claim arising out of or relatng to this Award Certfcate and/or the RSU shall, to the fullest extent permited by law, be setled by arbitraton in any forum and form agreed upon by the partes or, in the absence of such an agreement, under the auspices of the American Arbitraton Associaton (“AAA”) in Boston, Massachusets, USA, in accordance with the rules and procedures of the AAA, including, but not limited to, the rules and procedures applicable to the selecton of arbitrators. Judgment upon the award rendered by the arbitrator may be entered in any court having jurisdicton thereof.</w:t>
      </w:r>
    </w:p>
    <w:p>
      <w:pPr>
        <w:spacing w:after="0" w:line="166" w:lineRule="exact"/>
        <w:rPr>
          <w:sz w:val="20"/>
          <w:szCs w:val="20"/>
          <w:color w:val="auto"/>
        </w:rPr>
      </w:pPr>
    </w:p>
    <w:p>
      <w:pPr>
        <w:ind w:right="20"/>
        <w:spacing w:after="0" w:line="243" w:lineRule="auto"/>
        <w:rPr>
          <w:sz w:val="20"/>
          <w:szCs w:val="20"/>
          <w:color w:val="auto"/>
        </w:rPr>
      </w:pPr>
      <w:r>
        <w:rPr>
          <w:rFonts w:ascii="Calibri" w:cs="Calibri" w:eastAsia="Calibri" w:hAnsi="Calibri"/>
          <w:sz w:val="13"/>
          <w:szCs w:val="13"/>
          <w:color w:val="auto"/>
        </w:rPr>
        <w:t>You may not be issued any Shares in respect of the RSU unless either (i) the Shares are registered under the Securites Act of 1933, as amended (the “Securites Act”); or (ii) the Company has determined that such issuance would be exempt from the registraton requirements of the Securites Act. The RSU also must comply with other applicable laws and regulatons governing the RSU, and you will not receive such Shares if the Company determines that such receipt would not be in material compliance with such laws and regulatons.</w:t>
      </w:r>
    </w:p>
    <w:p>
      <w:pPr>
        <w:spacing w:after="0" w:line="166" w:lineRule="exact"/>
        <w:rPr>
          <w:sz w:val="20"/>
          <w:szCs w:val="20"/>
          <w:color w:val="auto"/>
        </w:rPr>
      </w:pPr>
    </w:p>
    <w:p>
      <w:pPr>
        <w:ind w:right="100"/>
        <w:spacing w:after="0" w:line="242" w:lineRule="auto"/>
        <w:rPr>
          <w:sz w:val="20"/>
          <w:szCs w:val="20"/>
          <w:color w:val="auto"/>
        </w:rPr>
      </w:pPr>
      <w:r>
        <w:rPr>
          <w:rFonts w:ascii="Calibri" w:cs="Calibri" w:eastAsia="Calibri" w:hAnsi="Calibri"/>
          <w:sz w:val="13"/>
          <w:szCs w:val="13"/>
          <w:color w:val="auto"/>
        </w:rPr>
        <w:t>The Company has no duty or obligaton to minimize the tax consequences to you of the RSU and will not be liable to you for any adverse tax consequences to you arising in connecton with the RSU. You are advised to consult with your own personal tax, fnancial and/or legal advisors regarding the tax consequences of the RSU.</w:t>
      </w:r>
    </w:p>
    <w:p>
      <w:pPr>
        <w:spacing w:after="0" w:line="166" w:lineRule="exact"/>
        <w:rPr>
          <w:sz w:val="20"/>
          <w:szCs w:val="20"/>
          <w:color w:val="auto"/>
        </w:rPr>
      </w:pPr>
    </w:p>
    <w:p>
      <w:pPr>
        <w:spacing w:after="0" w:line="244" w:lineRule="auto"/>
        <w:rPr>
          <w:sz w:val="20"/>
          <w:szCs w:val="20"/>
          <w:color w:val="auto"/>
        </w:rPr>
      </w:pPr>
      <w:r>
        <w:rPr>
          <w:rFonts w:ascii="Calibri" w:cs="Calibri" w:eastAsia="Calibri" w:hAnsi="Calibri"/>
          <w:sz w:val="13"/>
          <w:szCs w:val="13"/>
          <w:color w:val="auto"/>
        </w:rPr>
        <w:t xml:space="preserve">This Award Certfcate may not be modifed or amended except in a writng signed by you and a duly authorized ofcer of the Company. Notwithstanding the foregoing, the Administrator reserves the right to modify or amend, by writen notce to you, the terms of the RSU and/or this Award Certfcate in any way it may deem necessary or advisable (i) as a result of any change in applicable laws or regulatons, or any future law, regulaton, ruling, or judicial decision, in each case applicable to the RSU, or (ii) for any other legal purpose, </w:t>
      </w:r>
      <w:r>
        <w:rPr>
          <w:rFonts w:ascii="Calibri" w:cs="Calibri" w:eastAsia="Calibri" w:hAnsi="Calibri"/>
          <w:sz w:val="13"/>
          <w:szCs w:val="13"/>
          <w:i w:val="1"/>
          <w:iCs w:val="1"/>
          <w:color w:val="auto"/>
        </w:rPr>
        <w:t>provided that</w:t>
      </w:r>
      <w:r>
        <w:rPr>
          <w:rFonts w:ascii="Calibri" w:cs="Calibri" w:eastAsia="Calibri" w:hAnsi="Calibri"/>
          <w:sz w:val="13"/>
          <w:szCs w:val="13"/>
          <w:color w:val="auto"/>
        </w:rPr>
        <w:t xml:space="preserve"> (in each case of (i) or (ii) above), no such modifcaton or amendment shall adversely afect your rights under the RSU and/or this Award Certfcate without your writen consent.</w:t>
      </w:r>
    </w:p>
    <w:p>
      <w:pPr>
        <w:spacing w:after="0" w:line="163" w:lineRule="exact"/>
        <w:rPr>
          <w:sz w:val="20"/>
          <w:szCs w:val="20"/>
          <w:color w:val="auto"/>
        </w:rPr>
      </w:pPr>
    </w:p>
    <w:p>
      <w:pPr>
        <w:spacing w:after="0"/>
        <w:rPr>
          <w:sz w:val="20"/>
          <w:szCs w:val="20"/>
          <w:color w:val="auto"/>
        </w:rPr>
      </w:pPr>
      <w:r>
        <w:rPr>
          <w:rFonts w:ascii="Calibri" w:cs="Calibri" w:eastAsia="Calibri" w:hAnsi="Calibri"/>
          <w:sz w:val="13"/>
          <w:szCs w:val="13"/>
          <w:color w:val="auto"/>
        </w:rPr>
        <w:t>Alkermes plc</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color w:val="auto"/>
        </w:rPr>
        <w:t>___________________________________</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By:_________________ , _______________</w:t>
      </w:r>
    </w:p>
    <w:p>
      <w:pPr>
        <w:sectPr>
          <w:pgSz w:w="11900" w:h="16838" w:orient="portrait"/>
          <w:cols w:equalWidth="0" w:num="1">
            <w:col w:w="11280"/>
          </w:cols>
          <w:pgMar w:left="300" w:top="429"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Richard F. Pops, certify that:</w:t>
      </w:r>
    </w:p>
    <w:p>
      <w:pPr>
        <w:spacing w:after="0" w:line="150" w:lineRule="exact"/>
        <w:rPr>
          <w:sz w:val="20"/>
          <w:szCs w:val="20"/>
          <w:color w:val="auto"/>
        </w:rPr>
      </w:pPr>
    </w:p>
    <w:p>
      <w:pPr>
        <w:ind w:left="880" w:hanging="519"/>
        <w:spacing w:after="0"/>
        <w:tabs>
          <w:tab w:leader="none" w:pos="8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Alkermes plc;</w:t>
      </w:r>
    </w:p>
    <w:p>
      <w:pPr>
        <w:spacing w:after="0" w:line="159" w:lineRule="exact"/>
        <w:rPr>
          <w:rFonts w:ascii="Times New Roman" w:cs="Times New Roman" w:eastAsia="Times New Roman" w:hAnsi="Times New Roman"/>
          <w:sz w:val="12"/>
          <w:szCs w:val="12"/>
          <w:color w:val="auto"/>
        </w:rPr>
      </w:pPr>
    </w:p>
    <w:p>
      <w:pPr>
        <w:ind w:left="880" w:right="320" w:hanging="519"/>
        <w:spacing w:after="0" w:line="279" w:lineRule="auto"/>
        <w:tabs>
          <w:tab w:leader="none" w:pos="8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880" w:right="400" w:hanging="519"/>
        <w:spacing w:after="0" w:line="279" w:lineRule="auto"/>
        <w:tabs>
          <w:tab w:leader="none" w:pos="8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12"/>
          <w:szCs w:val="12"/>
          <w:color w:val="auto"/>
        </w:rPr>
      </w:pPr>
    </w:p>
    <w:p>
      <w:pPr>
        <w:ind w:left="880" w:right="240" w:hanging="519"/>
        <w:spacing w:after="0" w:line="279" w:lineRule="auto"/>
        <w:tabs>
          <w:tab w:leader="none" w:pos="8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12"/>
          <w:szCs w:val="12"/>
          <w:color w:val="auto"/>
        </w:rPr>
      </w:pPr>
    </w:p>
    <w:p>
      <w:pPr>
        <w:ind w:left="1480" w:right="220" w:hanging="363"/>
        <w:spacing w:after="0" w:line="279" w:lineRule="auto"/>
        <w:tabs>
          <w:tab w:leader="none" w:pos="1480"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Times New Roman" w:cs="Times New Roman" w:eastAsia="Times New Roman" w:hAnsi="Times New Roman"/>
          <w:sz w:val="12"/>
          <w:szCs w:val="12"/>
          <w:color w:val="auto"/>
        </w:rPr>
      </w:pPr>
    </w:p>
    <w:p>
      <w:pPr>
        <w:ind w:left="1480" w:right="440" w:hanging="363"/>
        <w:spacing w:after="0" w:line="279" w:lineRule="auto"/>
        <w:tabs>
          <w:tab w:leader="none" w:pos="1480"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12"/>
          <w:szCs w:val="12"/>
          <w:color w:val="auto"/>
        </w:rPr>
      </w:pPr>
    </w:p>
    <w:p>
      <w:pPr>
        <w:ind w:left="1480" w:right="40" w:hanging="363"/>
        <w:spacing w:after="0" w:line="279" w:lineRule="auto"/>
        <w:tabs>
          <w:tab w:leader="none" w:pos="1480"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12"/>
          <w:szCs w:val="12"/>
          <w:color w:val="auto"/>
        </w:rPr>
      </w:pPr>
    </w:p>
    <w:p>
      <w:pPr>
        <w:ind w:left="1480" w:right="80" w:hanging="363"/>
        <w:spacing w:after="0" w:line="279" w:lineRule="auto"/>
        <w:tabs>
          <w:tab w:leader="none" w:pos="1480"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12"/>
          <w:szCs w:val="12"/>
          <w:color w:val="auto"/>
        </w:rPr>
      </w:pPr>
    </w:p>
    <w:p>
      <w:pPr>
        <w:ind w:left="880" w:right="240" w:hanging="519"/>
        <w:spacing w:after="0" w:line="279" w:lineRule="auto"/>
        <w:tabs>
          <w:tab w:leader="none" w:pos="88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1480" w:right="180" w:hanging="363"/>
        <w:spacing w:after="0" w:line="279" w:lineRule="auto"/>
        <w:tabs>
          <w:tab w:leader="none" w:pos="1480"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Times New Roman" w:cs="Times New Roman" w:eastAsia="Times New Roman" w:hAnsi="Times New Roman"/>
          <w:sz w:val="12"/>
          <w:szCs w:val="12"/>
          <w:color w:val="auto"/>
        </w:rPr>
      </w:pPr>
    </w:p>
    <w:p>
      <w:pPr>
        <w:ind w:left="1480" w:hanging="363"/>
        <w:spacing w:after="0"/>
        <w:tabs>
          <w:tab w:leader="none" w:pos="1480"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460"/>
        <w:spacing w:after="0"/>
        <w:tabs>
          <w:tab w:leader="none" w:pos="860" w:val="left"/>
          <w:tab w:leader="none" w:pos="5660" w:val="left"/>
        </w:tabs>
        <w:rPr>
          <w:sz w:val="20"/>
          <w:szCs w:val="20"/>
          <w:color w:val="auto"/>
        </w:rPr>
      </w:pPr>
      <w:r>
        <w:rPr>
          <w:rFonts w:ascii="Times New Roman" w:cs="Times New Roman" w:eastAsia="Times New Roman" w:hAnsi="Times New Roman"/>
          <w:sz w:val="12"/>
          <w:szCs w:val="12"/>
          <w:color w:val="auto"/>
        </w:rPr>
        <w:t>Date:</w:t>
        <w:tab/>
        <w:t>July 27, 2022</w:t>
      </w:r>
      <w:r>
        <w:rPr>
          <w:sz w:val="20"/>
          <w:szCs w:val="20"/>
          <w:color w:val="auto"/>
        </w:rPr>
        <w:tab/>
      </w:r>
      <w:r>
        <w:rPr>
          <w:rFonts w:ascii="Times New Roman" w:cs="Times New Roman" w:eastAsia="Times New Roman" w:hAnsi="Times New Roman"/>
          <w:sz w:val="11"/>
          <w:szCs w:val="11"/>
          <w:color w:val="auto"/>
        </w:rPr>
        <w:t>/s/ Richard F. Pops</w:t>
      </w:r>
    </w:p>
    <w:p>
      <w:pPr>
        <w:spacing w:after="0" w:line="3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-85725</wp:posOffset>
            </wp:positionV>
            <wp:extent cx="356616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566160" cy="5715"/>
                    </a:xfrm>
                    <a:prstGeom prst="rect">
                      <a:avLst/>
                    </a:prstGeom>
                    <a:noFill/>
                  </pic:spPr>
                </pic:pic>
              </a:graphicData>
            </a:graphic>
          </wp:anchor>
        </w:drawing>
      </w:r>
    </w:p>
    <w:p>
      <w:pPr>
        <w:spacing w:after="0" w:line="16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Chairman and Chief Executive Officer</w:t>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300"/>
          </w:cols>
          <w:pgMar w:left="300" w:top="125" w:right="2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Iain M. Brown, certify that:</w:t>
      </w:r>
    </w:p>
    <w:p>
      <w:pPr>
        <w:spacing w:after="0" w:line="150" w:lineRule="exact"/>
        <w:rPr>
          <w:sz w:val="20"/>
          <w:szCs w:val="20"/>
          <w:color w:val="auto"/>
        </w:rPr>
      </w:pPr>
    </w:p>
    <w:p>
      <w:pPr>
        <w:ind w:left="740" w:hanging="379"/>
        <w:spacing w:after="0"/>
        <w:tabs>
          <w:tab w:leader="none" w:pos="74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Alkermes plc;</w:t>
      </w:r>
    </w:p>
    <w:p>
      <w:pPr>
        <w:spacing w:after="0" w:line="159" w:lineRule="exact"/>
        <w:rPr>
          <w:rFonts w:ascii="Times New Roman" w:cs="Times New Roman" w:eastAsia="Times New Roman" w:hAnsi="Times New Roman"/>
          <w:sz w:val="12"/>
          <w:szCs w:val="12"/>
          <w:color w:val="auto"/>
        </w:rPr>
      </w:pPr>
    </w:p>
    <w:p>
      <w:pPr>
        <w:ind w:left="740" w:right="480" w:hanging="379"/>
        <w:spacing w:after="0" w:line="279" w:lineRule="auto"/>
        <w:tabs>
          <w:tab w:leader="none" w:pos="74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740" w:right="80" w:hanging="379"/>
        <w:spacing w:after="0" w:line="279" w:lineRule="auto"/>
        <w:tabs>
          <w:tab w:leader="none" w:pos="74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12"/>
          <w:szCs w:val="12"/>
          <w:color w:val="auto"/>
        </w:rPr>
      </w:pPr>
    </w:p>
    <w:p>
      <w:pPr>
        <w:ind w:left="740" w:right="140" w:hanging="379"/>
        <w:spacing w:after="0" w:line="279" w:lineRule="auto"/>
        <w:tabs>
          <w:tab w:leader="none" w:pos="74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12"/>
          <w:szCs w:val="12"/>
          <w:color w:val="auto"/>
        </w:rPr>
      </w:pPr>
    </w:p>
    <w:p>
      <w:pPr>
        <w:ind w:left="1480" w:right="220" w:hanging="363"/>
        <w:spacing w:after="0" w:line="279" w:lineRule="auto"/>
        <w:tabs>
          <w:tab w:leader="none" w:pos="1480"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Times New Roman" w:cs="Times New Roman" w:eastAsia="Times New Roman" w:hAnsi="Times New Roman"/>
          <w:sz w:val="12"/>
          <w:szCs w:val="12"/>
          <w:color w:val="auto"/>
        </w:rPr>
      </w:pPr>
    </w:p>
    <w:p>
      <w:pPr>
        <w:ind w:left="1480" w:right="440" w:hanging="363"/>
        <w:spacing w:after="0" w:line="279" w:lineRule="auto"/>
        <w:tabs>
          <w:tab w:leader="none" w:pos="1480"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12"/>
          <w:szCs w:val="12"/>
          <w:color w:val="auto"/>
        </w:rPr>
      </w:pPr>
    </w:p>
    <w:p>
      <w:pPr>
        <w:ind w:left="1480" w:right="40" w:hanging="363"/>
        <w:spacing w:after="0" w:line="279" w:lineRule="auto"/>
        <w:tabs>
          <w:tab w:leader="none" w:pos="1480"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12"/>
          <w:szCs w:val="12"/>
          <w:color w:val="auto"/>
        </w:rPr>
      </w:pPr>
    </w:p>
    <w:p>
      <w:pPr>
        <w:ind w:left="1480" w:right="80" w:hanging="363"/>
        <w:spacing w:after="0" w:line="279" w:lineRule="auto"/>
        <w:tabs>
          <w:tab w:leader="none" w:pos="1480"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12"/>
          <w:szCs w:val="12"/>
          <w:color w:val="auto"/>
        </w:rPr>
      </w:pPr>
    </w:p>
    <w:p>
      <w:pPr>
        <w:ind w:left="740" w:right="80" w:hanging="379"/>
        <w:spacing w:after="0" w:line="279" w:lineRule="auto"/>
        <w:tabs>
          <w:tab w:leader="none" w:pos="74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1480" w:right="180" w:hanging="363"/>
        <w:spacing w:after="0" w:line="279" w:lineRule="auto"/>
        <w:tabs>
          <w:tab w:leader="none" w:pos="1480"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Times New Roman" w:cs="Times New Roman" w:eastAsia="Times New Roman" w:hAnsi="Times New Roman"/>
          <w:sz w:val="12"/>
          <w:szCs w:val="12"/>
          <w:color w:val="auto"/>
        </w:rPr>
      </w:pPr>
    </w:p>
    <w:p>
      <w:pPr>
        <w:ind w:left="1480" w:hanging="363"/>
        <w:spacing w:after="0"/>
        <w:tabs>
          <w:tab w:leader="none" w:pos="1480"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460"/>
        <w:spacing w:after="0"/>
        <w:tabs>
          <w:tab w:leader="none" w:pos="860" w:val="left"/>
          <w:tab w:leader="none" w:pos="5660" w:val="left"/>
        </w:tabs>
        <w:rPr>
          <w:sz w:val="20"/>
          <w:szCs w:val="20"/>
          <w:color w:val="auto"/>
        </w:rPr>
      </w:pPr>
      <w:r>
        <w:rPr>
          <w:rFonts w:ascii="Times New Roman" w:cs="Times New Roman" w:eastAsia="Times New Roman" w:hAnsi="Times New Roman"/>
          <w:sz w:val="12"/>
          <w:szCs w:val="12"/>
          <w:color w:val="auto"/>
        </w:rPr>
        <w:t>Date:</w:t>
        <w:tab/>
        <w:t>July 27, 2022</w:t>
      </w:r>
      <w:r>
        <w:rPr>
          <w:sz w:val="20"/>
          <w:szCs w:val="20"/>
          <w:color w:val="auto"/>
        </w:rPr>
        <w:tab/>
      </w:r>
      <w:r>
        <w:rPr>
          <w:rFonts w:ascii="Times New Roman" w:cs="Times New Roman" w:eastAsia="Times New Roman" w:hAnsi="Times New Roman"/>
          <w:sz w:val="12"/>
          <w:szCs w:val="12"/>
          <w:color w:val="auto"/>
        </w:rPr>
        <w:t>/s/ Iain M. Brown</w:t>
      </w:r>
    </w:p>
    <w:p>
      <w:pPr>
        <w:spacing w:after="0" w:line="3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-85725</wp:posOffset>
            </wp:positionV>
            <wp:extent cx="356616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566160" cy="5715"/>
                    </a:xfrm>
                    <a:prstGeom prst="rect">
                      <a:avLst/>
                    </a:prstGeom>
                    <a:noFill/>
                  </pic:spPr>
                </pic:pic>
              </a:graphicData>
            </a:graphic>
          </wp:anchor>
        </w:drawing>
      </w:r>
    </w:p>
    <w:p>
      <w:pPr>
        <w:spacing w:after="0" w:line="16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Senior Vice President, Chief Financial Officer</w:t>
      </w:r>
    </w:p>
    <w:p>
      <w:pPr>
        <w:spacing w:after="0" w:line="1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(Principal Financial Officer and Principal Accounting Officer)</w:t>
      </w:r>
    </w:p>
    <w:p>
      <w:pPr>
        <w:sectPr>
          <w:pgSz w:w="11900" w:h="16838" w:orient="portrait"/>
          <w:cols w:equalWidth="0" w:num="1">
            <w:col w:w="11300"/>
          </w:cols>
          <w:pgMar w:left="300" w:top="125" w:right="2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300" w:firstLine="513"/>
        <w:spacing w:after="0" w:line="265" w:lineRule="auto"/>
        <w:rPr>
          <w:sz w:val="20"/>
          <w:szCs w:val="20"/>
          <w:color w:val="auto"/>
        </w:rPr>
      </w:pPr>
      <w:r>
        <w:rPr>
          <w:rFonts w:ascii="Times New Roman" w:cs="Times New Roman" w:eastAsia="Times New Roman" w:hAnsi="Times New Roman"/>
          <w:sz w:val="12"/>
          <w:szCs w:val="12"/>
          <w:color w:val="auto"/>
        </w:rPr>
        <w:t>In connection with the Quarterly Report on Form 10-Q of Alkermes plc (the “Company”) for the period ended June 30, 2022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p>
      <w:pPr>
        <w:spacing w:after="0" w:line="47" w:lineRule="exact"/>
        <w:rPr>
          <w:sz w:val="20"/>
          <w:szCs w:val="20"/>
          <w:color w:val="auto"/>
        </w:rPr>
      </w:pPr>
    </w:p>
    <w:p>
      <w:pPr>
        <w:ind w:left="740" w:hanging="379"/>
        <w:spacing w:after="0"/>
        <w:tabs>
          <w:tab w:leader="none" w:pos="74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12"/>
          <w:szCs w:val="12"/>
          <w:color w:val="auto"/>
        </w:rPr>
      </w:pPr>
    </w:p>
    <w:p>
      <w:pPr>
        <w:ind w:left="740" w:hanging="379"/>
        <w:spacing w:after="0"/>
        <w:tabs>
          <w:tab w:leader="none" w:pos="74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12" w:lineRule="exact"/>
        <w:rPr>
          <w:sz w:val="20"/>
          <w:szCs w:val="20"/>
          <w:color w:val="auto"/>
        </w:rPr>
      </w:pPr>
    </w:p>
    <w:p>
      <w:pPr>
        <w:ind w:left="460"/>
        <w:spacing w:after="0"/>
        <w:tabs>
          <w:tab w:leader="none" w:pos="860" w:val="left"/>
          <w:tab w:leader="none" w:pos="5660" w:val="left"/>
        </w:tabs>
        <w:rPr>
          <w:sz w:val="20"/>
          <w:szCs w:val="20"/>
          <w:color w:val="auto"/>
        </w:rPr>
      </w:pPr>
      <w:r>
        <w:rPr>
          <w:rFonts w:ascii="Times New Roman" w:cs="Times New Roman" w:eastAsia="Times New Roman" w:hAnsi="Times New Roman"/>
          <w:sz w:val="12"/>
          <w:szCs w:val="12"/>
          <w:color w:val="auto"/>
        </w:rPr>
        <w:t>Date:</w:t>
        <w:tab/>
        <w:t>July 27, 2022</w:t>
      </w:r>
      <w:r>
        <w:rPr>
          <w:sz w:val="20"/>
          <w:szCs w:val="20"/>
          <w:color w:val="auto"/>
        </w:rPr>
        <w:tab/>
      </w:r>
      <w:r>
        <w:rPr>
          <w:rFonts w:ascii="Times New Roman" w:cs="Times New Roman" w:eastAsia="Times New Roman" w:hAnsi="Times New Roman"/>
          <w:sz w:val="11"/>
          <w:szCs w:val="11"/>
          <w:color w:val="auto"/>
        </w:rPr>
        <w:t>/s/ Richard F. Pops</w:t>
      </w:r>
    </w:p>
    <w:p>
      <w:pPr>
        <w:spacing w:after="0" w:line="3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-85725</wp:posOffset>
            </wp:positionV>
            <wp:extent cx="356616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566160" cy="5715"/>
                    </a:xfrm>
                    <a:prstGeom prst="rect">
                      <a:avLst/>
                    </a:prstGeom>
                    <a:noFill/>
                  </pic:spPr>
                </pic:pic>
              </a:graphicData>
            </a:graphic>
          </wp:anchor>
        </w:drawing>
      </w:r>
    </w:p>
    <w:p>
      <w:pPr>
        <w:spacing w:after="0" w:line="1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Chairman and Chief Executive Officer</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330" w:lineRule="exact"/>
        <w:rPr>
          <w:sz w:val="20"/>
          <w:szCs w:val="20"/>
          <w:color w:val="auto"/>
        </w:rPr>
      </w:pPr>
    </w:p>
    <w:p>
      <w:pPr>
        <w:ind w:left="460"/>
        <w:spacing w:after="0"/>
        <w:tabs>
          <w:tab w:leader="none" w:pos="860" w:val="left"/>
          <w:tab w:leader="none" w:pos="5660" w:val="left"/>
        </w:tabs>
        <w:rPr>
          <w:sz w:val="20"/>
          <w:szCs w:val="20"/>
          <w:color w:val="auto"/>
        </w:rPr>
      </w:pPr>
      <w:r>
        <w:rPr>
          <w:rFonts w:ascii="Times New Roman" w:cs="Times New Roman" w:eastAsia="Times New Roman" w:hAnsi="Times New Roman"/>
          <w:sz w:val="12"/>
          <w:szCs w:val="12"/>
          <w:color w:val="auto"/>
        </w:rPr>
        <w:t>Date:</w:t>
        <w:tab/>
        <w:t>July 27, 2022</w:t>
      </w:r>
      <w:r>
        <w:rPr>
          <w:sz w:val="20"/>
          <w:szCs w:val="20"/>
          <w:color w:val="auto"/>
        </w:rPr>
        <w:tab/>
      </w:r>
      <w:r>
        <w:rPr>
          <w:rFonts w:ascii="Times New Roman" w:cs="Times New Roman" w:eastAsia="Times New Roman" w:hAnsi="Times New Roman"/>
          <w:sz w:val="12"/>
          <w:szCs w:val="12"/>
          <w:color w:val="auto"/>
        </w:rPr>
        <w:t>/s/ Iain M. Brown</w:t>
      </w:r>
    </w:p>
    <w:p>
      <w:pPr>
        <w:spacing w:after="0" w:line="3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-85725</wp:posOffset>
            </wp:positionV>
            <wp:extent cx="356616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566160" cy="5715"/>
                    </a:xfrm>
                    <a:prstGeom prst="rect">
                      <a:avLst/>
                    </a:prstGeom>
                    <a:noFill/>
                  </pic:spPr>
                </pic:pic>
              </a:graphicData>
            </a:graphic>
          </wp:anchor>
        </w:drawing>
      </w:r>
    </w:p>
    <w:p>
      <w:pPr>
        <w:spacing w:after="0" w:line="1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Senior Vice President, Chief Financial Officer</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(Principal Financial Officer and Principal Accounting Officer)</w:t>
      </w:r>
    </w:p>
    <w:sectPr>
      <w:pgSz w:w="11900" w:h="16838" w:orient="portrait"/>
      <w:cols w:equalWidth="0" w:num="1">
        <w:col w:w="11300"/>
      </w:cols>
      <w:pgMar w:left="30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decimal"/>
      <w:start w:val="3"/>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1."/>
      <w:numFmt w:val="decimal"/>
      <w:start w:val="15"/>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1."/>
      <w:numFmt w:val="decimal"/>
      <w:start w:val="1"/>
    </w:lvl>
    <w:lvl w:ilvl="1">
      <w:lvlJc w:val="left"/>
      <w:lvlText w:val="(%2)"/>
      <w:numFmt w:val="lowerLetter"/>
      <w:start w:val="1"/>
    </w:lvl>
  </w:abstractNum>
  <w:abstractNum w:abstractNumId="14">
    <w:nsid w:val="275AC794"/>
    <w:multiLevelType w:val="hybridMultilevel"/>
    <w:lvl w:ilvl="0">
      <w:lvlJc w:val="left"/>
      <w:lvlText w:val="%1."/>
      <w:numFmt w:val="decimal"/>
      <w:start w:val="5"/>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1)"/>
      <w:numFmt w:val="lowerLetter"/>
      <w:start w:val="1"/>
    </w:lvl>
  </w:abstractNum>
  <w:abstractNum w:abstractNumId="17">
    <w:nsid w:val="180115BE"/>
    <w:multiLevelType w:val="hybridMultilevel"/>
    <w:lvl w:ilvl="0">
      <w:lvlJc w:val="left"/>
      <w:lvlText w:val="%1."/>
      <w:numFmt w:val="decimal"/>
      <w:start w:val="3"/>
    </w:lvl>
  </w:abstractNum>
  <w:abstractNum w:abstractNumId="18">
    <w:nsid w:val="235BA861"/>
    <w:multiLevelType w:val="hybridMultilevel"/>
    <w:lvl w:ilvl="0">
      <w:lvlJc w:val="left"/>
      <w:lvlText w:val="%1."/>
      <w:numFmt w:val="decimal"/>
      <w:start w:val="8"/>
    </w:lvl>
  </w:abstractNum>
  <w:abstractNum w:abstractNumId="19">
    <w:nsid w:val="47398C89"/>
    <w:multiLevelType w:val="hybridMultilevel"/>
    <w:lvl w:ilvl="0">
      <w:lvlJc w:val="left"/>
      <w:lvlText w:val="%1."/>
      <w:numFmt w:val="decimal"/>
      <w:start w:val="11"/>
    </w:lvl>
  </w:abstractNum>
  <w:abstractNum w:abstractNumId="20">
    <w:nsid w:val="354FE9F9"/>
    <w:multiLevelType w:val="hybridMultilevel"/>
    <w:lvl w:ilvl="0">
      <w:lvlJc w:val="left"/>
      <w:lvlText w:val="%1."/>
      <w:numFmt w:val="decimal"/>
      <w:start w:val="12"/>
    </w:lvl>
  </w:abstractNum>
  <w:abstractNum w:abstractNumId="21">
    <w:nsid w:val="15B5AF5C"/>
    <w:multiLevelType w:val="hybridMultilevel"/>
    <w:lvl w:ilvl="0">
      <w:lvlJc w:val="left"/>
      <w:lvlText w:val="%1."/>
      <w:numFmt w:val="decimal"/>
      <w:start w:val="14"/>
    </w:lvl>
  </w:abstractNum>
  <w:abstractNum w:abstractNumId="22">
    <w:nsid w:val="741226BB"/>
    <w:multiLevelType w:val="hybridMultilevel"/>
    <w:lvl w:ilvl="0">
      <w:lvlJc w:val="left"/>
      <w:lvlText w:val="%1."/>
      <w:numFmt w:val="decimal"/>
      <w:start w:val="15"/>
    </w:lvl>
  </w:abstractNum>
  <w:abstractNum w:abstractNumId="23">
    <w:nsid w:val="D34B6A8"/>
    <w:multiLevelType w:val="hybridMultilevel"/>
    <w:lvl w:ilvl="0">
      <w:lvlJc w:val="left"/>
      <w:lvlText w:val="%1."/>
      <w:numFmt w:val="decimal"/>
      <w:start w:val="17"/>
    </w:lvl>
  </w:abstractNum>
  <w:abstractNum w:abstractNumId="24">
    <w:nsid w:val="10233C99"/>
    <w:multiLevelType w:val="hybridMultilevel"/>
    <w:lvl w:ilvl="0">
      <w:lvlJc w:val="left"/>
      <w:lvlText w:val="%1."/>
      <w:numFmt w:val="decimal"/>
      <w:start w:val="21"/>
    </w:lvl>
  </w:abstractNum>
  <w:abstractNum w:abstractNumId="25">
    <w:nsid w:val="3F6AB60F"/>
    <w:multiLevelType w:val="hybridMultilevel"/>
    <w:lvl w:ilvl="0">
      <w:lvlJc w:val="left"/>
      <w:lvlText w:val="%1."/>
      <w:numFmt w:val="decimal"/>
      <w:start w:val="23"/>
    </w:lvl>
  </w:abstractNum>
  <w:abstractNum w:abstractNumId="26">
    <w:nsid w:val="61574095"/>
    <w:multiLevelType w:val="hybridMultilevel"/>
    <w:lvl w:ilvl="0">
      <w:lvlJc w:val="left"/>
      <w:lvlText w:val="%1."/>
      <w:numFmt w:val="decimal"/>
      <w:start w:val="25"/>
    </w:lvl>
  </w:abstractNum>
  <w:abstractNum w:abstractNumId="27">
    <w:nsid w:val="7E0C57B1"/>
    <w:multiLevelType w:val="hybridMultilevel"/>
    <w:lvl w:ilvl="0">
      <w:lvlJc w:val="left"/>
      <w:lvlText w:val="%1."/>
      <w:numFmt w:val="decimal"/>
      <w:start w:val="27"/>
    </w:lvl>
  </w:abstractNum>
  <w:abstractNum w:abstractNumId="28">
    <w:nsid w:val="77AE35EB"/>
    <w:multiLevelType w:val="hybridMultilevel"/>
    <w:lvl w:ilvl="0">
      <w:lvlJc w:val="left"/>
      <w:lvlText w:val="%1."/>
      <w:numFmt w:val="decimal"/>
      <w:start w:val="28"/>
    </w:lvl>
  </w:abstractNum>
  <w:abstractNum w:abstractNumId="29">
    <w:nsid w:val="579BE4F1"/>
    <w:multiLevelType w:val="hybridMultilevel"/>
    <w:lvl w:ilvl="0">
      <w:lvlJc w:val="left"/>
      <w:lvlText w:val="%1."/>
      <w:numFmt w:val="decimal"/>
      <w:start w:val="31"/>
    </w:lvl>
  </w:abstractNum>
  <w:abstractNum w:abstractNumId="30">
    <w:nsid w:val="310C50B3"/>
    <w:multiLevelType w:val="hybridMultilevel"/>
    <w:lvl w:ilvl="0">
      <w:lvlJc w:val="left"/>
      <w:lvlText w:val="%1."/>
      <w:numFmt w:val="decimal"/>
      <w:start w:val="35"/>
    </w:lvl>
  </w:abstractNum>
  <w:abstractNum w:abstractNumId="31">
    <w:nsid w:val="5FF87E05"/>
    <w:multiLevelType w:val="hybridMultilevel"/>
    <w:lvl w:ilvl="0">
      <w:lvlJc w:val="left"/>
      <w:lvlText w:val="%1."/>
      <w:numFmt w:val="decimal"/>
      <w:start w:val="37"/>
    </w:lvl>
  </w:abstractNum>
  <w:abstractNum w:abstractNumId="32">
    <w:nsid w:val="2F305DEF"/>
    <w:multiLevelType w:val="hybridMultilevel"/>
    <w:lvl w:ilvl="0">
      <w:lvlJc w:val="left"/>
      <w:lvlText w:val="%1."/>
      <w:numFmt w:val="decimal"/>
      <w:start w:val="38"/>
    </w:lvl>
  </w:abstractNum>
  <w:abstractNum w:abstractNumId="33">
    <w:nsid w:val="25A70BF7"/>
    <w:multiLevelType w:val="hybridMultilevel"/>
    <w:lvl w:ilvl="0">
      <w:lvlJc w:val="left"/>
      <w:lvlText w:val="%1."/>
      <w:numFmt w:val="decimal"/>
      <w:start w:val="43"/>
    </w:lvl>
  </w:abstractNum>
  <w:abstractNum w:abstractNumId="34">
    <w:nsid w:val="1DBABF00"/>
    <w:multiLevelType w:val="hybridMultilevel"/>
    <w:lvl w:ilvl="0">
      <w:lvlJc w:val="left"/>
      <w:lvlText w:val="%1."/>
      <w:numFmt w:val="decimal"/>
      <w:start w:val="44"/>
    </w:lvl>
  </w:abstractNum>
  <w:abstractNum w:abstractNumId="35">
    <w:nsid w:val="4AD084E9"/>
    <w:multiLevelType w:val="hybridMultilevel"/>
    <w:lvl w:ilvl="0">
      <w:lvlJc w:val="left"/>
      <w:lvlText w:val="%1."/>
      <w:numFmt w:val="decimal"/>
      <w:start w:val="51"/>
    </w:lvl>
  </w:abstractNum>
  <w:abstractNum w:abstractNumId="36">
    <w:nsid w:val="1F48EAA1"/>
    <w:multiLevelType w:val="hybridMultilevel"/>
    <w:lvl w:ilvl="0">
      <w:lvlJc w:val="left"/>
      <w:lvlText w:val="%1."/>
      <w:numFmt w:val="decimal"/>
      <w:start w:val="54"/>
    </w:lvl>
  </w:abstractNum>
  <w:abstractNum w:abstractNumId="37">
    <w:nsid w:val="1381823A"/>
    <w:multiLevelType w:val="hybridMultilevel"/>
    <w:lvl w:ilvl="0">
      <w:lvlJc w:val="left"/>
      <w:lvlText w:val="%1."/>
      <w:numFmt w:val="decimal"/>
      <w:start w:val="60"/>
    </w:lvl>
  </w:abstractNum>
  <w:abstractNum w:abstractNumId="38">
    <w:nsid w:val="5DB70AE5"/>
    <w:multiLevelType w:val="hybridMultilevel"/>
    <w:lvl w:ilvl="0">
      <w:lvlJc w:val="left"/>
      <w:lvlText w:val="%1."/>
      <w:numFmt w:val="decimal"/>
      <w:start w:val="61"/>
    </w:lvl>
  </w:abstractNum>
  <w:abstractNum w:abstractNumId="39">
    <w:nsid w:val="100F8FCA"/>
    <w:multiLevelType w:val="hybridMultilevel"/>
    <w:lvl w:ilvl="0">
      <w:lvlJc w:val="left"/>
      <w:lvlText w:val="%1."/>
      <w:numFmt w:val="decimal"/>
      <w:start w:val="66"/>
    </w:lvl>
  </w:abstractNum>
  <w:abstractNum w:abstractNumId="40">
    <w:nsid w:val="6590700B"/>
    <w:multiLevelType w:val="hybridMultilevel"/>
    <w:lvl w:ilvl="0">
      <w:lvlJc w:val="left"/>
      <w:lvlText w:val="%1."/>
      <w:numFmt w:val="decimal"/>
      <w:start w:val="67"/>
    </w:lvl>
  </w:abstractNum>
  <w:abstractNum w:abstractNumId="41">
    <w:nsid w:val="15014ACB"/>
    <w:multiLevelType w:val="hybridMultilevel"/>
    <w:lvl w:ilvl="0">
      <w:lvlJc w:val="left"/>
      <w:lvlText w:val="%1."/>
      <w:numFmt w:val="decimal"/>
      <w:start w:val="68"/>
    </w:lvl>
  </w:abstractNum>
  <w:abstractNum w:abstractNumId="42">
    <w:nsid w:val="5F5E7FD0"/>
    <w:multiLevelType w:val="hybridMultilevel"/>
    <w:lvl w:ilvl="0">
      <w:lvlJc w:val="left"/>
      <w:lvlText w:val="%1."/>
      <w:numFmt w:val="decimal"/>
      <w:start w:val="69"/>
    </w:lvl>
  </w:abstractNum>
  <w:abstractNum w:abstractNumId="43">
    <w:nsid w:val="98A3148"/>
    <w:multiLevelType w:val="hybridMultilevel"/>
    <w:lvl w:ilvl="0">
      <w:lvlJc w:val="left"/>
      <w:lvlText w:val="%1."/>
      <w:numFmt w:val="decimal"/>
      <w:start w:val="72"/>
    </w:lvl>
  </w:abstractNum>
  <w:abstractNum w:abstractNumId="44">
    <w:nsid w:val="799D0247"/>
    <w:multiLevelType w:val="hybridMultilevel"/>
    <w:lvl w:ilvl="0">
      <w:lvlJc w:val="left"/>
      <w:lvlText w:val="%1."/>
      <w:numFmt w:val="decimal"/>
      <w:start w:val="75"/>
    </w:lvl>
  </w:abstractNum>
  <w:abstractNum w:abstractNumId="45">
    <w:nsid w:val="6B94764"/>
    <w:multiLevelType w:val="hybridMultilevel"/>
    <w:lvl w:ilvl="0">
      <w:lvlJc w:val="left"/>
      <w:lvlText w:val="%1."/>
      <w:numFmt w:val="decimal"/>
      <w:start w:val="77"/>
    </w:lvl>
  </w:abstractNum>
  <w:abstractNum w:abstractNumId="46">
    <w:nsid w:val="42C296BD"/>
    <w:multiLevelType w:val="hybridMultilevel"/>
    <w:lvl w:ilvl="0">
      <w:lvlJc w:val="left"/>
      <w:lvlText w:val="%1."/>
      <w:numFmt w:val="decimal"/>
      <w:start w:val="83"/>
    </w:lvl>
    <w:lvl w:ilvl="1">
      <w:lvlJc w:val="left"/>
      <w:lvlText w:val="(%2)"/>
      <w:numFmt w:val="lowerLetter"/>
      <w:start w:val="1"/>
    </w:lvl>
  </w:abstractNum>
  <w:abstractNum w:abstractNumId="47">
    <w:nsid w:val="168E121F"/>
    <w:multiLevelType w:val="hybridMultilevel"/>
    <w:lvl w:ilvl="0">
      <w:lvlJc w:val="left"/>
      <w:lvlText w:val="%1."/>
      <w:numFmt w:val="decimal"/>
      <w:start w:val="91"/>
    </w:lvl>
  </w:abstractNum>
  <w:abstractNum w:abstractNumId="48">
    <w:nsid w:val="1EBA5D23"/>
    <w:multiLevelType w:val="hybridMultilevel"/>
    <w:lvl w:ilvl="0">
      <w:lvlJc w:val="left"/>
      <w:lvlText w:val="%1."/>
      <w:numFmt w:val="decimal"/>
      <w:start w:val="95"/>
    </w:lvl>
  </w:abstractNum>
  <w:abstractNum w:abstractNumId="49">
    <w:nsid w:val="661E3F1E"/>
    <w:multiLevelType w:val="hybridMultilevel"/>
    <w:lvl w:ilvl="0">
      <w:lvlJc w:val="left"/>
      <w:lvlText w:val="%1."/>
      <w:numFmt w:val="decimal"/>
      <w:start w:val="98"/>
    </w:lvl>
  </w:abstractNum>
  <w:abstractNum w:abstractNumId="50">
    <w:nsid w:val="5DC79EA8"/>
    <w:multiLevelType w:val="hybridMultilevel"/>
    <w:lvl w:ilvl="0">
      <w:lvlJc w:val="left"/>
      <w:lvlText w:val="%1."/>
      <w:numFmt w:val="decimal"/>
      <w:start w:val="100"/>
    </w:lvl>
  </w:abstractNum>
  <w:abstractNum w:abstractNumId="51">
    <w:nsid w:val="540A471C"/>
    <w:multiLevelType w:val="hybridMultilevel"/>
    <w:lvl w:ilvl="0">
      <w:lvlJc w:val="left"/>
      <w:lvlText w:val="%1."/>
      <w:numFmt w:val="decimal"/>
      <w:start w:val="102"/>
    </w:lvl>
  </w:abstractNum>
  <w:abstractNum w:abstractNumId="52">
    <w:nsid w:val="7BD3EE7B"/>
    <w:multiLevelType w:val="hybridMultilevel"/>
    <w:lvl w:ilvl="0">
      <w:lvlJc w:val="left"/>
      <w:lvlText w:val="%1."/>
      <w:numFmt w:val="decimal"/>
      <w:start w:val="109"/>
    </w:lvl>
  </w:abstractNum>
  <w:abstractNum w:abstractNumId="53">
    <w:nsid w:val="51D9C564"/>
    <w:multiLevelType w:val="hybridMultilevel"/>
    <w:lvl w:ilvl="0">
      <w:lvlJc w:val="left"/>
      <w:lvlText w:val="%1."/>
      <w:numFmt w:val="decimal"/>
      <w:start w:val="114"/>
    </w:lvl>
  </w:abstractNum>
  <w:abstractNum w:abstractNumId="54">
    <w:nsid w:val="613EFDC5"/>
    <w:multiLevelType w:val="hybridMultilevel"/>
    <w:lvl w:ilvl="0">
      <w:lvlJc w:val="left"/>
      <w:lvlText w:val="%1."/>
      <w:numFmt w:val="decimal"/>
      <w:start w:val="116"/>
    </w:lvl>
  </w:abstractNum>
  <w:abstractNum w:abstractNumId="55">
    <w:nsid w:val="BF72B14"/>
    <w:multiLevelType w:val="hybridMultilevel"/>
    <w:lvl w:ilvl="0">
      <w:lvlJc w:val="left"/>
      <w:lvlText w:val="%1."/>
      <w:numFmt w:val="decimal"/>
      <w:start w:val="117"/>
    </w:lvl>
    <w:lvl w:ilvl="1">
      <w:lvlJc w:val="left"/>
      <w:lvlText w:val="(%2)"/>
      <w:numFmt w:val="lowerLetter"/>
      <w:start w:val="2"/>
    </w:lvl>
    <w:lvl w:ilvl="2">
      <w:lvlJc w:val="left"/>
      <w:lvlText w:val="(%3)"/>
      <w:numFmt w:val="lowerLetter"/>
      <w:start w:val="1"/>
    </w:lvl>
  </w:abstractNum>
  <w:abstractNum w:abstractNumId="56">
    <w:nsid w:val="11447B73"/>
    <w:multiLevelType w:val="hybridMultilevel"/>
    <w:lvl w:ilvl="0">
      <w:lvlJc w:val="left"/>
      <w:lvlText w:val="%1."/>
      <w:numFmt w:val="decimal"/>
      <w:start w:val="119"/>
    </w:lvl>
  </w:abstractNum>
  <w:abstractNum w:abstractNumId="57">
    <w:nsid w:val="42963E5A"/>
    <w:multiLevelType w:val="hybridMultilevel"/>
    <w:lvl w:ilvl="0">
      <w:lvlJc w:val="left"/>
      <w:lvlText w:val="%1."/>
      <w:numFmt w:val="decimal"/>
      <w:start w:val="121"/>
    </w:lvl>
  </w:abstractNum>
  <w:abstractNum w:abstractNumId="58">
    <w:nsid w:val="A0382C5"/>
    <w:multiLevelType w:val="hybridMultilevel"/>
    <w:lvl w:ilvl="0">
      <w:lvlJc w:val="left"/>
      <w:lvlText w:val="%1."/>
      <w:numFmt w:val="decimal"/>
      <w:start w:val="122"/>
    </w:lvl>
  </w:abstractNum>
  <w:abstractNum w:abstractNumId="59">
    <w:nsid w:val="8F2B15E"/>
    <w:multiLevelType w:val="hybridMultilevel"/>
    <w:lvl w:ilvl="0">
      <w:lvlJc w:val="left"/>
      <w:lvlText w:val="%1."/>
      <w:numFmt w:val="decimal"/>
      <w:start w:val="124"/>
    </w:lvl>
  </w:abstractNum>
  <w:abstractNum w:abstractNumId="60">
    <w:nsid w:val="1A32234B"/>
    <w:multiLevelType w:val="hybridMultilevel"/>
    <w:lvl w:ilvl="0">
      <w:lvlJc w:val="left"/>
      <w:lvlText w:val="%1."/>
      <w:numFmt w:val="decimal"/>
      <w:start w:val="125"/>
    </w:lvl>
  </w:abstractNum>
  <w:abstractNum w:abstractNumId="61">
    <w:nsid w:val="3B0FD379"/>
    <w:multiLevelType w:val="hybridMultilevel"/>
    <w:lvl w:ilvl="0">
      <w:lvlJc w:val="left"/>
      <w:lvlText w:val="%1."/>
      <w:numFmt w:val="decimal"/>
      <w:start w:val="132"/>
    </w:lvl>
  </w:abstractNum>
  <w:abstractNum w:abstractNumId="62">
    <w:nsid w:val="68EB2F63"/>
    <w:multiLevelType w:val="hybridMultilevel"/>
    <w:lvl w:ilvl="0">
      <w:lvlJc w:val="left"/>
      <w:lvlText w:val="%1."/>
      <w:numFmt w:val="decimal"/>
      <w:start w:val="133"/>
    </w:lvl>
  </w:abstractNum>
  <w:abstractNum w:abstractNumId="63">
    <w:nsid w:val="4962813B"/>
    <w:multiLevelType w:val="hybridMultilevel"/>
    <w:lvl w:ilvl="0">
      <w:lvlJc w:val="left"/>
      <w:lvlText w:val="%1."/>
      <w:numFmt w:val="decimal"/>
      <w:start w:val="134"/>
    </w:lvl>
  </w:abstractNum>
  <w:abstractNum w:abstractNumId="64">
    <w:nsid w:val="60B6DF70"/>
    <w:multiLevelType w:val="hybridMultilevel"/>
    <w:lvl w:ilvl="0">
      <w:lvlJc w:val="left"/>
      <w:lvlText w:val="%1."/>
      <w:numFmt w:val="decimal"/>
      <w:start w:val="137"/>
    </w:lvl>
  </w:abstractNum>
  <w:abstractNum w:abstractNumId="65">
    <w:nsid w:val="6A5EE64"/>
    <w:multiLevelType w:val="hybridMultilevel"/>
    <w:lvl w:ilvl="0">
      <w:lvlJc w:val="left"/>
      <w:lvlText w:val="%1."/>
      <w:numFmt w:val="decimal"/>
      <w:start w:val="138"/>
    </w:lvl>
  </w:abstractNum>
  <w:abstractNum w:abstractNumId="66">
    <w:nsid w:val="14330624"/>
    <w:multiLevelType w:val="hybridMultilevel"/>
    <w:lvl w:ilvl="0">
      <w:lvlJc w:val="left"/>
      <w:lvlText w:val="%1."/>
      <w:numFmt w:val="decimal"/>
      <w:start w:val="139"/>
    </w:lvl>
  </w:abstractNum>
  <w:abstractNum w:abstractNumId="67">
    <w:nsid w:val="7FFFCA11"/>
    <w:multiLevelType w:val="hybridMultilevel"/>
    <w:lvl w:ilvl="0">
      <w:lvlJc w:val="left"/>
      <w:lvlText w:val="%1."/>
      <w:numFmt w:val="decimal"/>
      <w:start w:val="147"/>
    </w:lvl>
  </w:abstractNum>
  <w:abstractNum w:abstractNumId="68">
    <w:nsid w:val="1A27709E"/>
    <w:multiLevelType w:val="hybridMultilevel"/>
    <w:lvl w:ilvl="0">
      <w:lvlJc w:val="left"/>
      <w:lvlText w:val="%1."/>
      <w:numFmt w:val="decimal"/>
      <w:start w:val="148"/>
    </w:lvl>
  </w:abstractNum>
  <w:abstractNum w:abstractNumId="69">
    <w:nsid w:val="71EA1109"/>
    <w:multiLevelType w:val="hybridMultilevel"/>
    <w:lvl w:ilvl="0">
      <w:lvlJc w:val="left"/>
      <w:lvlText w:val="%1."/>
      <w:numFmt w:val="decimal"/>
      <w:start w:val="149"/>
    </w:lvl>
  </w:abstractNum>
  <w:abstractNum w:abstractNumId="70">
    <w:nsid w:val="100F59DC"/>
    <w:multiLevelType w:val="hybridMultilevel"/>
    <w:lvl w:ilvl="0">
      <w:lvlJc w:val="left"/>
      <w:lvlText w:val="%1."/>
      <w:numFmt w:val="decimal"/>
      <w:start w:val="152"/>
    </w:lvl>
  </w:abstractNum>
  <w:abstractNum w:abstractNumId="71">
    <w:nsid w:val="7FB7E0AA"/>
    <w:multiLevelType w:val="hybridMultilevel"/>
    <w:lvl w:ilvl="0">
      <w:lvlJc w:val="left"/>
      <w:lvlText w:val="%1."/>
      <w:numFmt w:val="decimal"/>
      <w:start w:val="155"/>
    </w:lvl>
  </w:abstractNum>
  <w:abstractNum w:abstractNumId="72">
    <w:nsid w:val="6EB5BD4"/>
    <w:multiLevelType w:val="hybridMultilevel"/>
    <w:lvl w:ilvl="0">
      <w:lvlJc w:val="left"/>
      <w:lvlText w:val="%1."/>
      <w:numFmt w:val="decimal"/>
      <w:start w:val="157"/>
    </w:lvl>
  </w:abstractNum>
  <w:abstractNum w:abstractNumId="73">
    <w:nsid w:val="6F6DD9AC"/>
    <w:multiLevelType w:val="hybridMultilevel"/>
    <w:lvl w:ilvl="0">
      <w:lvlJc w:val="left"/>
      <w:lvlText w:val="%1."/>
      <w:numFmt w:val="decimal"/>
      <w:start w:val="165"/>
    </w:lvl>
  </w:abstractNum>
  <w:abstractNum w:abstractNumId="74">
    <w:nsid w:val="94211F2"/>
    <w:multiLevelType w:val="hybridMultilevel"/>
    <w:lvl w:ilvl="0">
      <w:lvlJc w:val="left"/>
      <w:lvlText w:val="%1."/>
      <w:numFmt w:val="decimal"/>
      <w:start w:val="167"/>
    </w:lvl>
  </w:abstractNum>
  <w:abstractNum w:abstractNumId="75">
    <w:nsid w:val="885E1B"/>
    <w:multiLevelType w:val="hybridMultilevel"/>
    <w:lvl w:ilvl="0">
      <w:lvlJc w:val="left"/>
      <w:lvlText w:val="%1."/>
      <w:numFmt w:val="decimal"/>
      <w:start w:val="168"/>
    </w:lvl>
    <w:lvl w:ilvl="1">
      <w:lvlJc w:val="left"/>
      <w:lvlText w:val="(%2)"/>
      <w:numFmt w:val="lowerLetter"/>
      <w:start w:val="1"/>
    </w:lvl>
  </w:abstractNum>
  <w:abstractNum w:abstractNumId="76">
    <w:nsid w:val="76272110"/>
    <w:multiLevelType w:val="hybridMultilevel"/>
    <w:lvl w:ilvl="0">
      <w:lvlJc w:val="left"/>
      <w:lvlText w:val="%1."/>
      <w:numFmt w:val="decimal"/>
      <w:start w:val="169"/>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1."/>
      <w:numFmt w:val="decimal"/>
      <w:start w:val="174"/>
    </w:lvl>
  </w:abstractNum>
  <w:abstractNum w:abstractNumId="82">
    <w:nsid w:val="68EBC550"/>
    <w:multiLevelType w:val="hybridMultilevel"/>
    <w:lvl w:ilvl="0">
      <w:lvlJc w:val="left"/>
      <w:lvlText w:val="%1."/>
      <w:numFmt w:val="decimal"/>
      <w:start w:val="175"/>
    </w:lvl>
  </w:abstractNum>
  <w:abstractNum w:abstractNumId="83">
    <w:nsid w:val="2DF6D648"/>
    <w:multiLevelType w:val="hybridMultilevel"/>
    <w:lvl w:ilvl="0">
      <w:lvlJc w:val="left"/>
      <w:lvlText w:val="%1."/>
      <w:numFmt w:val="decimal"/>
      <w:start w:val="176"/>
    </w:lvl>
  </w:abstractNum>
  <w:abstractNum w:abstractNumId="84">
    <w:nsid w:val="46B7D447"/>
    <w:multiLevelType w:val="hybridMultilevel"/>
    <w:lvl w:ilvl="0">
      <w:lvlJc w:val="left"/>
      <w:lvlText w:val="%1."/>
      <w:numFmt w:val="decimal"/>
      <w:start w:val="178"/>
    </w:lvl>
  </w:abstractNum>
  <w:abstractNum w:abstractNumId="85">
    <w:nsid w:val="4A2AC315"/>
    <w:multiLevelType w:val="hybridMultilevel"/>
    <w:lvl w:ilvl="0">
      <w:lvlJc w:val="left"/>
      <w:lvlText w:val="%1."/>
      <w:numFmt w:val="decimal"/>
      <w:start w:val="180"/>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decimal"/>
      <w:start w:val="181"/>
    </w:lvl>
  </w:abstractNum>
  <w:abstractNum w:abstractNumId="88">
    <w:nsid w:val="CC1016F"/>
    <w:multiLevelType w:val="hybridMultilevel"/>
    <w:lvl w:ilvl="0">
      <w:lvlJc w:val="left"/>
      <w:lvlText w:val="%1."/>
      <w:numFmt w:val="decimal"/>
      <w:start w:val="182"/>
    </w:lvl>
  </w:abstractNum>
  <w:abstractNum w:abstractNumId="89">
    <w:nsid w:val="43F18422"/>
    <w:multiLevelType w:val="hybridMultilevel"/>
    <w:lvl w:ilvl="0">
      <w:lvlJc w:val="left"/>
      <w:lvlText w:val="%1."/>
      <w:numFmt w:val="decimal"/>
      <w:start w:val="184"/>
    </w:lvl>
  </w:abstractNum>
  <w:abstractNum w:abstractNumId="90">
    <w:nsid w:val="60EF0119"/>
    <w:multiLevelType w:val="hybridMultilevel"/>
    <w:lvl w:ilvl="0">
      <w:lvlJc w:val="left"/>
      <w:lvlText w:val="%1."/>
      <w:numFmt w:val="decimal"/>
      <w:start w:val="185"/>
    </w:lvl>
  </w:abstractNum>
  <w:abstractNum w:abstractNumId="91">
    <w:nsid w:val="26F324BA"/>
    <w:multiLevelType w:val="hybridMultilevel"/>
    <w:lvl w:ilvl="0">
      <w:lvlJc w:val="left"/>
      <w:lvlText w:val="(%1)"/>
      <w:numFmt w:val="lowerLetter"/>
      <w:start w:val="1"/>
    </w:lvl>
    <w:lvl w:ilvl="1">
      <w:lvlJc w:val="left"/>
      <w:lvlText w:val="(%2)"/>
      <w:numFmt w:val="lowerLetter"/>
      <w:start w:val="2"/>
    </w:lvl>
  </w:abstractNum>
  <w:abstractNum w:abstractNumId="92">
    <w:nsid w:val="7F01579B"/>
    <w:multiLevelType w:val="hybridMultilevel"/>
    <w:lvl w:ilvl="0">
      <w:lvlJc w:val="left"/>
      <w:lvlText w:val="(%1)"/>
      <w:numFmt w:val="lowerLetter"/>
      <w:start w:val="3"/>
    </w:lvl>
  </w:abstractNum>
  <w:abstractNum w:abstractNumId="93">
    <w:nsid w:val="49DA307D"/>
    <w:multiLevelType w:val="hybridMultilevel"/>
    <w:lvl w:ilvl="0">
      <w:lvlJc w:val="left"/>
      <w:lvlText w:val="(%1)"/>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68" Type="http://schemas.openxmlformats.org/officeDocument/2006/relationships/hyperlink" Target="http://www.sec.gov/Archives/edgar/data/1520262/000156459022025465/alks-ex10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2022-07-27T08:25:17Z</dcterms:created>
  <dcterms:modified xsi:type="dcterms:W3CDTF">2022-07-27T08:25:17Z</dcterms:modified>
</cp:coreProperties>
</file>