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Hopkinson Craig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WINTER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Alkermes plc.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ALKS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R&amp;D, 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9"/>
        <w:gridCol w:w="901"/>
        <w:gridCol w:w="771"/>
        <w:gridCol w:w="598"/>
        <w:gridCol w:w="347"/>
        <w:gridCol w:w="843"/>
        <w:gridCol w:w="452"/>
        <w:gridCol w:w="880"/>
        <w:gridCol w:w="1159"/>
        <w:gridCol w:w="994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24.59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74,389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46.986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65,389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24.59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02/18/2032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61,276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exercise was effected pursuant to a Rule 10b5-1 trading plan adopted by the reporting person on 3/14/2025.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sale was effected pursuant to a Rule 10b5-1 trading plan adopted by the reporting person on 3/14/2025.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a weighted average price. The shares were sold in multiple transactions at prices ranging from $46.8269 to $47.3197. Full information regarding the number of shares sold at each separate price can be provided to the issuer, any security holder of the issuer or the SEC staff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options are fully vested in accordance with their terms.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Shantale Greenson, attorney-in-fact for Craig C. Hopkinson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30048" TargetMode="External"/><Relationship Id="rId5" Type="http://schemas.openxmlformats.org/officeDocument/2006/relationships/hyperlink" Target="http://www.sec.gov/cgi-bin/browse-edgar?action=getcompany&amp;CIK=00015202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700</Words>
  <Characters>3763</Characters>
  <CharactersWithSpaces>4373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