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3820" w:right="1360" w:hanging="3448"/>
        <w:spacing w:after="0" w:line="427" w:lineRule="auto"/>
        <w:tabs>
          <w:tab w:leader="none" w:pos="74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49" w:lineRule="exact"/>
        <w:rPr>
          <w:sz w:val="24"/>
          <w:szCs w:val="24"/>
          <w:color w:val="auto"/>
        </w:rPr>
      </w:pPr>
    </w:p>
    <w:p>
      <w:pPr>
        <w:ind w:left="4220" w:right="1340" w:hanging="3848"/>
        <w:spacing w:after="0" w:line="427" w:lineRule="auto"/>
        <w:tabs>
          <w:tab w:leader="none" w:pos="73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-118745</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34"/>
        </w:trPr>
        <w:tc>
          <w:tcPr>
            <w:tcW w:w="7140" w:type="dxa"/>
            <w:vAlign w:val="bottom"/>
            <w:gridSpan w:val="6"/>
          </w:tcPr>
          <w:p>
            <w:pPr>
              <w:jc w:val="center"/>
              <w:ind w:right="17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9"/>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00" w:type="dxa"/>
            <w:vAlign w:val="bottom"/>
          </w:tcPr>
          <w:p>
            <w:pPr>
              <w:spacing w:after="0"/>
              <w:rPr>
                <w:sz w:val="19"/>
                <w:szCs w:val="19"/>
                <w:color w:val="auto"/>
              </w:rPr>
            </w:pPr>
          </w:p>
        </w:tc>
      </w:tr>
      <w:tr>
        <w:trPr>
          <w:trHeight w:val="234"/>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00" w:type="dxa"/>
            <w:vAlign w:val="bottom"/>
          </w:tcPr>
          <w:p>
            <w:pPr>
              <w:spacing w:after="0"/>
              <w:rPr>
                <w:sz w:val="20"/>
                <w:szCs w:val="20"/>
                <w:color w:val="auto"/>
              </w:rPr>
            </w:pPr>
          </w:p>
        </w:tc>
      </w:tr>
      <w:tr>
        <w:trPr>
          <w:trHeight w:val="333"/>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40" w:type="dxa"/>
            <w:vAlign w:val="bottom"/>
            <w:tcBorders>
              <w:top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ind w:right="460"/>
        <w:spacing w:after="0" w:line="205"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 w:lineRule="exact"/>
        <w:rPr>
          <w:sz w:val="24"/>
          <w:szCs w:val="24"/>
          <w:color w:val="auto"/>
        </w:rPr>
      </w:pPr>
    </w:p>
    <w:p>
      <w:pPr>
        <w:ind w:right="80"/>
        <w:spacing w:after="0" w:line="205" w:lineRule="exact"/>
        <w:rPr>
          <w:sz w:val="20"/>
          <w:szCs w:val="20"/>
          <w:color w:val="auto"/>
        </w:rPr>
      </w:pPr>
      <w:r>
        <w:rPr>
          <w:rFonts w:ascii="Times New Roman" w:cs="Times New Roman" w:eastAsia="Times New Roman" w:hAnsi="Times New Roman"/>
          <w:sz w:val="18"/>
          <w:szCs w:val="18"/>
          <w:color w:val="auto"/>
        </w:rPr>
        <w:t xml:space="preserve">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2" w:lineRule="exact"/>
        <w:rPr>
          <w:sz w:val="24"/>
          <w:szCs w:val="24"/>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4" w:right="339" w:bottom="1440" w:gutter="0" w:footer="0" w:header="0"/>
        </w:sectPr>
      </w:pPr>
    </w:p>
    <w:p>
      <w:pPr>
        <w:spacing w:after="0" w:line="264" w:lineRule="exact"/>
        <w:rPr>
          <w:sz w:val="24"/>
          <w:szCs w:val="24"/>
          <w:color w:val="auto"/>
        </w:rPr>
      </w:pPr>
    </w:p>
    <w:p>
      <w:pPr>
        <w:ind w:left="18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9"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5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jc w:val="center"/>
        <w:ind w:right="1560"/>
        <w:spacing w:after="0" w:line="193"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jc w:val="center"/>
        <w:ind w:right="1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95" w:lineRule="exact"/>
        <w:rPr>
          <w:sz w:val="24"/>
          <w:szCs w:val="24"/>
          <w:color w:val="auto"/>
        </w:rPr>
      </w:pPr>
    </w:p>
    <w:p>
      <w:pPr>
        <w:sectPr>
          <w:pgSz w:w="11900" w:h="16838" w:orient="portrait"/>
          <w:cols w:equalWidth="0" w:num="2">
            <w:col w:w="6780" w:space="720"/>
            <w:col w:w="3740"/>
          </w:cols>
          <w:pgMar w:left="320" w:top="524" w:right="339" w:bottom="1440" w:gutter="0" w:footer="0" w:header="0"/>
          <w:type w:val="continuous"/>
        </w:sectPr>
      </w:pPr>
    </w:p>
    <w:p>
      <w:pPr>
        <w:ind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20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April 22, 2022 was 163,426,943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7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780" w:type="dxa"/>
            <w:vAlign w:val="bottom"/>
            <w:tcBorders>
              <w:top w:val="single" w:sz="8" w:color="CCEEFF"/>
            </w:tcBorders>
            <w:gridSpan w:val="13"/>
            <w:shd w:val="clear" w:color="auto" w:fill="CCEEFF"/>
          </w:tcPr>
          <w:p>
            <w:pPr>
              <w:jc w:val="center"/>
              <w:ind w:right="3760"/>
              <w:spacing w:after="0" w:line="169" w:lineRule="exact"/>
              <w:rPr>
                <w:sz w:val="20"/>
                <w:szCs w:val="20"/>
                <w:color w:val="auto"/>
              </w:rPr>
            </w:pPr>
            <w:r>
              <w:rPr>
                <w:rFonts w:ascii="Times New Roman" w:cs="Times New Roman" w:eastAsia="Times New Roman" w:hAnsi="Times New Roman"/>
                <w:sz w:val="18"/>
                <w:szCs w:val="18"/>
                <w:b w:val="1"/>
                <w:bCs w:val="1"/>
                <w:i w:val="1"/>
                <w:iCs w:val="1"/>
                <w:color w:val="0000EE"/>
                <w:w w:val="98"/>
              </w:rPr>
              <w:t>PART I - FINANCIAL INFORMATION</w:t>
            </w: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March 31, 2022 and December 31, 2021</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 For the Three Months Ended March 31, 2022 and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 For the Three Months Ended March 31, 2022 and 2021</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 For the Three Months Ended March 31, 2022 and 2021</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gridSpan w:val="12"/>
          </w:tcPr>
          <w:p>
            <w:pPr>
              <w:jc w:val="center"/>
              <w:ind w:right="3880"/>
              <w:spacing w:after="0" w:line="176" w:lineRule="exact"/>
              <w:rPr>
                <w:sz w:val="20"/>
                <w:szCs w:val="20"/>
                <w:color w:val="auto"/>
              </w:rPr>
            </w:pPr>
            <w:r>
              <w:rPr>
                <w:rFonts w:ascii="Times New Roman" w:cs="Times New Roman" w:eastAsia="Times New Roman" w:hAnsi="Times New Roman"/>
                <w:sz w:val="18"/>
                <w:szCs w:val="18"/>
                <w:b w:val="1"/>
                <w:bCs w:val="1"/>
                <w:i w:val="1"/>
                <w:iCs w:val="1"/>
                <w:color w:val="0000EE"/>
                <w:w w:val="98"/>
              </w:rPr>
              <w:t>PART II - OTHER INFORMATION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2"/>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89" w:lineRule="exact"/>
        <w:rPr>
          <w:sz w:val="20"/>
          <w:szCs w:val="20"/>
          <w:color w:val="auto"/>
        </w:rPr>
      </w:pPr>
    </w:p>
    <w:p>
      <w:pPr>
        <w:ind w:right="20" w:firstLine="374"/>
        <w:spacing w:after="0" w:line="219" w:lineRule="exact"/>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Quarterly Report on Form 10-Q (this “Form 10-Q”) may include, without limitation, statements regarding:</w:t>
      </w:r>
    </w:p>
    <w:p>
      <w:pPr>
        <w:spacing w:after="0" w:line="95"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and income taxes;</w:t>
      </w:r>
    </w:p>
    <w:p>
      <w:pPr>
        <w:spacing w:after="0" w:line="117" w:lineRule="exact"/>
        <w:rPr>
          <w:rFonts w:ascii="Times New Roman" w:cs="Times New Roman" w:eastAsia="Times New Roman" w:hAnsi="Times New Roman"/>
          <w:sz w:val="18"/>
          <w:szCs w:val="18"/>
          <w:color w:val="auto"/>
        </w:rPr>
      </w:pPr>
    </w:p>
    <w:p>
      <w:pPr>
        <w:ind w:left="740" w:right="42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17" w:lineRule="exact"/>
        <w:rPr>
          <w:rFonts w:ascii="Times New Roman" w:cs="Times New Roman" w:eastAsia="Times New Roman" w:hAnsi="Times New Roman"/>
          <w:sz w:val="18"/>
          <w:szCs w:val="18"/>
          <w:color w:val="auto"/>
        </w:rPr>
      </w:pPr>
    </w:p>
    <w:p>
      <w:pPr>
        <w:ind w:left="740" w:right="160" w:hanging="368"/>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amortization of intangible assets;</w:t>
      </w:r>
    </w:p>
    <w:p>
      <w:pPr>
        <w:spacing w:after="0" w:line="117"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collaborations, licensing arrangements and other significant agreements with third parties relating to our products and our development programs;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new legislation, rules and regulations and the adoption of new accounting pronouncements;</w:t>
      </w:r>
    </w:p>
    <w:p>
      <w:pPr>
        <w:spacing w:after="0" w:line="88" w:lineRule="exact"/>
        <w:rPr>
          <w:rFonts w:ascii="Times New Roman" w:cs="Times New Roman" w:eastAsia="Times New Roman" w:hAnsi="Times New Roman"/>
          <w:sz w:val="18"/>
          <w:szCs w:val="18"/>
          <w:color w:val="auto"/>
        </w:rPr>
      </w:pPr>
    </w:p>
    <w:p>
      <w:pPr>
        <w:ind w:left="740" w:right="220" w:hanging="368"/>
        <w:spacing w:after="0" w:line="239" w:lineRule="exact"/>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changes in the nature of our market risk exposures or in our management’s objectives and strategies with respect to managing such exposures;</w:t>
      </w:r>
    </w:p>
    <w:p>
      <w:pPr>
        <w:spacing w:after="0" w:line="90" w:lineRule="exact"/>
        <w:rPr>
          <w:rFonts w:ascii="Times New Roman" w:cs="Times New Roman" w:eastAsia="Times New Roman" w:hAnsi="Times New Roman"/>
          <w:sz w:val="18"/>
          <w:szCs w:val="18"/>
          <w:color w:val="auto"/>
        </w:rPr>
      </w:pPr>
    </w:p>
    <w:p>
      <w:pPr>
        <w:ind w:left="740" w:right="8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53"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53"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ongoing novel coronavirus (“COVID-19”) pandemic on our business and operations;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9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 Risk Factors” in our Annual Report on Form 10-K for the year ended December 31, 2021, filed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with the United States (“U.S.”) Securities and Exchange Commission (the “SEC”) on February 16, 2022 (our “Annual Report”).</w:t>
      </w:r>
    </w:p>
    <w:p>
      <w:pPr>
        <w:spacing w:after="0" w:line="198"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the industry publications and third-party research, surveys and studies are reliable, we have not independently verified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21"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7"/>
          <w:szCs w:val="17"/>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w:t>
      </w:r>
    </w:p>
    <w:p>
      <w:pPr>
        <w:ind w:right="3840"/>
        <w:spacing w:after="0" w:line="365" w:lineRule="auto"/>
        <w:rPr>
          <w:sz w:val="20"/>
          <w:szCs w:val="20"/>
          <w:color w:val="auto"/>
        </w:rPr>
      </w:pPr>
      <w:r>
        <w:rPr>
          <w:rFonts w:ascii="Times New Roman" w:cs="Times New Roman" w:eastAsia="Times New Roman" w:hAnsi="Times New Roman"/>
          <w:sz w:val="18"/>
          <w:szCs w:val="18"/>
          <w:color w:val="auto"/>
        </w:rPr>
        <w:t xml:space="preserve">(c) references to “licensees” in this Form 10-Q are used interchangeably with references to “partners.” </w:t>
      </w:r>
      <w:r>
        <w:rPr>
          <w:rFonts w:ascii="Times New Roman" w:cs="Times New Roman" w:eastAsia="Times New Roman" w:hAnsi="Times New Roman"/>
          <w:sz w:val="18"/>
          <w:szCs w:val="18"/>
          <w:b w:val="1"/>
          <w:bCs w:val="1"/>
          <w:color w:val="auto"/>
        </w:rPr>
        <w:t>Note Regarding Trademarks</w:t>
      </w: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ANJESO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—Baudax Bio, Inc.; BYANNLI</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XEPLION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RISPERDAL CONSTA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—Johnson &amp; Johnson Corporation (or its affiliates); 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—Merck Sharp &amp; Dohme Corp.; and VUMERITY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are referred to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9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55"/>
        </w:trPr>
        <w:tc>
          <w:tcPr>
            <w:tcW w:w="7480" w:type="dxa"/>
            <w:vAlign w:val="bottom"/>
          </w:tcPr>
          <w:p>
            <w:pPr>
              <w:spacing w:after="0"/>
              <w:rPr>
                <w:sz w:val="13"/>
                <w:szCs w:val="13"/>
                <w:color w:val="auto"/>
              </w:rPr>
            </w:pPr>
          </w:p>
        </w:tc>
        <w:tc>
          <w:tcPr>
            <w:tcW w:w="3760" w:type="dxa"/>
            <w:vAlign w:val="bottom"/>
            <w:gridSpan w:val="3"/>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$282,557</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$337,544</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249,942</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313,193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246,315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198,767</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154,786</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150,335</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20,212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61,018</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48,967</w:t>
            </w:r>
          </w:p>
        </w:tc>
        <w:tc>
          <w:tcPr>
            <w:tcW w:w="0" w:type="dxa"/>
            <w:vAlign w:val="bottom"/>
          </w:tcPr>
          <w:p>
            <w:pPr>
              <w:spacing w:after="0"/>
              <w:rPr>
                <w:sz w:val="1"/>
                <w:szCs w:val="1"/>
                <w:color w:val="auto"/>
              </w:rPr>
            </w:pPr>
          </w:p>
        </w:tc>
      </w:tr>
      <w:tr>
        <w:trPr>
          <w:trHeight w:val="182"/>
        </w:trPr>
        <w:tc>
          <w:tcPr>
            <w:tcW w:w="74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1,014,830</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1,062,169</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336,740</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341,054</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229,825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229,430</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115,321</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115,627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INTANGIBLE ASSETS, NET</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65,077</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74,043</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112,515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81,833</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10,664</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27,455</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$1,977,845</w:t>
            </w:r>
          </w:p>
        </w:tc>
        <w:tc>
          <w:tcPr>
            <w:tcW w:w="1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$2,024,484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$173,126</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$208,491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265,172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237,216</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16,144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4,919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462,361</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471,286</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292,171</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292,804</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104,014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104,162</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43,909</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902,455</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911,900</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COMMITMENTS AND CONTINGENT LIABILITIES (Note 15)</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SHAREHOLDERS’ EQUITY:</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zero issued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at March 31, 2022 and December 31, 2021, respectively</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167,743,842 and</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480" w:type="dxa"/>
            <w:vAlign w:val="bottom"/>
            <w:shd w:val="clear" w:color="auto" w:fill="CFF0FC"/>
          </w:tcPr>
          <w:p>
            <w:pPr>
              <w:ind w:left="380"/>
              <w:spacing w:after="0" w:line="184" w:lineRule="exact"/>
              <w:rPr>
                <w:sz w:val="20"/>
                <w:szCs w:val="20"/>
                <w:color w:val="auto"/>
              </w:rPr>
            </w:pPr>
            <w:r>
              <w:rPr>
                <w:rFonts w:ascii="Times New Roman" w:cs="Times New Roman" w:eastAsia="Times New Roman" w:hAnsi="Times New Roman"/>
                <w:sz w:val="18"/>
                <w:szCs w:val="18"/>
                <w:color w:val="auto"/>
              </w:rPr>
              <w:t>165,790,549 shares issued; 163,212,411 and 161,937,327 shares outstanding at March 31, 2022</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Times New Roman" w:cs="Times New Roman" w:eastAsia="Times New Roman" w:hAnsi="Times New Roman"/>
                <w:sz w:val="18"/>
                <w:szCs w:val="18"/>
                <w:color w:val="auto"/>
              </w:rPr>
              <w:t>Treasury shares, at cost (4,531,431 and 3,853,222 shares at March 31, 2022 and December 31,</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 respectively)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(159,727)</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2,818,595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2,798,325</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(8,234)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(1,576,921)</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(1,541,018)</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1,075,390</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1,112,584</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$1,977,845</w:t>
            </w:r>
          </w:p>
        </w:tc>
        <w:tc>
          <w:tcPr>
            <w:tcW w:w="180" w:type="dxa"/>
            <w:vAlign w:val="bottom"/>
            <w:tcBorders>
              <w:bottom w:val="single" w:sz="8" w:color="CFF0FC"/>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$2,024,484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ind w:right="-7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55"/>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0" w:type="dxa"/>
            <w:vAlign w:val="bottom"/>
          </w:tcPr>
          <w:p>
            <w:pPr>
              <w:spacing w:after="0"/>
              <w:rPr>
                <w:sz w:val="13"/>
                <w:szCs w:val="13"/>
                <w:color w:val="auto"/>
              </w:rPr>
            </w:pPr>
          </w:p>
        </w:tc>
      </w:tr>
      <w:tr>
        <w:trPr>
          <w:trHeight w:val="189"/>
        </w:trPr>
        <w:tc>
          <w:tcPr>
            <w:tcW w:w="7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Product sales, net</w:t>
            </w:r>
          </w:p>
        </w:tc>
        <w:tc>
          <w:tcPr>
            <w:tcW w:w="1040" w:type="dxa"/>
            <w:vAlign w:val="bottom"/>
            <w:gridSpan w:val="2"/>
          </w:tcPr>
          <w:p>
            <w:pPr>
              <w:jc w:val="right"/>
              <w:ind w:right="762"/>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171,268</w:t>
            </w:r>
          </w:p>
        </w:tc>
        <w:tc>
          <w:tcPr>
            <w:tcW w:w="280" w:type="dxa"/>
            <w:vAlign w:val="bottom"/>
          </w:tcPr>
          <w:p>
            <w:pPr>
              <w:spacing w:after="0"/>
              <w:rPr>
                <w:sz w:val="16"/>
                <w:szCs w:val="16"/>
                <w:color w:val="auto"/>
              </w:rPr>
            </w:pPr>
          </w:p>
        </w:tc>
        <w:tc>
          <w:tcPr>
            <w:tcW w:w="560" w:type="dxa"/>
            <w:vAlign w:val="bottom"/>
          </w:tcPr>
          <w:p>
            <w:pPr>
              <w:jc w:val="right"/>
              <w:ind w:right="3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129,963</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105,170</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119,847</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 revenue</w:t>
            </w:r>
          </w:p>
        </w:tc>
        <w:tc>
          <w:tcPr>
            <w:tcW w:w="12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6"/>
                <w:szCs w:val="16"/>
                <w:color w:val="auto"/>
              </w:rPr>
            </w:pPr>
          </w:p>
        </w:tc>
      </w:tr>
      <w:tr>
        <w:trPr>
          <w:trHeight w:val="183"/>
        </w:trPr>
        <w:tc>
          <w:tcPr>
            <w:tcW w:w="760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278,545</w:t>
            </w:r>
          </w:p>
        </w:tc>
        <w:tc>
          <w:tcPr>
            <w:tcW w:w="28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251,430</w:t>
            </w:r>
          </w:p>
        </w:tc>
        <w:tc>
          <w:tcPr>
            <w:tcW w:w="100" w:type="dxa"/>
            <w:vAlign w:val="bottom"/>
            <w:tcBorders>
              <w:bottom w:val="single" w:sz="8" w:color="CFF0FC"/>
            </w:tcBorders>
          </w:tcPr>
          <w:p>
            <w:pPr>
              <w:spacing w:after="0"/>
              <w:rPr>
                <w:sz w:val="15"/>
                <w:szCs w:val="15"/>
                <w:color w:val="auto"/>
              </w:rPr>
            </w:pPr>
          </w:p>
        </w:tc>
      </w:tr>
      <w:tr>
        <w:trPr>
          <w:trHeight w:val="183"/>
        </w:trPr>
        <w:tc>
          <w:tcPr>
            <w:tcW w:w="7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1"/>
        </w:trPr>
        <w:tc>
          <w:tcPr>
            <w:tcW w:w="7600" w:type="dxa"/>
            <w:vAlign w:val="bottom"/>
          </w:tcPr>
          <w:p>
            <w:pPr>
              <w:ind w:left="260"/>
              <w:spacing w:after="0" w:line="170"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 acquired intangible assets shown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below)</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100" w:type="dxa"/>
            <w:vAlign w:val="bottom"/>
          </w:tcPr>
          <w:p>
            <w:pPr>
              <w:spacing w:after="0"/>
              <w:rPr>
                <w:sz w:val="18"/>
                <w:szCs w:val="18"/>
                <w:color w:val="auto"/>
              </w:rPr>
            </w:pP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95,953</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92,268</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145,052</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125,168</w:t>
            </w:r>
          </w:p>
        </w:tc>
        <w:tc>
          <w:tcPr>
            <w:tcW w:w="100" w:type="dxa"/>
            <w:vAlign w:val="bottom"/>
          </w:tcPr>
          <w:p>
            <w:pPr>
              <w:spacing w:after="0"/>
              <w:rPr>
                <w:sz w:val="16"/>
                <w:szCs w:val="16"/>
                <w:color w:val="auto"/>
              </w:rPr>
            </w:pP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8,966</w:t>
            </w:r>
          </w:p>
        </w:tc>
        <w:tc>
          <w:tcPr>
            <w:tcW w:w="280" w:type="dxa"/>
            <w:vAlign w:val="bottom"/>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9,406</w:t>
            </w:r>
          </w:p>
        </w:tc>
        <w:tc>
          <w:tcPr>
            <w:tcW w:w="100" w:type="dxa"/>
            <w:vAlign w:val="bottom"/>
            <w:shd w:val="clear" w:color="auto" w:fill="CFF0FC"/>
          </w:tcPr>
          <w:p>
            <w:pPr>
              <w:spacing w:after="0"/>
              <w:rPr>
                <w:sz w:val="16"/>
                <w:szCs w:val="16"/>
                <w:color w:val="auto"/>
              </w:rPr>
            </w:pPr>
          </w:p>
        </w:tc>
      </w:tr>
      <w:tr>
        <w:trPr>
          <w:trHeight w:val="183"/>
        </w:trPr>
        <w:tc>
          <w:tcPr>
            <w:tcW w:w="7600" w:type="dxa"/>
            <w:vAlign w:val="bottom"/>
            <w:tcBorders>
              <w:bottom w:val="single" w:sz="8" w:color="CFF0FC"/>
            </w:tcBorders>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305,130</w:t>
            </w:r>
          </w:p>
        </w:tc>
        <w:tc>
          <w:tcPr>
            <w:tcW w:w="28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267,862</w:t>
            </w:r>
          </w:p>
        </w:tc>
        <w:tc>
          <w:tcPr>
            <w:tcW w:w="100" w:type="dxa"/>
            <w:vAlign w:val="bottom"/>
            <w:tcBorders>
              <w:bottom w:val="single" w:sz="8" w:color="CFF0FC"/>
            </w:tcBorders>
          </w:tcPr>
          <w:p>
            <w:pPr>
              <w:spacing w:after="0"/>
              <w:rPr>
                <w:sz w:val="15"/>
                <w:szCs w:val="15"/>
                <w:color w:val="auto"/>
              </w:rPr>
            </w:pPr>
          </w:p>
        </w:tc>
      </w:tr>
      <w:tr>
        <w:trPr>
          <w:trHeight w:val="183"/>
        </w:trPr>
        <w:tc>
          <w:tcPr>
            <w:tcW w:w="7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(26,585)</w:t>
            </w:r>
          </w:p>
        </w:tc>
        <w:tc>
          <w:tcPr>
            <w:tcW w:w="28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(16,432)</w:t>
            </w:r>
          </w:p>
        </w:tc>
        <w:tc>
          <w:tcPr>
            <w:tcW w:w="100" w:type="dxa"/>
            <w:vAlign w:val="bottom"/>
            <w:shd w:val="clear" w:color="auto" w:fill="CFF0FC"/>
          </w:tcPr>
          <w:p>
            <w:pPr>
              <w:spacing w:after="0"/>
              <w:rPr>
                <w:sz w:val="15"/>
                <w:szCs w:val="15"/>
                <w:color w:val="auto"/>
              </w:rPr>
            </w:pPr>
          </w:p>
        </w:tc>
      </w:tr>
      <w:tr>
        <w:trPr>
          <w:trHeight w:val="183"/>
        </w:trPr>
        <w:tc>
          <w:tcPr>
            <w:tcW w:w="7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573</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(2,350)</w:t>
            </w:r>
          </w:p>
        </w:tc>
        <w:tc>
          <w:tcPr>
            <w:tcW w:w="56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(3,970)</w:t>
            </w: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(19,067)</w:t>
            </w: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FF0FC"/>
          </w:tcPr>
          <w:p>
            <w:pPr>
              <w:spacing w:after="0"/>
              <w:rPr>
                <w:sz w:val="16"/>
                <w:szCs w:val="16"/>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2,431</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(393)</w:t>
            </w:r>
          </w:p>
        </w:tc>
      </w:tr>
      <w:tr>
        <w:trPr>
          <w:trHeight w:val="183"/>
        </w:trPr>
        <w:tc>
          <w:tcPr>
            <w:tcW w:w="7600" w:type="dxa"/>
            <w:vAlign w:val="bottom"/>
            <w:tcBorders>
              <w:top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(18,413)</w:t>
            </w:r>
          </w:p>
        </w:tc>
        <w:tc>
          <w:tcPr>
            <w:tcW w:w="28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7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(44,998)</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(18,653)</w:t>
            </w:r>
          </w:p>
        </w:tc>
        <w:tc>
          <w:tcPr>
            <w:tcW w:w="100" w:type="dxa"/>
            <w:vAlign w:val="bottom"/>
          </w:tcPr>
          <w:p>
            <w:pPr>
              <w:spacing w:after="0"/>
              <w:rPr>
                <w:sz w:val="15"/>
                <w:szCs w:val="15"/>
                <w:color w:val="auto"/>
              </w:rPr>
            </w:pPr>
          </w:p>
        </w:tc>
      </w:tr>
      <w:tr>
        <w:trPr>
          <w:trHeight w:val="189"/>
        </w:trPr>
        <w:tc>
          <w:tcPr>
            <w:tcW w:w="7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(9,095)</w:t>
            </w: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FF0FC"/>
          </w:tcPr>
          <w:p>
            <w:pPr>
              <w:spacing w:after="0"/>
              <w:rPr>
                <w:sz w:val="16"/>
                <w:szCs w:val="16"/>
                <w:color w:val="auto"/>
              </w:rPr>
            </w:pPr>
          </w:p>
        </w:tc>
      </w:tr>
      <w:tr>
        <w:trPr>
          <w:trHeight w:val="223"/>
        </w:trPr>
        <w:tc>
          <w:tcPr>
            <w:tcW w:w="760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6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(35,903)</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(22,418)</w:t>
            </w:r>
          </w:p>
        </w:tc>
        <w:tc>
          <w:tcPr>
            <w:tcW w:w="100" w:type="dxa"/>
            <w:vAlign w:val="bottom"/>
            <w:tcBorders>
              <w:bottom w:val="single" w:sz="8" w:color="CFF0FC"/>
            </w:tcBorders>
          </w:tcPr>
          <w:p>
            <w:pPr>
              <w:spacing w:after="0"/>
              <w:rPr>
                <w:sz w:val="19"/>
                <w:szCs w:val="19"/>
                <w:color w:val="auto"/>
              </w:rPr>
            </w:pPr>
          </w:p>
        </w:tc>
      </w:tr>
      <w:tr>
        <w:trPr>
          <w:trHeight w:val="169"/>
        </w:trPr>
        <w:tc>
          <w:tcPr>
            <w:tcW w:w="76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LOSS PER ORDINARY SHARE:</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2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1040" w:type="dxa"/>
            <w:vAlign w:val="bottom"/>
            <w:gridSpan w:val="2"/>
          </w:tcPr>
          <w:p>
            <w:pPr>
              <w:jc w:val="right"/>
              <w:ind w:right="762"/>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(0.22)</w:t>
            </w:r>
          </w:p>
        </w:tc>
        <w:tc>
          <w:tcPr>
            <w:tcW w:w="560" w:type="dxa"/>
            <w:vAlign w:val="bottom"/>
          </w:tcPr>
          <w:p>
            <w:pPr>
              <w:jc w:val="right"/>
              <w:ind w:right="3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(0.14)</w:t>
            </w:r>
          </w:p>
        </w:tc>
      </w:tr>
      <w:tr>
        <w:trPr>
          <w:trHeight w:val="169"/>
        </w:trPr>
        <w:tc>
          <w:tcPr>
            <w:tcW w:w="7600" w:type="dxa"/>
            <w:vAlign w:val="bottom"/>
            <w:tcBorders>
              <w:top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229"/>
        </w:trPr>
        <w:tc>
          <w:tcPr>
            <w:tcW w:w="76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162,483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159,634</w:t>
            </w:r>
          </w:p>
        </w:tc>
        <w:tc>
          <w:tcPr>
            <w:tcW w:w="100" w:type="dxa"/>
            <w:vAlign w:val="bottom"/>
            <w:tcBorders>
              <w:bottom w:val="single" w:sz="8" w:color="CFF0FC"/>
            </w:tcBorders>
          </w:tcPr>
          <w:p>
            <w:pPr>
              <w:spacing w:after="0"/>
              <w:rPr>
                <w:sz w:val="19"/>
                <w:szCs w:val="19"/>
                <w:color w:val="auto"/>
              </w:rPr>
            </w:pPr>
          </w:p>
        </w:tc>
      </w:tr>
      <w:tr>
        <w:trPr>
          <w:trHeight w:val="170"/>
        </w:trPr>
        <w:tc>
          <w:tcPr>
            <w:tcW w:w="76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6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762"/>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(35,903)</w:t>
            </w:r>
          </w:p>
        </w:tc>
        <w:tc>
          <w:tcPr>
            <w:tcW w:w="560" w:type="dxa"/>
            <w:vAlign w:val="bottom"/>
          </w:tcPr>
          <w:p>
            <w:pPr>
              <w:jc w:val="right"/>
              <w:ind w:right="3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(22,418)</w:t>
            </w:r>
          </w:p>
        </w:tc>
      </w:tr>
      <w:tr>
        <w:trPr>
          <w:trHeight w:val="189"/>
        </w:trPr>
        <w:tc>
          <w:tcPr>
            <w:tcW w:w="76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Holding loss, net of a tax benefit of $(1,382) and $(174), respectively</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(4,511)</w:t>
            </w:r>
          </w:p>
        </w:tc>
        <w:tc>
          <w:tcPr>
            <w:tcW w:w="5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(601)</w:t>
            </w:r>
          </w:p>
        </w:tc>
      </w:tr>
      <w:tr>
        <w:trPr>
          <w:trHeight w:val="183"/>
        </w:trPr>
        <w:tc>
          <w:tcPr>
            <w:tcW w:w="7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76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(40,414)</w:t>
            </w:r>
          </w:p>
        </w:tc>
        <w:tc>
          <w:tcPr>
            <w:tcW w:w="2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3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(23,019)</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2"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center"/>
              <w:ind w:left="41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(35,903)</w:t>
            </w:r>
          </w:p>
        </w:tc>
        <w:tc>
          <w:tcPr>
            <w:tcW w:w="52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(22,418)</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19,197</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18,343</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(29,301)</w:t>
            </w: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19,067</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Payment made for debt modification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non-cash charges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63,290</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(6,849)</w:t>
            </w: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(4,285)</w:t>
            </w:r>
          </w:p>
        </w:tc>
        <w:tc>
          <w:tcPr>
            <w:tcW w:w="5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(8,652)</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(15,351)</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(16,807)</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4,129</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(5,458)</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(71,949)</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(2,980)</w:t>
            </w:r>
          </w:p>
        </w:tc>
        <w:tc>
          <w:tcPr>
            <w:tcW w:w="5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(4,411)</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1,819</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21,678</w:t>
            </w:r>
          </w:p>
        </w:tc>
        <w:tc>
          <w:tcPr>
            <w:tcW w:w="260" w:type="dxa"/>
            <w:vAlign w:val="bottom"/>
            <w:tcBorders>
              <w:top w:val="single" w:sz="8" w:color="CFF0FC"/>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(45,146)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 of property, plant and equipment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(7,791)</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sale of equipment</w:t>
            </w:r>
          </w:p>
        </w:tc>
        <w:tc>
          <w:tcPr>
            <w:tcW w:w="3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contingent consideration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501</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Return of Fountain Healthcare Partners II, L.P. investment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485</w:t>
            </w: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(114,615)</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(122,545)</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60,779</w:t>
            </w:r>
          </w:p>
        </w:tc>
        <w:tc>
          <w:tcPr>
            <w:tcW w:w="26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86,193</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(60,641)</w:t>
            </w:r>
          </w:p>
        </w:tc>
        <w:tc>
          <w:tcPr>
            <w:tcW w:w="26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1,795</w:t>
            </w: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(17,069)</w:t>
            </w:r>
          </w:p>
        </w:tc>
        <w:tc>
          <w:tcPr>
            <w:tcW w:w="5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23,567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Payment made for debt extinguishment</w:t>
            </w:r>
          </w:p>
        </w:tc>
        <w:tc>
          <w:tcPr>
            <w:tcW w:w="320" w:type="dxa"/>
            <w:vAlign w:val="bottom"/>
          </w:tcPr>
          <w:p>
            <w:pPr>
              <w:spacing w:after="0"/>
              <w:rPr>
                <w:sz w:val="16"/>
                <w:szCs w:val="16"/>
                <w:color w:val="auto"/>
              </w:rPr>
            </w:pPr>
          </w:p>
        </w:tc>
        <w:tc>
          <w:tcPr>
            <w:tcW w:w="128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6"/>
                <w:szCs w:val="16"/>
                <w:color w:val="auto"/>
              </w:rPr>
            </w:pPr>
          </w:p>
        </w:tc>
        <w:tc>
          <w:tcPr>
            <w:tcW w:w="9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Principal payments of long-term debt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(750)</w:t>
            </w:r>
          </w:p>
        </w:tc>
        <w:tc>
          <w:tcPr>
            <w:tcW w:w="5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(16,024)</w:t>
            </w:r>
          </w:p>
        </w:tc>
        <w:tc>
          <w:tcPr>
            <w:tcW w:w="260" w:type="dxa"/>
            <w:vAlign w:val="bottom"/>
            <w:tcBorders>
              <w:bottom w:val="single" w:sz="8" w:color="CFF0FC"/>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14,945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(54,987)</w:t>
            </w: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(67,933)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337,544</w:t>
            </w:r>
          </w:p>
        </w:tc>
        <w:tc>
          <w:tcPr>
            <w:tcW w:w="26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272,961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EQUIVALENTS—End of period</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282,557</w:t>
            </w:r>
          </w:p>
        </w:tc>
        <w:tc>
          <w:tcPr>
            <w:tcW w:w="2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205,028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4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80" w:type="dxa"/>
            <w:vAlign w:val="bottom"/>
            <w:gridSpan w:val="9"/>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4"/>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Borders>
              <w:top w:val="single" w:sz="8" w:color="auto"/>
            </w:tcBorders>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1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BALANCE — December 31, 2021</w:t>
            </w:r>
          </w:p>
        </w:tc>
        <w:tc>
          <w:tcPr>
            <w:tcW w:w="1000" w:type="dxa"/>
            <w:vAlign w:val="bottom"/>
            <w:gridSpan w:val="3"/>
            <w:shd w:val="clear" w:color="auto" w:fill="CFF0FC"/>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165,790,549</w:t>
            </w:r>
          </w:p>
        </w:tc>
        <w:tc>
          <w:tcPr>
            <w:tcW w:w="280" w:type="dxa"/>
            <w:vAlign w:val="bottom"/>
            <w:gridSpan w:val="3"/>
            <w:shd w:val="clear" w:color="auto" w:fill="CFF0FC"/>
          </w:tcPr>
          <w:p>
            <w:pPr>
              <w:ind w:left="1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1,658</w:t>
            </w:r>
          </w:p>
        </w:tc>
        <w:tc>
          <w:tcPr>
            <w:tcW w:w="960" w:type="dxa"/>
            <w:vAlign w:val="bottom"/>
            <w:gridSpan w:val="4"/>
            <w:shd w:val="clear" w:color="auto" w:fill="CFF0FC"/>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$ 2,798,325</w:t>
            </w:r>
          </w:p>
        </w:tc>
        <w:tc>
          <w:tcPr>
            <w:tcW w:w="34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(3,723)</w:t>
            </w:r>
          </w:p>
        </w:tc>
        <w:tc>
          <w:tcPr>
            <w:tcW w:w="1100" w:type="dxa"/>
            <w:vAlign w:val="bottom"/>
            <w:gridSpan w:val="5"/>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 (1,541,018)</w:t>
            </w:r>
          </w:p>
        </w:tc>
        <w:tc>
          <w:tcPr>
            <w:tcW w:w="2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(3,853,222)</w:t>
            </w:r>
          </w:p>
        </w:tc>
        <w:tc>
          <w:tcPr>
            <w:tcW w:w="18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(142,658)</w:t>
            </w:r>
          </w:p>
        </w:tc>
        <w:tc>
          <w:tcPr>
            <w:tcW w:w="84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$ 1,112,584</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6"/>
                <w:szCs w:val="16"/>
                <w:color w:val="auto"/>
              </w:rPr>
              <w:t>Issuance of ordinary shares under employee</w:t>
            </w: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1,953,293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6"/>
                <w:szCs w:val="16"/>
                <w:color w:val="auto"/>
              </w:rPr>
              <w:t>Receipt of Alkermes' shares for the exercise</w:t>
            </w: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ind w:left="380"/>
              <w:spacing w:after="0" w:line="162" w:lineRule="exact"/>
              <w:rPr>
                <w:sz w:val="20"/>
                <w:szCs w:val="20"/>
                <w:color w:val="auto"/>
              </w:rPr>
            </w:pPr>
            <w:r>
              <w:rPr>
                <w:rFonts w:ascii="Times New Roman" w:cs="Times New Roman" w:eastAsia="Times New Roman" w:hAnsi="Times New Roman"/>
                <w:sz w:val="16"/>
                <w:szCs w:val="16"/>
                <w:color w:val="auto"/>
              </w:rPr>
              <w:t>of stock options or to satisfy minimum</w:t>
            </w:r>
          </w:p>
        </w:tc>
        <w:tc>
          <w:tcPr>
            <w:tcW w:w="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ind w:left="380"/>
              <w:spacing w:after="0" w:line="162" w:lineRule="exact"/>
              <w:rPr>
                <w:sz w:val="20"/>
                <w:szCs w:val="20"/>
                <w:color w:val="auto"/>
              </w:rPr>
            </w:pPr>
            <w:r>
              <w:rPr>
                <w:rFonts w:ascii="Times New Roman" w:cs="Times New Roman" w:eastAsia="Times New Roman" w:hAnsi="Times New Roman"/>
                <w:sz w:val="16"/>
                <w:szCs w:val="16"/>
                <w:color w:val="auto"/>
              </w:rPr>
              <w:t>tax withholding obligations related to</w:t>
            </w:r>
          </w:p>
        </w:tc>
        <w:tc>
          <w:tcPr>
            <w:tcW w:w="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40" w:type="dxa"/>
            <w:vAlign w:val="bottom"/>
            <w:gridSpan w:val="4"/>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(678,209)</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940" w:type="dxa"/>
            <w:vAlign w:val="bottom"/>
            <w:gridSpan w:val="5"/>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(17,069)</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share-based awards</w:t>
            </w:r>
          </w:p>
        </w:tc>
        <w:tc>
          <w:tcPr>
            <w:tcW w:w="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4"/>
            <w:vMerge w:val="continue"/>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3"/>
            <w:vMerge w:val="continue"/>
            <w:shd w:val="clear" w:color="auto" w:fill="CFF0FC"/>
          </w:tcPr>
          <w:p>
            <w:pPr>
              <w:spacing w:after="0"/>
              <w:rPr>
                <w:sz w:val="16"/>
                <w:szCs w:val="16"/>
                <w:color w:val="auto"/>
              </w:rPr>
            </w:pPr>
          </w:p>
        </w:tc>
        <w:tc>
          <w:tcPr>
            <w:tcW w:w="940" w:type="dxa"/>
            <w:vAlign w:val="bottom"/>
            <w:gridSpan w:val="5"/>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Pr>
          <w:p>
            <w:pPr>
              <w:spacing w:after="0"/>
              <w:rPr>
                <w:sz w:val="15"/>
                <w:szCs w:val="15"/>
                <w:color w:val="auto"/>
              </w:rPr>
            </w:pPr>
          </w:p>
        </w:tc>
        <w:tc>
          <w:tcPr>
            <w:tcW w:w="9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18,494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18,494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6"/>
                <w:szCs w:val="16"/>
                <w:color w:val="auto"/>
              </w:rPr>
              <w:t>Unrealized loss on marketable securities,</w:t>
            </w:r>
          </w:p>
        </w:tc>
        <w:tc>
          <w:tcPr>
            <w:tcW w:w="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(4,511)</w:t>
            </w: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gridSpan w:val="4"/>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3"/>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5"/>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(4,511)</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of tax (benefit) of $(1,382)</w:t>
            </w:r>
          </w:p>
        </w:tc>
        <w:tc>
          <w:tcPr>
            <w:tcW w:w="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4"/>
            <w:vMerge w:val="continue"/>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3"/>
            <w:vMerge w:val="continue"/>
            <w:shd w:val="clear" w:color="auto" w:fill="CFF0FC"/>
          </w:tcPr>
          <w:p>
            <w:pPr>
              <w:spacing w:after="0"/>
              <w:rPr>
                <w:sz w:val="16"/>
                <w:szCs w:val="16"/>
                <w:color w:val="auto"/>
              </w:rPr>
            </w:pPr>
          </w:p>
        </w:tc>
        <w:tc>
          <w:tcPr>
            <w:tcW w:w="940" w:type="dxa"/>
            <w:vAlign w:val="bottom"/>
            <w:gridSpan w:val="5"/>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5"/>
                <w:szCs w:val="15"/>
                <w:color w:val="auto"/>
              </w:rPr>
            </w:pPr>
          </w:p>
        </w:tc>
        <w:tc>
          <w:tcPr>
            <w:tcW w:w="9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5"/>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(35,903)</w:t>
            </w:r>
          </w:p>
        </w:tc>
        <w:tc>
          <w:tcPr>
            <w:tcW w:w="20" w:type="dxa"/>
            <w:vAlign w:val="bottom"/>
          </w:tcPr>
          <w:p>
            <w:pPr>
              <w:spacing w:after="0"/>
              <w:rPr>
                <w:sz w:val="15"/>
                <w:szCs w:val="15"/>
                <w:color w:val="auto"/>
              </w:rPr>
            </w:pPr>
          </w:p>
        </w:tc>
        <w:tc>
          <w:tcPr>
            <w:tcW w:w="920" w:type="dxa"/>
            <w:vAlign w:val="bottom"/>
            <w:gridSpan w:val="3"/>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5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5"/>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(35,903)</w:t>
            </w:r>
          </w:p>
        </w:tc>
        <w:tc>
          <w:tcPr>
            <w:tcW w:w="0" w:type="dxa"/>
            <w:vAlign w:val="bottom"/>
          </w:tcPr>
          <w:p>
            <w:pPr>
              <w:spacing w:after="0"/>
              <w:rPr>
                <w:sz w:val="1"/>
                <w:szCs w:val="1"/>
                <w:color w:val="auto"/>
              </w:rPr>
            </w:pPr>
          </w:p>
        </w:tc>
      </w:tr>
      <w:tr>
        <w:trPr>
          <w:trHeight w:val="169"/>
        </w:trPr>
        <w:tc>
          <w:tcPr>
            <w:tcW w:w="316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BALANCE — March 31, 2022</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167,743,842</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1,677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w w:val="94"/>
              </w:rPr>
              <w:t>$ 2,818,595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(8,234)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98"/>
              </w:rPr>
              <w:t>$ (1,576,921</w:t>
            </w:r>
          </w:p>
        </w:tc>
        <w:tc>
          <w:tcPr>
            <w:tcW w:w="180" w:type="dxa"/>
            <w:vAlign w:val="bottom"/>
            <w:tcBorders>
              <w:top w:val="single" w:sz="8" w:color="CFF0FC"/>
              <w:bottom w:val="single" w:sz="8" w:color="CFF0FC"/>
            </w:tcBorders>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(4,531,431</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(159,727</w:t>
            </w:r>
          </w:p>
        </w:tc>
        <w:tc>
          <w:tcPr>
            <w:tcW w:w="120" w:type="dxa"/>
            <w:vAlign w:val="bottom"/>
            <w:tcBorders>
              <w:top w:val="single" w:sz="8" w:color="CFF0FC"/>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97"/>
              </w:rPr>
              <w:t>$ 1,075,390</w:t>
            </w: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6"/>
                <w:szCs w:val="16"/>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80" w:type="dxa"/>
            <w:vAlign w:val="bottom"/>
            <w:gridSpan w:val="9"/>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1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gridSpan w:val="2"/>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BALANCE — December 31, 2020</w:t>
            </w:r>
          </w:p>
        </w:tc>
        <w:tc>
          <w:tcPr>
            <w:tcW w:w="860" w:type="dxa"/>
            <w:vAlign w:val="bottom"/>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162,269,220</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1,620</w:t>
            </w:r>
          </w:p>
        </w:tc>
        <w:tc>
          <w:tcPr>
            <w:tcW w:w="120" w:type="dxa"/>
            <w:vAlign w:val="bottom"/>
            <w:shd w:val="clear" w:color="auto" w:fill="CFF0FC"/>
          </w:tcPr>
          <w:p>
            <w:pPr>
              <w:spacing w:after="0"/>
              <w:rPr>
                <w:sz w:val="15"/>
                <w:szCs w:val="15"/>
                <w:color w:val="auto"/>
              </w:rPr>
            </w:pPr>
          </w:p>
        </w:tc>
        <w:tc>
          <w:tcPr>
            <w:tcW w:w="86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$ 2,685,647</w:t>
            </w:r>
          </w:p>
        </w:tc>
        <w:tc>
          <w:tcPr>
            <w:tcW w:w="100" w:type="dxa"/>
            <w:vAlign w:val="bottom"/>
            <w:shd w:val="clear" w:color="auto" w:fill="CFF0FC"/>
          </w:tcPr>
          <w:p>
            <w:pPr>
              <w:spacing w:after="0"/>
              <w:rPr>
                <w:sz w:val="15"/>
                <w:szCs w:val="15"/>
                <w:color w:val="auto"/>
              </w:rPr>
            </w:pPr>
          </w:p>
        </w:tc>
        <w:tc>
          <w:tcPr>
            <w:tcW w:w="340" w:type="dxa"/>
            <w:vAlign w:val="bottom"/>
            <w:gridSpan w:val="3"/>
            <w:shd w:val="clear" w:color="auto" w:fill="CFF0FC"/>
          </w:tcPr>
          <w:p>
            <w:pPr>
              <w:ind w:left="1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FF0FC"/>
          </w:tcPr>
          <w:p>
            <w:pPr>
              <w:spacing w:after="0"/>
              <w:rPr>
                <w:sz w:val="15"/>
                <w:szCs w:val="15"/>
                <w:color w:val="auto"/>
              </w:rPr>
            </w:pPr>
          </w:p>
        </w:tc>
        <w:tc>
          <w:tcPr>
            <w:tcW w:w="1100" w:type="dxa"/>
            <w:vAlign w:val="bottom"/>
            <w:gridSpan w:val="5"/>
            <w:shd w:val="clear" w:color="auto" w:fill="CFF0FC"/>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 (1,492,849)</w:t>
            </w:r>
          </w:p>
        </w:tc>
        <w:tc>
          <w:tcPr>
            <w:tcW w:w="20" w:type="dxa"/>
            <w:vAlign w:val="bottom"/>
            <w:shd w:val="clear" w:color="auto" w:fill="CFF0FC"/>
          </w:tcPr>
          <w:p>
            <w:pPr>
              <w:spacing w:after="0"/>
              <w:rPr>
                <w:sz w:val="15"/>
                <w:szCs w:val="15"/>
                <w:color w:val="auto"/>
              </w:rPr>
            </w:pPr>
          </w:p>
        </w:tc>
        <w:tc>
          <w:tcPr>
            <w:tcW w:w="920" w:type="dxa"/>
            <w:vAlign w:val="bottom"/>
            <w:gridSpan w:val="3"/>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(3,108,079)</w:t>
            </w:r>
          </w:p>
        </w:tc>
        <w:tc>
          <w:tcPr>
            <w:tcW w:w="18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3"/>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(126,087)</w:t>
            </w:r>
          </w:p>
        </w:tc>
        <w:tc>
          <w:tcPr>
            <w:tcW w:w="880" w:type="dxa"/>
            <w:vAlign w:val="bottom"/>
            <w:gridSpan w:val="4"/>
            <w:shd w:val="clear" w:color="auto" w:fill="CFF0FC"/>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$ 1,066,982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260"/>
              <w:spacing w:after="0" w:line="148" w:lineRule="exact"/>
              <w:rPr>
                <w:sz w:val="20"/>
                <w:szCs w:val="20"/>
                <w:color w:val="auto"/>
              </w:rPr>
            </w:pPr>
            <w:r>
              <w:rPr>
                <w:rFonts w:ascii="Times New Roman" w:cs="Times New Roman" w:eastAsia="Times New Roman" w:hAnsi="Times New Roman"/>
                <w:sz w:val="16"/>
                <w:szCs w:val="16"/>
                <w:color w:val="auto"/>
              </w:rPr>
              <w:t>Issuance of ordinary shares under</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1,566,685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2"/>
                <w:szCs w:val="12"/>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2,053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employee stock plans</w:t>
            </w: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6"/>
                <w:szCs w:val="16"/>
                <w:color w:val="auto"/>
              </w:rPr>
              <w:t>Receipt of Alkermes' shares for the</w:t>
            </w:r>
          </w:p>
        </w:tc>
        <w:tc>
          <w:tcPr>
            <w:tcW w:w="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ind w:left="380"/>
              <w:spacing w:after="0" w:line="162" w:lineRule="exact"/>
              <w:rPr>
                <w:sz w:val="20"/>
                <w:szCs w:val="20"/>
                <w:color w:val="auto"/>
              </w:rPr>
            </w:pPr>
            <w:r>
              <w:rPr>
                <w:rFonts w:ascii="Times New Roman" w:cs="Times New Roman" w:eastAsia="Times New Roman" w:hAnsi="Times New Roman"/>
                <w:sz w:val="16"/>
                <w:szCs w:val="16"/>
                <w:color w:val="auto"/>
              </w:rPr>
              <w:t>exercise of stock options or to satisfy</w:t>
            </w:r>
          </w:p>
        </w:tc>
        <w:tc>
          <w:tcPr>
            <w:tcW w:w="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ind w:left="380"/>
              <w:spacing w:after="0" w:line="162" w:lineRule="exact"/>
              <w:rPr>
                <w:sz w:val="20"/>
                <w:szCs w:val="20"/>
                <w:color w:val="auto"/>
              </w:rPr>
            </w:pPr>
            <w:r>
              <w:rPr>
                <w:rFonts w:ascii="Times New Roman" w:cs="Times New Roman" w:eastAsia="Times New Roman" w:hAnsi="Times New Roman"/>
                <w:sz w:val="16"/>
                <w:szCs w:val="16"/>
                <w:color w:val="auto"/>
              </w:rPr>
              <w:t>minimum tax withholding obligations</w:t>
            </w:r>
          </w:p>
        </w:tc>
        <w:tc>
          <w:tcPr>
            <w:tcW w:w="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40" w:type="dxa"/>
            <w:vAlign w:val="bottom"/>
            <w:gridSpan w:val="4"/>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(529,817)</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940" w:type="dxa"/>
            <w:vAlign w:val="bottom"/>
            <w:gridSpan w:val="5"/>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(10,413)</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related to share-based awards</w:t>
            </w:r>
          </w:p>
        </w:tc>
        <w:tc>
          <w:tcPr>
            <w:tcW w:w="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4"/>
            <w:vMerge w:val="continue"/>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3"/>
            <w:vMerge w:val="continue"/>
            <w:shd w:val="clear" w:color="auto" w:fill="CFF0FC"/>
          </w:tcPr>
          <w:p>
            <w:pPr>
              <w:spacing w:after="0"/>
              <w:rPr>
                <w:sz w:val="16"/>
                <w:szCs w:val="16"/>
                <w:color w:val="auto"/>
              </w:rPr>
            </w:pPr>
          </w:p>
        </w:tc>
        <w:tc>
          <w:tcPr>
            <w:tcW w:w="940" w:type="dxa"/>
            <w:vAlign w:val="bottom"/>
            <w:gridSpan w:val="5"/>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Share-based compensation</w:t>
            </w:r>
          </w:p>
        </w:tc>
        <w:tc>
          <w:tcPr>
            <w:tcW w:w="60" w:type="dxa"/>
            <w:vAlign w:val="bottom"/>
          </w:tcPr>
          <w:p>
            <w:pPr>
              <w:spacing w:after="0"/>
              <w:rPr>
                <w:sz w:val="15"/>
                <w:szCs w:val="15"/>
                <w:color w:val="auto"/>
              </w:rPr>
            </w:pPr>
          </w:p>
        </w:tc>
        <w:tc>
          <w:tcPr>
            <w:tcW w:w="94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6"/>
                <w:szCs w:val="16"/>
                <w:color w:val="auto"/>
              </w:rPr>
              <w:t>15,552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4"/>
          </w:tcPr>
          <w:p>
            <w:pPr>
              <w:jc w:val="right"/>
              <w:ind w:right="2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15,552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FF0FC"/>
          </w:tcPr>
          <w:p>
            <w:pPr>
              <w:ind w:left="260"/>
              <w:spacing w:after="0" w:line="148" w:lineRule="exact"/>
              <w:rPr>
                <w:sz w:val="20"/>
                <w:szCs w:val="20"/>
                <w:color w:val="auto"/>
              </w:rPr>
            </w:pPr>
            <w:r>
              <w:rPr>
                <w:rFonts w:ascii="Times New Roman" w:cs="Times New Roman" w:eastAsia="Times New Roman" w:hAnsi="Times New Roman"/>
                <w:sz w:val="16"/>
                <w:szCs w:val="16"/>
                <w:color w:val="auto"/>
              </w:rPr>
              <w:t>Unrealized loss on marketable securities,</w:t>
            </w:r>
          </w:p>
        </w:tc>
        <w:tc>
          <w:tcPr>
            <w:tcW w:w="6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gridSpan w:val="4"/>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gridSpan w:val="3"/>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5"/>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of tax (benefit) of $(174)</w:t>
            </w:r>
          </w:p>
        </w:tc>
        <w:tc>
          <w:tcPr>
            <w:tcW w:w="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40" w:type="dxa"/>
            <w:vAlign w:val="bottom"/>
            <w:gridSpan w:val="4"/>
            <w:vMerge w:val="continue"/>
            <w:shd w:val="clear" w:color="auto" w:fill="CFF0FC"/>
          </w:tcPr>
          <w:p>
            <w:pPr>
              <w:spacing w:after="0"/>
              <w:rPr>
                <w:sz w:val="16"/>
                <w:szCs w:val="16"/>
                <w:color w:val="auto"/>
              </w:rPr>
            </w:pPr>
          </w:p>
        </w:tc>
        <w:tc>
          <w:tcPr>
            <w:tcW w:w="92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gridSpan w:val="3"/>
            <w:vMerge w:val="continue"/>
            <w:shd w:val="clear" w:color="auto" w:fill="CFF0FC"/>
          </w:tcPr>
          <w:p>
            <w:pPr>
              <w:spacing w:after="0"/>
              <w:rPr>
                <w:sz w:val="16"/>
                <w:szCs w:val="16"/>
                <w:color w:val="auto"/>
              </w:rPr>
            </w:pPr>
          </w:p>
        </w:tc>
        <w:tc>
          <w:tcPr>
            <w:tcW w:w="940" w:type="dxa"/>
            <w:vAlign w:val="bottom"/>
            <w:gridSpan w:val="5"/>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60" w:type="dxa"/>
            <w:vAlign w:val="bottom"/>
          </w:tcPr>
          <w:p>
            <w:pPr>
              <w:spacing w:after="0"/>
              <w:rPr>
                <w:sz w:val="15"/>
                <w:szCs w:val="15"/>
                <w:color w:val="auto"/>
              </w:rPr>
            </w:pPr>
          </w:p>
        </w:tc>
        <w:tc>
          <w:tcPr>
            <w:tcW w:w="94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5"/>
          </w:tcPr>
          <w:p>
            <w:pPr>
              <w:jc w:val="right"/>
              <w:ind w:right="99"/>
              <w:spacing w:after="0" w:line="175" w:lineRule="exact"/>
              <w:rPr>
                <w:sz w:val="20"/>
                <w:szCs w:val="20"/>
                <w:color w:val="auto"/>
              </w:rPr>
            </w:pPr>
            <w:r>
              <w:rPr>
                <w:rFonts w:ascii="Times New Roman" w:cs="Times New Roman" w:eastAsia="Times New Roman" w:hAnsi="Times New Roman"/>
                <w:sz w:val="16"/>
                <w:szCs w:val="16"/>
                <w:color w:val="auto"/>
              </w:rPr>
              <w:t>(22,418)</w:t>
            </w:r>
          </w:p>
        </w:tc>
        <w:tc>
          <w:tcPr>
            <w:tcW w:w="20" w:type="dxa"/>
            <w:vAlign w:val="bottom"/>
          </w:tcPr>
          <w:p>
            <w:pPr>
              <w:spacing w:after="0"/>
              <w:rPr>
                <w:sz w:val="15"/>
                <w:szCs w:val="15"/>
                <w:color w:val="auto"/>
              </w:rPr>
            </w:pPr>
          </w:p>
        </w:tc>
        <w:tc>
          <w:tcPr>
            <w:tcW w:w="920" w:type="dxa"/>
            <w:vAlign w:val="bottom"/>
            <w:gridSpan w:val="3"/>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5"/>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(22,418)</w:t>
            </w:r>
          </w:p>
        </w:tc>
        <w:tc>
          <w:tcPr>
            <w:tcW w:w="0" w:type="dxa"/>
            <w:vAlign w:val="bottom"/>
          </w:tcPr>
          <w:p>
            <w:pPr>
              <w:spacing w:after="0"/>
              <w:rPr>
                <w:sz w:val="1"/>
                <w:szCs w:val="1"/>
                <w:color w:val="auto"/>
              </w:rPr>
            </w:pPr>
          </w:p>
        </w:tc>
      </w:tr>
      <w:tr>
        <w:trPr>
          <w:trHeight w:val="169"/>
        </w:trPr>
        <w:tc>
          <w:tcPr>
            <w:tcW w:w="30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BALANCE — March 31, 2021</w:t>
            </w: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163,835,905</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1,638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97"/>
              </w:rPr>
              <w:t>$ 2,703,234</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(1,950)</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98"/>
              </w:rPr>
              <w:t>$ (1,515,267</w:t>
            </w:r>
          </w:p>
        </w:tc>
        <w:tc>
          <w:tcPr>
            <w:tcW w:w="220" w:type="dxa"/>
            <w:vAlign w:val="bottom"/>
            <w:tcBorders>
              <w:top w:val="single" w:sz="8" w:color="CFF0FC"/>
              <w:bottom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(3,637,896</w:t>
            </w:r>
          </w:p>
        </w:tc>
        <w:tc>
          <w:tcPr>
            <w:tcW w:w="1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(136,500</w:t>
            </w:r>
          </w:p>
        </w:tc>
        <w:tc>
          <w:tcPr>
            <w:tcW w:w="10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w w:val="97"/>
              </w:rPr>
              <w:t>$ 1,051,155</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75" w:lineRule="exact"/>
        <w:rPr>
          <w:sz w:val="20"/>
          <w:szCs w:val="20"/>
          <w:color w:val="auto"/>
        </w:rPr>
      </w:pPr>
    </w:p>
    <w:p>
      <w:pPr>
        <w:ind w:firstLine="304"/>
        <w:spacing w:after="0" w:line="256" w:lineRule="auto"/>
        <w:rPr>
          <w:sz w:val="20"/>
          <w:szCs w:val="20"/>
          <w:color w:val="auto"/>
        </w:rPr>
      </w:pPr>
      <w:r>
        <w:rPr>
          <w:rFonts w:ascii="Times New Roman" w:cs="Times New Roman" w:eastAsia="Times New Roman" w:hAnsi="Times New Roman"/>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firstLine="30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months ended March 31, 2022 and 2021 are unaudited and have been prepared on a basis substantially consistent with the audited financial statements for the year ended December 31, 2021.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47" w:lineRule="exact"/>
        <w:rPr>
          <w:sz w:val="20"/>
          <w:szCs w:val="20"/>
          <w:color w:val="auto"/>
        </w:rPr>
      </w:pPr>
    </w:p>
    <w:p>
      <w:pPr>
        <w:ind w:right="60" w:firstLine="304"/>
        <w:spacing w:after="0" w:line="266"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right="480" w:firstLine="304"/>
        <w:spacing w:after="0" w:line="266"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Consolidated Financial Statements” accompanying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accounts and transactions have been eliminated.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00" w:lineRule="exact"/>
        <w:rPr>
          <w:sz w:val="20"/>
          <w:szCs w:val="20"/>
          <w:color w:val="auto"/>
        </w:rPr>
      </w:pPr>
    </w:p>
    <w:p>
      <w:pPr>
        <w:ind w:right="160" w:firstLine="304"/>
        <w:spacing w:after="0" w:line="282" w:lineRule="auto"/>
        <w:rPr>
          <w:sz w:val="20"/>
          <w:szCs w:val="20"/>
          <w:color w:val="auto"/>
        </w:rPr>
      </w:pPr>
      <w:r>
        <w:rPr>
          <w:rFonts w:ascii="Times New Roman" w:cs="Times New Roman" w:eastAsia="Times New Roman" w:hAnsi="Times New Roman"/>
          <w:sz w:val="18"/>
          <w:szCs w:val="18"/>
          <w:color w:val="auto"/>
        </w:rPr>
        <w:t>The Company reclassified certain prior year amounts on the condensed consolidated balance sheet to conform to the current year presentation. These reclassifications had no impact on the previously reported total assets, liabilities or shareholders’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ind w:firstLine="30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00" w:lineRule="exact"/>
        <w:rPr>
          <w:sz w:val="20"/>
          <w:szCs w:val="20"/>
          <w:color w:val="auto"/>
        </w:rPr>
      </w:pPr>
    </w:p>
    <w:p>
      <w:pPr>
        <w:ind w:right="60" w:firstLine="304"/>
        <w:spacing w:after="0" w:line="261"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the Chief Executive Officer and chairman of the Company’s board of directors, reviews the Company’s operating results on an aggregate basis and manages the Company’s operations as a single operating unit.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87" w:lineRule="exact"/>
        <w:rPr>
          <w:sz w:val="20"/>
          <w:szCs w:val="20"/>
          <w:color w:val="auto"/>
        </w:rPr>
      </w:pPr>
    </w:p>
    <w:p>
      <w:pPr>
        <w:ind w:firstLine="304"/>
        <w:spacing w:after="0" w:line="254"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65" w:lineRule="exact"/>
        <w:rPr>
          <w:sz w:val="20"/>
          <w:szCs w:val="20"/>
          <w:color w:val="auto"/>
        </w:rPr>
      </w:pPr>
    </w:p>
    <w:p>
      <w:pPr>
        <w:ind w:right="40" w:firstLine="304"/>
        <w:spacing w:after="0" w:line="255" w:lineRule="auto"/>
        <w:rPr>
          <w:sz w:val="20"/>
          <w:szCs w:val="20"/>
          <w:color w:val="auto"/>
        </w:rPr>
      </w:pPr>
      <w:r>
        <w:rPr>
          <w:rFonts w:ascii="Times New Roman" w:cs="Times New Roman" w:eastAsia="Times New Roman" w:hAnsi="Times New Roman"/>
          <w:sz w:val="18"/>
          <w:szCs w:val="18"/>
          <w:color w:val="auto"/>
        </w:rPr>
        <w:t>The COVID-19 pandemic has caused, and the Company expects may continue to cause, varying degrees of disruption to its employees and its business operations. While the Company has continued to operate its manufacturing facilities and supply its medicines without interruption throughout the pandemic, it has at times during the pandemic experienced labor or supply chain disruptions at its manufacturing facilities, and may continue to experience such disruptions while the pandemic persists. In addition, while the Company has continued to conduct R&amp;D activities, including its ongoing clinical trials, the COVID-19 pandemic has at times impacted the timelines of certain of its early-stage discovery efforts and clinical trials, and may continue to impact such timelines while the pandemic persists. The Company works with its internal teams, its clinical investigators, R&amp;D vendors and critical supply chain vendors to continually assess, and mitigate, the potential impact of COVID-19 on its manufacturing operations and R&amp;D activities.</w:t>
      </w:r>
    </w:p>
    <w:p>
      <w:pPr>
        <w:spacing w:after="0" w:line="148" w:lineRule="exact"/>
        <w:rPr>
          <w:sz w:val="20"/>
          <w:szCs w:val="20"/>
          <w:color w:val="auto"/>
        </w:rPr>
      </w:pPr>
    </w:p>
    <w:p>
      <w:pPr>
        <w:ind w:right="40" w:firstLine="304"/>
        <w:spacing w:after="0" w:line="258" w:lineRule="auto"/>
        <w:rPr>
          <w:sz w:val="20"/>
          <w:szCs w:val="20"/>
          <w:color w:val="auto"/>
        </w:rPr>
      </w:pPr>
      <w:r>
        <w:rPr>
          <w:rFonts w:ascii="Times New Roman" w:cs="Times New Roman" w:eastAsia="Times New Roman" w:hAnsi="Times New Roman"/>
          <w:sz w:val="18"/>
          <w:szCs w:val="18"/>
          <w:color w:val="auto"/>
        </w:rPr>
        <w:t>A number of the marketed products from which the Company derives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143" w:lineRule="exact"/>
        <w:rPr>
          <w:sz w:val="20"/>
          <w:szCs w:val="20"/>
          <w:color w:val="auto"/>
        </w:rPr>
      </w:pPr>
    </w:p>
    <w:p>
      <w:pPr>
        <w:ind w:right="300" w:firstLine="304"/>
        <w:spacing w:after="0" w:line="258" w:lineRule="auto"/>
        <w:rPr>
          <w:sz w:val="20"/>
          <w:szCs w:val="20"/>
          <w:color w:val="auto"/>
        </w:rPr>
      </w:pPr>
      <w:r>
        <w:rPr>
          <w:rFonts w:ascii="Times New Roman" w:cs="Times New Roman" w:eastAsia="Times New Roman" w:hAnsi="Times New Roman"/>
          <w:sz w:val="18"/>
          <w:szCs w:val="18"/>
          <w:color w:val="auto"/>
        </w:rPr>
        <w:t>In addition, 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56" w:lineRule="exact"/>
        <w:rPr>
          <w:sz w:val="20"/>
          <w:szCs w:val="20"/>
          <w:color w:val="auto"/>
        </w:rPr>
      </w:pPr>
    </w:p>
    <w:p>
      <w:pPr>
        <w:ind w:right="40" w:firstLine="304"/>
        <w:spacing w:after="0" w:line="261" w:lineRule="auto"/>
        <w:rPr>
          <w:sz w:val="20"/>
          <w:szCs w:val="20"/>
          <w:color w:val="auto"/>
        </w:rPr>
      </w:pPr>
      <w:r>
        <w:rPr>
          <w:rFonts w:ascii="Times New Roman" w:cs="Times New Roman" w:eastAsia="Times New Roman" w:hAnsi="Times New Roman"/>
          <w:sz w:val="18"/>
          <w:szCs w:val="18"/>
          <w:color w:val="auto"/>
        </w:rPr>
        <w:t>Due to numerous uncertainties surrounding the ongoing COVID-19 pandemic, the actual impact of the pandemic on the Company’s financial condition and operating results may differ from its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00" w:lineRule="exact"/>
        <w:rPr>
          <w:sz w:val="20"/>
          <w:szCs w:val="20"/>
          <w:color w:val="auto"/>
        </w:rPr>
      </w:pPr>
    </w:p>
    <w:p>
      <w:pPr>
        <w:jc w:val="both"/>
        <w:ind w:right="240" w:firstLine="30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185" w:lineRule="exact"/>
        <w:rPr>
          <w:sz w:val="20"/>
          <w:szCs w:val="20"/>
          <w:color w:val="auto"/>
        </w:rPr>
      </w:pPr>
    </w:p>
    <w:p>
      <w:pPr>
        <w:ind w:right="280" w:firstLine="304"/>
        <w:spacing w:after="0" w:line="266"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 ARISTADA and ARISTADA INITIO and, following its commercial launch in October 2021, LYBALVI, primarily to wholesalers, specialty distributors and pharmacies. During the three months ended March 31, 2022 and 2021, the Company recorded product sales, net,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VIVITROL</w:t>
            </w:r>
          </w:p>
        </w:tc>
        <w:tc>
          <w:tcPr>
            <w:tcW w:w="24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84,854</w:t>
            </w: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74,534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ARISTADA and ARISTADA INITIO</w:t>
            </w:r>
          </w:p>
        </w:tc>
        <w:tc>
          <w:tcPr>
            <w:tcW w:w="2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72,485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55,429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24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13,929</w:t>
            </w: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4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product sales, net</w:t>
            </w:r>
          </w:p>
        </w:tc>
        <w:tc>
          <w:tcPr>
            <w:tcW w:w="24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171,268</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129,963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manufacturing and royalty revenues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8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3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15"/>
                <w:szCs w:val="15"/>
                <w:color w:val="auto"/>
              </w:rPr>
              <w:t>(1)</w:t>
            </w:r>
          </w:p>
        </w:tc>
        <w:tc>
          <w:tcPr>
            <w:tcW w:w="2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11,395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19,200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30,595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2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15,578</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1,848</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17,426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11,854</w:t>
            </w:r>
          </w:p>
        </w:tc>
        <w:tc>
          <w:tcPr>
            <w:tcW w:w="2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8,241</w:t>
            </w:r>
          </w:p>
        </w:tc>
        <w:tc>
          <w:tcPr>
            <w:tcW w:w="2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20,095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60" w:type="dxa"/>
            <w:vAlign w:val="bottom"/>
            <w:tcBorders>
              <w:bottom w:val="single" w:sz="8" w:color="CFF0FC"/>
            </w:tcBorders>
            <w:shd w:val="clear" w:color="auto" w:fill="CFF0FC"/>
          </w:tcPr>
          <w:p>
            <w:pPr>
              <w:spacing w:after="0"/>
              <w:rPr>
                <w:sz w:val="15"/>
                <w:szCs w:val="15"/>
                <w:color w:val="auto"/>
              </w:rPr>
            </w:pPr>
          </w:p>
        </w:tc>
        <w:tc>
          <w:tcPr>
            <w:tcW w:w="2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38,827</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66,343</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105,170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8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3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15"/>
                <w:szCs w:val="15"/>
                <w:color w:val="auto"/>
              </w:rPr>
              <w:t>(1)</w:t>
            </w:r>
          </w:p>
        </w:tc>
        <w:tc>
          <w:tcPr>
            <w:tcW w:w="2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2,448</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10,992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2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10,683</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3,479</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14,162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11,954</w:t>
            </w:r>
          </w:p>
        </w:tc>
        <w:tc>
          <w:tcPr>
            <w:tcW w:w="2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18,721</w:t>
            </w:r>
          </w:p>
        </w:tc>
        <w:tc>
          <w:tcPr>
            <w:tcW w:w="24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30,675</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FF0FC"/>
            </w:tcBorders>
            <w:shd w:val="clear" w:color="auto" w:fill="CFF0FC"/>
          </w:tcPr>
          <w:p>
            <w:pPr>
              <w:spacing w:after="0"/>
              <w:rPr>
                <w:sz w:val="15"/>
                <w:szCs w:val="15"/>
                <w:color w:val="auto"/>
              </w:rPr>
            </w:pPr>
          </w:p>
        </w:tc>
        <w:tc>
          <w:tcPr>
            <w:tcW w:w="2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25,085</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94,762</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119,847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0" w:right="420" w:hanging="295"/>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2305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17" w:lineRule="exact"/>
        <w:rPr>
          <w:sz w:val="20"/>
          <w:szCs w:val="20"/>
          <w:color w:val="auto"/>
        </w:rPr>
      </w:pPr>
    </w:p>
    <w:p>
      <w:pPr>
        <w:ind w:right="20" w:firstLine="304"/>
        <w:spacing w:after="0" w:line="255" w:lineRule="auto"/>
        <w:rPr>
          <w:sz w:val="20"/>
          <w:szCs w:val="20"/>
          <w:color w:val="auto"/>
        </w:rPr>
      </w:pPr>
      <w:r>
        <w:rPr>
          <w:rFonts w:ascii="Times New Roman" w:cs="Times New Roman" w:eastAsia="Times New Roman" w:hAnsi="Times New Roman"/>
          <w:sz w:val="18"/>
          <w:szCs w:val="18"/>
          <w:color w:val="auto"/>
        </w:rPr>
        <w:t>In November 2021, the Company received notice of partial termination in the U.S. of its license agreement with Janssen Pharmaceutica N.V., a subsidiary of Johnson &amp; Johnson Corporation (“Janssen Pharmaceutica”) in respect of INVEGA SUSTENNA, INVEGA TRINZA and INVEGA HAFYERA, pursuant to which Janssen Pharmaceutica received access and rights to Alkermes’ small particle pharmaceutical compound technology, known as NanoCrystal Technology. When the partial termination became effective in February 2022, Janssen Pharmaceutica ceased paying royalties related to sales of INVEGA SUSTENNA, INVEGA TRINZA and INVEGA HAFYERA in the U.S. and the Company stopped recognizing royalty revenue related to net sales of these products. In April 2022, the Company commenced binding arbitration proceedings related to, among other things, Janssen Pharmaceutica’s partial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8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of the license agreement in the U.S. and Janssen Pharmaceutica’s royalty and other obligations under the agreement. Refer to Note 15,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within the “Notes to Condensed Consolidated Financial Statements” in this Form 10-Q for additional information regarding the arbitration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with Janssen Pharmaceutica.</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98" w:lineRule="exact"/>
        <w:rPr>
          <w:sz w:val="20"/>
          <w:szCs w:val="20"/>
          <w:color w:val="auto"/>
        </w:rPr>
      </w:pPr>
    </w:p>
    <w:p>
      <w:pPr>
        <w:ind w:firstLine="304"/>
        <w:spacing w:after="0" w:line="258"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certain of the Company’s manufacturing contracts where revenue is recognized over time, except for $5.0 million of expected consideration from the Company’s collaboration with Biogen related to VUMERITY. The amounts included in the contract assets table below are classified as “Current assets” in the accompanying condensed consolidated balance sheets, as they relate to manufacturing processes that are completed in ten days to eight weeks and, in the case of the $5.0 million of consideration, an amount that is expected to be received in 2022.</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contract assets at March 31,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183"/>
        </w:trPr>
        <w:tc>
          <w:tcPr>
            <w:tcW w:w="92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December 31, 2021</w:t>
            </w: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13,363</w:t>
            </w: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9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11,451</w:t>
            </w:r>
          </w:p>
        </w:tc>
        <w:tc>
          <w:tcPr>
            <w:tcW w:w="100" w:type="dxa"/>
            <w:vAlign w:val="bottom"/>
          </w:tcPr>
          <w:p>
            <w:pPr>
              <w:spacing w:after="0"/>
              <w:rPr>
                <w:sz w:val="16"/>
                <w:szCs w:val="16"/>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(4,602)</w:t>
            </w:r>
          </w:p>
        </w:tc>
      </w:tr>
      <w:tr>
        <w:trPr>
          <w:trHeight w:val="183"/>
        </w:trPr>
        <w:tc>
          <w:tcPr>
            <w:tcW w:w="9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assets at March 31, 2022</w:t>
            </w: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20,212</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contract liabilities at March 31, 2022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426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December 31, 2021</w:t>
            </w:r>
          </w:p>
        </w:tc>
        <w:tc>
          <w:tcPr>
            <w:tcW w:w="50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17,830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Additions</w:t>
            </w:r>
          </w:p>
        </w:tc>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Amounts recognized into revenue</w:t>
            </w:r>
          </w:p>
        </w:tc>
        <w:tc>
          <w:tcPr>
            <w:tcW w:w="5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183"/>
        </w:trPr>
        <w:tc>
          <w:tcPr>
            <w:tcW w:w="42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Contract liabilities at March 31, 2022</w:t>
            </w:r>
          </w:p>
        </w:tc>
        <w:tc>
          <w:tcPr>
            <w:tcW w:w="50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14,850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Investments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w w:val="99"/>
              </w:rPr>
              <w:t>Greater than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0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10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96,729</w:t>
            </w:r>
          </w:p>
        </w:tc>
        <w:tc>
          <w:tcPr>
            <w:tcW w:w="42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(483)</w:t>
            </w:r>
          </w:p>
        </w:tc>
        <w:tc>
          <w:tcPr>
            <w:tcW w:w="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96,262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83,261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82,912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67,533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67,141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247,523</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(1,245)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246,315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132,275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(3,055)</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129,220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79,824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77,587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21,801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21,198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233,900</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(5,706)</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228,005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235,720</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(5,706)</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229,825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483,243</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(6,951)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476,140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9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85,201</w:t>
            </w:r>
          </w:p>
        </w:tc>
        <w:tc>
          <w:tcPr>
            <w:tcW w:w="42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c>
          <w:tcPr>
            <w:tcW w:w="3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85,339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45,349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45,360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68,046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68,068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short-term investments</w:t>
            </w: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198,596</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287</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198,767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111,793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111,139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81,296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80,779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35,902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35,692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228,991</w:t>
            </w:r>
          </w:p>
        </w:tc>
        <w:tc>
          <w:tcPr>
            <w:tcW w:w="2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(1,381)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227,610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Borders>
              <w:top w:val="single" w:sz="8" w:color="CFF0FC"/>
            </w:tcBorders>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230,811</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(1,381)</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229,430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429,407</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287</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428,197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04"/>
        <w:spacing w:after="0" w:line="258" w:lineRule="auto"/>
        <w:rPr>
          <w:sz w:val="20"/>
          <w:szCs w:val="20"/>
          <w:color w:val="auto"/>
        </w:rPr>
      </w:pPr>
      <w:r>
        <w:rPr>
          <w:rFonts w:ascii="Times New Roman" w:cs="Times New Roman" w:eastAsia="Times New Roman" w:hAnsi="Times New Roman"/>
          <w:sz w:val="18"/>
          <w:szCs w:val="18"/>
          <w:color w:val="auto"/>
        </w:rPr>
        <w:t>At March 31, 2022,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March 31, 2022, the aggregate estimated fair value of investments in an unrealized loss position was $445.1 million. In making the determination whether the decline in fair value of these securities were temporary, the Company evaluated whether it intended to sell the security and whether it was more likely than not that the Company would be required to sell the security before recovering its amortized cost basis.</w:t>
      </w:r>
    </w:p>
    <w:p>
      <w:pPr>
        <w:spacing w:after="0" w:line="183" w:lineRule="exact"/>
        <w:rPr>
          <w:sz w:val="20"/>
          <w:szCs w:val="20"/>
          <w:color w:val="auto"/>
        </w:rPr>
      </w:pPr>
    </w:p>
    <w:p>
      <w:pPr>
        <w:ind w:right="40" w:firstLine="304"/>
        <w:spacing w:after="0" w:line="261" w:lineRule="auto"/>
        <w:rPr>
          <w:sz w:val="20"/>
          <w:szCs w:val="20"/>
          <w:color w:val="auto"/>
        </w:rPr>
      </w:pPr>
      <w:r>
        <w:rPr>
          <w:rFonts w:ascii="Times New Roman" w:cs="Times New Roman" w:eastAsia="Times New Roman" w:hAnsi="Times New Roman"/>
          <w:sz w:val="18"/>
          <w:szCs w:val="18"/>
          <w:color w:val="auto"/>
        </w:rPr>
        <w:t>In January 2022, the Company purchased a convertible promissory note in the amount of $0.5 million from Synchronicity Pharma, Inc., a related party, that matures on the earlier of September 30, 2022, the closing of a preferred equity financing, the closing of a merger, business combination or sale of stock resulting in Synchronicity’s stockholders owning less than 50% of the surviving entity, or an event of default. The convertible promissory note was classified as an available-for-sale corporate debt instrument.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3" w:lineRule="exact"/>
        <w:rPr>
          <w:sz w:val="20"/>
          <w:szCs w:val="20"/>
          <w:color w:val="auto"/>
        </w:rPr>
      </w:pPr>
    </w:p>
    <w:p>
      <w:pPr>
        <w:ind w:right="100" w:firstLine="30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an agreement to invest in a partnership, Fountain Healthcare Partners II, L.P. of Ireland (“Fountain”), which was created to carry on the business of investing exclusively in companies and businesses engaged in the healthcare, pharmaceutical and life sciences sectors. As of March 31, 2022, the Company’s total contribution in Fountain was equal to €7.8 million, and its commitment represented approximately 7% of the partnership’s total funding. The Company is accounting for its investment in Fountain under the equity method.</w:t>
      </w:r>
    </w:p>
    <w:p>
      <w:pPr>
        <w:spacing w:after="0" w:line="180" w:lineRule="exact"/>
        <w:rPr>
          <w:sz w:val="20"/>
          <w:szCs w:val="20"/>
          <w:color w:val="auto"/>
        </w:rPr>
      </w:pPr>
    </w:p>
    <w:p>
      <w:pPr>
        <w:ind w:right="60" w:firstLine="30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one of the companies within the Fountain portfolio was acquired by a third party. The Company’s proportional share of the proceeds from this transaction was $1.1 million, of which $1.0 million was received during the three months ended March 31, 2022 and the remaining $0.1 million was held in escrow. The transaction was accounted for under the cumulative earnings approach whereby the return on investment of $0.6 million was recorded as a gain within “Other expense, net” in the accompanying condensed consolidated statements of operations and comprehensive loss and the return of investment of $0.5 million was recorded as a reduction in the Company’s net investment in Fountain. The Company’s net investment in Fountain was $5.8 million and $6.1 million at March 31, 2022 and December 31, 2021, respectively, and was included within “Other assets” in the accompanying condensed consolidated balance sheets.</w:t>
      </w:r>
    </w:p>
    <w:p>
      <w:pPr>
        <w:spacing w:after="0" w:line="189" w:lineRule="exact"/>
        <w:rPr>
          <w:sz w:val="20"/>
          <w:szCs w:val="20"/>
          <w:color w:val="auto"/>
        </w:rPr>
      </w:pPr>
    </w:p>
    <w:p>
      <w:pPr>
        <w:ind w:right="180" w:firstLine="30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recorded an increase of less than $0.1 million and a decrease of $0.3 million, respectively, in its investment in Fountain, which represented the Company’s proportional share of Fountain’s net gains or losses.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31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60,779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86,193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losses</w:t>
            </w:r>
          </w:p>
        </w:tc>
        <w:tc>
          <w:tcPr>
            <w:tcW w:w="360" w:type="dxa"/>
            <w:vAlign w:val="bottom"/>
            <w:shd w:val="clear" w:color="auto" w:fill="CFF0FC"/>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March 31, 2022 had contractual maturities in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6"/>
                <w:szCs w:val="16"/>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31"/>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247,523</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246,315</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5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After 1 year through 5 years</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233,900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228,005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84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481,423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474,320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w:t>
      </w:r>
    </w:p>
    <w:p>
      <w:pPr>
        <w:spacing w:after="0" w:line="189" w:lineRule="exact"/>
        <w:rPr>
          <w:sz w:val="20"/>
          <w:szCs w:val="20"/>
          <w:color w:val="auto"/>
        </w:rPr>
      </w:pPr>
    </w:p>
    <w:p>
      <w:pPr>
        <w:ind w:right="260" w:firstLine="30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48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160,499</w:t>
            </w:r>
          </w:p>
        </w:tc>
        <w:tc>
          <w:tcPr>
            <w:tcW w:w="2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130,612</w:t>
            </w:r>
          </w:p>
        </w:tc>
        <w:tc>
          <w:tcPr>
            <w:tcW w:w="2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29,887</w:t>
            </w:r>
          </w:p>
        </w:tc>
        <w:tc>
          <w:tcPr>
            <w:tcW w:w="46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225,482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224,982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88,339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88,339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3,440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477,760</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130,612</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343,208</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126,139</w:t>
            </w:r>
          </w:p>
        </w:tc>
        <w:tc>
          <w:tcPr>
            <w:tcW w:w="2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96,597</w:t>
            </w:r>
          </w:p>
        </w:tc>
        <w:tc>
          <w:tcPr>
            <w:tcW w:w="240" w:type="dxa"/>
            <w:vAlign w:val="bottom"/>
          </w:tcPr>
          <w:p>
            <w:pPr>
              <w:spacing w:after="0"/>
              <w:rPr>
                <w:sz w:val="16"/>
                <w:szCs w:val="16"/>
                <w:color w:val="auto"/>
              </w:rPr>
            </w:pP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29,542</w:t>
            </w:r>
          </w:p>
        </w:tc>
        <w:tc>
          <w:tcPr>
            <w:tcW w:w="240" w:type="dxa"/>
            <w:vAlign w:val="bottom"/>
          </w:tcPr>
          <w:p>
            <w:pPr>
              <w:spacing w:after="0"/>
              <w:rPr>
                <w:sz w:val="16"/>
                <w:szCs w:val="16"/>
                <w:color w:val="auto"/>
              </w:rPr>
            </w:pPr>
          </w:p>
        </w:tc>
        <w:tc>
          <w:tcPr>
            <w:tcW w:w="220" w:type="dxa"/>
            <w:vAlign w:val="bottom"/>
            <w:gridSpan w:val="2"/>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196,478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196,478</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103,760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103,760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23,048</w:t>
            </w:r>
          </w:p>
        </w:tc>
        <w:tc>
          <w:tcPr>
            <w:tcW w:w="100" w:type="dxa"/>
            <w:vAlign w:val="bottom"/>
            <w:shd w:val="clear" w:color="auto" w:fill="CFF0FC"/>
          </w:tcPr>
          <w:p>
            <w:pPr>
              <w:spacing w:after="0"/>
              <w:rPr>
                <w:sz w:val="16"/>
                <w:szCs w:val="16"/>
                <w:color w:val="auto"/>
              </w:rPr>
            </w:pPr>
          </w:p>
        </w:tc>
      </w:tr>
      <w:tr>
        <w:trPr>
          <w:trHeight w:val="183"/>
        </w:trPr>
        <w:tc>
          <w:tcPr>
            <w:tcW w:w="584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449,425</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96,597</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329,780</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23,048</w:t>
            </w:r>
          </w:p>
        </w:tc>
        <w:tc>
          <w:tcPr>
            <w:tcW w:w="10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304"/>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121" w:lineRule="exact"/>
        <w:rPr>
          <w:sz w:val="20"/>
          <w:szCs w:val="20"/>
          <w:color w:val="auto"/>
        </w:rPr>
      </w:pPr>
    </w:p>
    <w:p>
      <w:pPr>
        <w:ind w:right="60" w:firstLine="304"/>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three months ended March 31, 2022. The following table is a rollforward of the fair value of the Company’s investments with fair values that were determined using Level 3 inputs at March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934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January 1, 2022</w:t>
            </w:r>
          </w:p>
        </w:tc>
        <w:tc>
          <w:tcPr>
            <w:tcW w:w="340" w:type="dxa"/>
            <w:vAlign w:val="bottom"/>
            <w:tcBorders>
              <w:top w:val="single" w:sz="8" w:color="auto"/>
            </w:tcBorders>
            <w:shd w:val="clear" w:color="auto" w:fill="CFF0FC"/>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23,048</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93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Purchase of corporate debt security</w:t>
            </w:r>
          </w:p>
        </w:tc>
        <w:tc>
          <w:tcPr>
            <w:tcW w:w="3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6"/>
                <w:szCs w:val="16"/>
                <w:color w:val="auto"/>
              </w:rPr>
            </w:pP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(19,067)</w:t>
            </w:r>
          </w:p>
        </w:tc>
      </w:tr>
      <w:tr>
        <w:trPr>
          <w:trHeight w:val="189"/>
        </w:trPr>
        <w:tc>
          <w:tcPr>
            <w:tcW w:w="93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Milestone and royalty payments received by the Company related to contingent consideration</w:t>
            </w:r>
          </w:p>
        </w:tc>
        <w:tc>
          <w:tcPr>
            <w:tcW w:w="340" w:type="dxa"/>
            <w:vAlign w:val="bottom"/>
          </w:tcPr>
          <w:p>
            <w:pPr>
              <w:spacing w:after="0"/>
              <w:rPr>
                <w:sz w:val="16"/>
                <w:szCs w:val="16"/>
                <w:color w:val="auto"/>
              </w:rPr>
            </w:pPr>
          </w:p>
        </w:tc>
        <w:tc>
          <w:tcPr>
            <w:tcW w:w="15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(501)</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Royalty payments due to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(40)</w:t>
            </w:r>
          </w:p>
        </w:tc>
      </w:tr>
      <w:tr>
        <w:trPr>
          <w:trHeight w:val="183"/>
        </w:trPr>
        <w:tc>
          <w:tcPr>
            <w:tcW w:w="93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March 31, 2022</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15"/>
                <w:szCs w:val="15"/>
                <w:color w:val="auto"/>
              </w:rPr>
            </w:pPr>
          </w:p>
        </w:tc>
      </w:tr>
      <w:tr>
        <w:trPr>
          <w:trHeight w:val="20"/>
        </w:trPr>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04"/>
        <w:spacing w:after="0" w:line="258"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56" w:lineRule="exact"/>
        <w:rPr>
          <w:sz w:val="20"/>
          <w:szCs w:val="20"/>
          <w:color w:val="auto"/>
        </w:rPr>
      </w:pPr>
    </w:p>
    <w:p>
      <w:pPr>
        <w:ind w:right="120" w:firstLine="304"/>
        <w:spacing w:after="0" w:line="255"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48" w:lineRule="exact"/>
        <w:rPr>
          <w:sz w:val="20"/>
          <w:szCs w:val="20"/>
          <w:color w:val="auto"/>
        </w:rPr>
      </w:pPr>
    </w:p>
    <w:p>
      <w:pPr>
        <w:ind w:right="180" w:firstLine="304"/>
        <w:spacing w:after="0" w:line="312" w:lineRule="auto"/>
        <w:rPr>
          <w:sz w:val="20"/>
          <w:szCs w:val="20"/>
          <w:color w:val="auto"/>
        </w:rPr>
      </w:pPr>
      <w:r>
        <w:rPr>
          <w:rFonts w:ascii="Times New Roman" w:cs="Times New Roman" w:eastAsia="Times New Roman" w:hAnsi="Times New Roman"/>
          <w:sz w:val="17"/>
          <w:szCs w:val="17"/>
          <w:color w:val="auto"/>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March 31, 2022, the Company determined the fair value of the contingent consideration to be received as follows:</w:t>
      </w:r>
    </w:p>
    <w:p>
      <w:pPr>
        <w:spacing w:after="0" w:line="117" w:lineRule="exact"/>
        <w:rPr>
          <w:sz w:val="20"/>
          <w:szCs w:val="20"/>
          <w:color w:val="auto"/>
        </w:rPr>
      </w:pPr>
    </w:p>
    <w:p>
      <w:pPr>
        <w:ind w:left="820" w:right="160" w:hanging="286"/>
        <w:spacing w:after="0" w:line="261"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had received $7.8 million in milestone payments and was due to receive an additional $38.6 million related to the FDA approval of the New Drug Application (“NDA”) for ANJESO. This amount is due in six equal, annual installments from March 2022 through March 2027. At March 31, 2022, Baudax had paid the Company $0.5 million of the $6.4 million payment that was due in March 2022;</w:t>
      </w:r>
    </w:p>
    <w:p>
      <w:pPr>
        <w:spacing w:after="0" w:line="71" w:lineRule="exact"/>
        <w:rPr>
          <w:rFonts w:ascii="Times New Roman" w:cs="Times New Roman" w:eastAsia="Times New Roman" w:hAnsi="Times New Roman"/>
          <w:sz w:val="18"/>
          <w:szCs w:val="18"/>
          <w:color w:val="auto"/>
        </w:rPr>
      </w:pPr>
    </w:p>
    <w:p>
      <w:pPr>
        <w:ind w:left="820" w:hanging="28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receive future royalties on net sales of Meloxicam Products;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331" w:lineRule="exact"/>
        <w:rPr>
          <w:sz w:val="20"/>
          <w:szCs w:val="20"/>
          <w:color w:val="auto"/>
        </w:rPr>
      </w:pPr>
    </w:p>
    <w:p>
      <w:pPr>
        <w:ind w:left="820" w:right="120" w:hanging="28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receive payments of up to $80.0 million related to the achievement of certain sales milestones on future sales of the Meloxicam Products. At March 31, 2022, the Company did not believe it was probable that any of the sales milestones would be achieved.</w:t>
      </w:r>
    </w:p>
    <w:p>
      <w:pPr>
        <w:spacing w:after="0" w:line="121" w:lineRule="exact"/>
        <w:rPr>
          <w:sz w:val="20"/>
          <w:szCs w:val="20"/>
          <w:color w:val="auto"/>
        </w:rPr>
      </w:pPr>
    </w:p>
    <w:p>
      <w:pPr>
        <w:ind w:right="60" w:firstLine="304"/>
        <w:spacing w:after="0" w:line="255" w:lineRule="auto"/>
        <w:rPr>
          <w:sz w:val="20"/>
          <w:szCs w:val="20"/>
          <w:color w:val="auto"/>
        </w:rPr>
      </w:pPr>
      <w:r>
        <w:rPr>
          <w:rFonts w:ascii="Times New Roman" w:cs="Times New Roman" w:eastAsia="Times New Roman" w:hAnsi="Times New Roman"/>
          <w:sz w:val="18"/>
          <w:szCs w:val="18"/>
          <w:color w:val="auto"/>
        </w:rPr>
        <w:t xml:space="preserve">In Baudax’s Annual Report on Form 10-K for the year ended December 31, 2021, Baudax included disclosures regarding its ability to continue as a going concern and a subsequent event note that announced a plan to reduce expenses including an approximately 80% reduction in its workforce, effective in March 2022. In light of Baudax’s disclosures regarding its ability to continue as a going concern and the fact that Baudax paid $0.5 million of the $6.4 million that was due in March 2022, the Company has applied a 100% likelihood that Baudax would default on its obligations and applied a recovery rate of 9% based on an analysis performed by Standard and Poor’s regarding post-default recoveries. However, for avoidance of doubt, the Company has not waived its right to receive any portion of the payments owing by Baudax. For discussion on the calculation of the fair value of the contingent consideration at December 31, 2021, refer to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within the “Notes to Consolidated Financial Statements” in the Annual Report.</w:t>
      </w:r>
    </w:p>
    <w:p>
      <w:pPr>
        <w:spacing w:after="0" w:line="162" w:lineRule="exact"/>
        <w:rPr>
          <w:sz w:val="20"/>
          <w:szCs w:val="20"/>
          <w:color w:val="auto"/>
        </w:rPr>
      </w:pPr>
    </w:p>
    <w:p>
      <w:pPr>
        <w:ind w:right="140" w:firstLine="304"/>
        <w:spacing w:after="0" w:line="256" w:lineRule="auto"/>
        <w:rPr>
          <w:sz w:val="20"/>
          <w:szCs w:val="20"/>
          <w:color w:val="auto"/>
        </w:rPr>
      </w:pPr>
      <w:r>
        <w:rPr>
          <w:rFonts w:ascii="Times New Roman" w:cs="Times New Roman" w:eastAsia="Times New Roman" w:hAnsi="Times New Roman"/>
          <w:sz w:val="18"/>
          <w:szCs w:val="18"/>
          <w:color w:val="auto"/>
        </w:rPr>
        <w:t>At March 31, 2022 and December 31, 2021, the Company determined that the fair value of the contingent consideration was $3.4 million and $23.0 million, respectively. At March 31, 2022 and December 31, 2021, $3.4 million and $6.4 million, respectively, of the fair value of the contingent consideration was included within “Prepaid expenses and other current assets” in the accompanying condensed consolidated balance sheets, and none and $16.6 million, respectively, of the fair value of the contingent consideration was included within “Other assets” in the accompanying condensed consolidated balance sheets. Changes in the fair value of the contingent consideration are recorded within “Change in the fair value of contingent consideration” in the accompanying condensed consolidated statements of operations and comprehensive loss.</w:t>
      </w:r>
    </w:p>
    <w:p>
      <w:pPr>
        <w:spacing w:after="0" w:line="147" w:lineRule="exact"/>
        <w:rPr>
          <w:sz w:val="20"/>
          <w:szCs w:val="20"/>
          <w:color w:val="auto"/>
        </w:rPr>
      </w:pPr>
    </w:p>
    <w:p>
      <w:pPr>
        <w:ind w:right="600" w:firstLine="30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121" w:lineRule="exact"/>
        <w:rPr>
          <w:sz w:val="20"/>
          <w:szCs w:val="20"/>
          <w:color w:val="auto"/>
        </w:rPr>
      </w:pPr>
    </w:p>
    <w:p>
      <w:pPr>
        <w:ind w:right="60" w:firstLine="30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$285.1 million and $285.8 million at March 31, 2022 and December 31, 2021,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89" w:lineRule="exact"/>
        <w:rPr>
          <w:sz w:val="20"/>
          <w:szCs w:val="20"/>
          <w:color w:val="auto"/>
        </w:rPr>
      </w:pPr>
    </w:p>
    <w:p>
      <w:pPr>
        <w:ind w:right="540" w:firstLine="30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51,430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56,125</w:t>
            </w:r>
          </w:p>
        </w:tc>
        <w:tc>
          <w:tcPr>
            <w:tcW w:w="120" w:type="dxa"/>
            <w:vAlign w:val="bottom"/>
            <w:shd w:val="clear" w:color="auto" w:fill="CFF0FC"/>
          </w:tcPr>
          <w:p>
            <w:pPr>
              <w:spacing w:after="0"/>
              <w:rPr>
                <w:sz w:val="15"/>
                <w:szCs w:val="15"/>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64,385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59,105</w:t>
            </w:r>
          </w:p>
        </w:tc>
        <w:tc>
          <w:tcPr>
            <w:tcW w:w="120" w:type="dxa"/>
            <w:vAlign w:val="bottom"/>
          </w:tcPr>
          <w:p>
            <w:pPr>
              <w:spacing w:after="0"/>
              <w:rPr>
                <w:sz w:val="16"/>
                <w:szCs w:val="16"/>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5"/>
                <w:szCs w:val="15"/>
                <w:color w:val="auto"/>
              </w:rPr>
              <w:t>(1)</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38,971</w:t>
            </w:r>
          </w:p>
        </w:tc>
        <w:tc>
          <w:tcPr>
            <w:tcW w:w="2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35,105</w:t>
            </w:r>
          </w:p>
        </w:tc>
        <w:tc>
          <w:tcPr>
            <w:tcW w:w="120" w:type="dxa"/>
            <w:vAlign w:val="bottom"/>
            <w:shd w:val="clear" w:color="auto" w:fill="CFF0FC"/>
          </w:tcPr>
          <w:p>
            <w:pPr>
              <w:spacing w:after="0"/>
              <w:rPr>
                <w:sz w:val="17"/>
                <w:szCs w:val="17"/>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154,786</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150,335</w:t>
            </w:r>
          </w:p>
        </w:tc>
        <w:tc>
          <w:tcPr>
            <w:tcW w:w="12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0" w:right="60" w:hanging="295"/>
        <w:spacing w:after="0" w:line="282"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2022 and December 31, 2021, the Company had $34.4 million and $25.1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23056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0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193,101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192,920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401,161</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398,099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52,526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52,526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88,638</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86,512</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741,986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736,617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(405,246)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(395,563)</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
              <w:spacing w:after="0" w:line="182" w:lineRule="exact"/>
              <w:rPr>
                <w:sz w:val="20"/>
                <w:szCs w:val="20"/>
                <w:color w:val="auto"/>
              </w:rPr>
            </w:pPr>
            <w:r>
              <w:rPr>
                <w:rFonts w:ascii="Times New Roman" w:cs="Times New Roman" w:eastAsia="Times New Roman" w:hAnsi="Times New Roman"/>
                <w:sz w:val="18"/>
                <w:szCs w:val="18"/>
                <w:color w:val="auto"/>
              </w:rPr>
              <w:t>336,740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341,054</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right"/>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95"/>
              <w:spacing w:after="0" w:line="115"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Collaboration agreements</w:t>
            </w:r>
          </w:p>
        </w:tc>
        <w:tc>
          <w:tcPr>
            <w:tcW w:w="1480" w:type="dxa"/>
            <w:vAlign w:val="bottom"/>
            <w:shd w:val="clear" w:color="auto" w:fill="CFF0FC"/>
          </w:tcPr>
          <w:p>
            <w:pPr>
              <w:jc w:val="right"/>
              <w:ind w:right="579"/>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465,590</w:t>
            </w:r>
          </w:p>
        </w:tc>
        <w:tc>
          <w:tcPr>
            <w:tcW w:w="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(414,132)</w:t>
            </w:r>
          </w:p>
        </w:tc>
        <w:tc>
          <w:tcPr>
            <w:tcW w:w="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51,458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Capitalized IP</w:t>
            </w:r>
          </w:p>
        </w:tc>
        <w:tc>
          <w:tcPr>
            <w:tcW w:w="1480" w:type="dxa"/>
            <w:vAlign w:val="bottom"/>
          </w:tcPr>
          <w:p>
            <w:pPr>
              <w:jc w:val="right"/>
              <w:ind w:right="459"/>
              <w:spacing w:after="0" w:line="189" w:lineRule="exact"/>
              <w:rPr>
                <w:sz w:val="20"/>
                <w:szCs w:val="20"/>
                <w:color w:val="auto"/>
              </w:rPr>
            </w:pPr>
            <w:r>
              <w:rPr>
                <w:rFonts w:ascii="Times New Roman" w:cs="Times New Roman" w:eastAsia="Times New Roman" w:hAnsi="Times New Roman"/>
                <w:sz w:val="18"/>
                <w:szCs w:val="18"/>
                <w:color w:val="auto"/>
              </w:rPr>
              <w:t>11-13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118,160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(104,541)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583,750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(518,673)</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65,077</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firstLine="304"/>
        <w:spacing w:after="0" w:line="256" w:lineRule="auto"/>
        <w:rPr>
          <w:sz w:val="20"/>
          <w:szCs w:val="20"/>
          <w:color w:val="auto"/>
        </w:rPr>
      </w:pPr>
      <w:r>
        <w:rPr>
          <w:rFonts w:ascii="Times New Roman" w:cs="Times New Roman" w:eastAsia="Times New Roman" w:hAnsi="Times New Roman"/>
          <w:sz w:val="18"/>
          <w:szCs w:val="18"/>
          <w:color w:val="auto"/>
        </w:rPr>
        <w:t>Based on the Company’s most recent analysis, amortization of intangible assets included in the accompanying condensed consolidated balance sheet at March 31, 2022 is expected to be approximately $35.0 million, $35.0 million and $1.0 million in the years ending December 31, 2022 through 2024, respectively. Although the Company believes such analysis, and the available information and assumptions underlying such analysis,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lease payments under non-cancelable leases at March 31, 2022 and December 31, 2021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6"/>
                <w:szCs w:val="16"/>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13,561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17,991</w:t>
            </w:r>
          </w:p>
        </w:tc>
        <w:tc>
          <w:tcPr>
            <w:tcW w:w="120" w:type="dxa"/>
            <w:vAlign w:val="bottom"/>
            <w:shd w:val="clear" w:color="auto" w:fill="CFF0FC"/>
          </w:tcPr>
          <w:p>
            <w:pPr>
              <w:spacing w:after="0"/>
              <w:rPr>
                <w:sz w:val="15"/>
                <w:szCs w:val="15"/>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18,271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17,329</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18,541</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17,535</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18,814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17,808</w:t>
            </w:r>
          </w:p>
        </w:tc>
        <w:tc>
          <w:tcPr>
            <w:tcW w:w="120" w:type="dxa"/>
            <w:vAlign w:val="bottom"/>
          </w:tcPr>
          <w:p>
            <w:pPr>
              <w:spacing w:after="0"/>
              <w:rPr>
                <w:sz w:val="16"/>
                <w:szCs w:val="16"/>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14,783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13,777</w:t>
            </w:r>
          </w:p>
        </w:tc>
        <w:tc>
          <w:tcPr>
            <w:tcW w:w="120" w:type="dxa"/>
            <w:vAlign w:val="bottom"/>
            <w:shd w:val="clear" w:color="auto" w:fill="CFF0FC"/>
          </w:tcPr>
          <w:p>
            <w:pPr>
              <w:spacing w:after="0"/>
              <w:rPr>
                <w:sz w:val="16"/>
                <w:szCs w:val="16"/>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95,293</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95,229</w:t>
            </w:r>
          </w:p>
        </w:tc>
        <w:tc>
          <w:tcPr>
            <w:tcW w:w="120" w:type="dxa"/>
            <w:vAlign w:val="bottom"/>
            <w:tcBorders>
              <w:bottom w:val="single" w:sz="8" w:color="CFF0FC"/>
            </w:tcBorders>
          </w:tcPr>
          <w:p>
            <w:pPr>
              <w:spacing w:after="0"/>
              <w:rPr>
                <w:sz w:val="16"/>
                <w:szCs w:val="16"/>
                <w:color w:val="auto"/>
              </w:rPr>
            </w:pPr>
          </w:p>
        </w:tc>
      </w:tr>
      <w:tr>
        <w:trPr>
          <w:trHeight w:val="183"/>
        </w:trPr>
        <w:tc>
          <w:tcPr>
            <w:tcW w:w="772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operating lease payments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179,263</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179,669</w:t>
            </w:r>
          </w:p>
        </w:tc>
        <w:tc>
          <w:tcPr>
            <w:tcW w:w="120" w:type="dxa"/>
            <w:vAlign w:val="bottom"/>
            <w:shd w:val="clear" w:color="auto" w:fill="CFF0FC"/>
          </w:tcPr>
          <w:p>
            <w:pPr>
              <w:spacing w:after="0"/>
              <w:rPr>
                <w:sz w:val="15"/>
                <w:szCs w:val="15"/>
                <w:color w:val="auto"/>
              </w:rPr>
            </w:pPr>
          </w:p>
        </w:tc>
      </w:tr>
      <w:tr>
        <w:trPr>
          <w:trHeight w:val="183"/>
        </w:trPr>
        <w:tc>
          <w:tcPr>
            <w:tcW w:w="77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(59,105)</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(59,267)</w:t>
            </w:r>
          </w:p>
        </w:tc>
        <w:tc>
          <w:tcPr>
            <w:tcW w:w="120" w:type="dxa"/>
            <w:vAlign w:val="bottom"/>
            <w:tcBorders>
              <w:bottom w:val="single" w:sz="8" w:color="CFF0FC"/>
            </w:tcBorders>
          </w:tcPr>
          <w:p>
            <w:pPr>
              <w:spacing w:after="0"/>
              <w:rPr>
                <w:sz w:val="15"/>
                <w:szCs w:val="15"/>
                <w:color w:val="auto"/>
              </w:rPr>
            </w:pPr>
          </w:p>
        </w:tc>
      </w:tr>
      <w:tr>
        <w:trPr>
          <w:trHeight w:val="182"/>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120,158</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120,402</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304"/>
        <w:spacing w:after="0" w:line="261" w:lineRule="auto"/>
        <w:rPr>
          <w:sz w:val="20"/>
          <w:szCs w:val="20"/>
          <w:color w:val="auto"/>
        </w:rPr>
      </w:pPr>
      <w:r>
        <w:rPr>
          <w:rFonts w:ascii="Times New Roman" w:cs="Times New Roman" w:eastAsia="Times New Roman" w:hAnsi="Times New Roman"/>
          <w:sz w:val="18"/>
          <w:szCs w:val="18"/>
          <w:color w:val="auto"/>
        </w:rPr>
        <w:t>At March 31, 2022, the weighted average incremental borrowing rate and the weighted average remaining lease term for all operating leases held by the Company were 5.19% and 11.3 years, respectively. During the three months ended March 31, 2022 and 2021, cash paid for lease liabilities was $4.4 million and $3.7 million, respectively. The Company recorded operating lease expense of $4.1 million and $4.2 million during the three months ended March 31, 2022 and 2021,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EXPENSES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27,697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55,721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54,413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77,256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other</w:t>
            </w: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91,016</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75,514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173,126</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208,491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Company’s provisions for sales and allowances is as follows: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Medicaid rebates</w:t>
            </w:r>
          </w:p>
        </w:tc>
        <w:tc>
          <w:tcPr>
            <w:tcW w:w="28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224,216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195,413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Product discounts</w:t>
            </w:r>
          </w:p>
        </w:tc>
        <w:tc>
          <w:tcPr>
            <w:tcW w:w="2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13,204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Medicare Part D</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17,350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14,348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10,402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12,504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265,172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237,216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2026 Term Loans, due March 12, 2026</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295,171</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295,804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ind w:left="260"/>
              <w:spacing w:after="0" w:line="182" w:lineRule="exact"/>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292,171</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292,804</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304"/>
        <w:spacing w:after="0"/>
        <w:rPr>
          <w:sz w:val="20"/>
          <w:szCs w:val="20"/>
          <w:color w:val="auto"/>
        </w:rPr>
      </w:pPr>
      <w:r>
        <w:rPr>
          <w:rFonts w:ascii="Times New Roman" w:cs="Times New Roman" w:eastAsia="Times New Roman" w:hAnsi="Times New Roman"/>
          <w:sz w:val="18"/>
          <w:szCs w:val="18"/>
          <w:color w:val="auto"/>
        </w:rPr>
        <w:t>In March 2021, the Company amended and refinanced its existing term loans, resulting in the 2026 Term Loans (such refinancing, the “Term Loan Refinancing”). The 2026 Term Loans mature on March 12, 2026 and bear interest payable at LIBOR plus 2.50% with a LIBOR floor of 0.5%. The 2026 Term Loans have an incremental facility capacity in the amount of $175.0 million plus additional amounts, provided that the Company meets certain conditions, including a specified leverage ratio. The Company was in compliance with its debt covenants at March 31, 2022.</w:t>
      </w:r>
    </w:p>
    <w:p>
      <w:pPr>
        <w:spacing w:after="0" w:line="158" w:lineRule="exact"/>
        <w:rPr>
          <w:sz w:val="20"/>
          <w:szCs w:val="20"/>
          <w:color w:val="auto"/>
        </w:rPr>
      </w:pPr>
    </w:p>
    <w:p>
      <w:pPr>
        <w:ind w:right="60" w:firstLine="304"/>
        <w:spacing w:after="0" w:line="250" w:lineRule="auto"/>
        <w:rPr>
          <w:sz w:val="20"/>
          <w:szCs w:val="20"/>
          <w:color w:val="auto"/>
        </w:rPr>
      </w:pPr>
      <w:r>
        <w:rPr>
          <w:rFonts w:ascii="Times New Roman" w:cs="Times New Roman" w:eastAsia="Times New Roman" w:hAnsi="Times New Roman"/>
          <w:sz w:val="18"/>
          <w:szCs w:val="18"/>
          <w:color w:val="auto"/>
        </w:rPr>
        <w:t xml:space="preserve">Included in “Interest expense” in the accompanying condensed consolidated statement of operations and comprehensive loss in the three months ended March 31, 2021 is $2.1 million related to the Term Loan Refinancing. Refer to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within the “Notes to Consolidated Financial Statements” in the Annual Report for a discussion on accounting for the Term Loan Refinancing.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02" w:lineRule="exact"/>
        <w:rPr>
          <w:sz w:val="20"/>
          <w:szCs w:val="20"/>
          <w:color w:val="auto"/>
        </w:rPr>
      </w:pPr>
    </w:p>
    <w:p>
      <w:pPr>
        <w:ind w:right="240" w:firstLine="30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included in the accompanying condensed consolidated statements of operations and comprehensive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60" w:type="dxa"/>
            <w:vAlign w:val="bottom"/>
            <w:tcBorders>
              <w:bottom w:val="single" w:sz="8" w:color="CFF0FC"/>
            </w:tcBorders>
            <w:vMerge w:val="continue"/>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33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2,382</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5,608</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36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10,353</w:t>
            </w:r>
          </w:p>
        </w:tc>
        <w:tc>
          <w:tcPr>
            <w:tcW w:w="280" w:type="dxa"/>
            <w:vAlign w:val="bottom"/>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9,210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6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 share-based compensation expense</w:t>
            </w:r>
          </w:p>
        </w:tc>
        <w:tc>
          <w:tcPr>
            <w:tcW w:w="3360" w:type="dxa"/>
            <w:vAlign w:val="bottom"/>
          </w:tcPr>
          <w:p>
            <w:pPr>
              <w:spacing w:after="0"/>
              <w:rPr>
                <w:sz w:val="15"/>
                <w:szCs w:val="15"/>
                <w:color w:val="auto"/>
              </w:rPr>
            </w:pPr>
          </w:p>
        </w:tc>
        <w:tc>
          <w:tcPr>
            <w:tcW w:w="36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18,343</w:t>
            </w:r>
          </w:p>
        </w:tc>
        <w:tc>
          <w:tcPr>
            <w:tcW w:w="280" w:type="dxa"/>
            <w:vAlign w:val="bottom"/>
          </w:tcPr>
          <w:p>
            <w:pPr>
              <w:spacing w:after="0"/>
              <w:rPr>
                <w:sz w:val="15"/>
                <w:szCs w:val="15"/>
                <w:color w:val="auto"/>
              </w:rPr>
            </w:pPr>
          </w:p>
        </w:tc>
        <w:tc>
          <w:tcPr>
            <w:tcW w:w="58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15,451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6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3" w:lineRule="exact"/>
        <w:rPr>
          <w:sz w:val="20"/>
          <w:szCs w:val="20"/>
          <w:color w:val="auto"/>
        </w:rPr>
      </w:pPr>
    </w:p>
    <w:p>
      <w:pPr>
        <w:ind w:right="400" w:firstLine="304"/>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$2.5 million and $2.3 million, respectively, of share-based compensation expense was capitalized and recorded as “Inventory” in the accompanying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LOSS PER SHARE</w:t>
      </w:r>
    </w:p>
    <w:p>
      <w:pPr>
        <w:spacing w:after="0" w:line="202" w:lineRule="exact"/>
        <w:rPr>
          <w:sz w:val="20"/>
          <w:szCs w:val="20"/>
          <w:color w:val="auto"/>
        </w:rPr>
      </w:pPr>
    </w:p>
    <w:p>
      <w:pPr>
        <w:ind w:right="120" w:firstLine="304"/>
        <w:spacing w:after="0" w:line="266" w:lineRule="auto"/>
        <w:rPr>
          <w:sz w:val="20"/>
          <w:szCs w:val="20"/>
          <w:color w:val="auto"/>
        </w:rPr>
      </w:pPr>
      <w:r>
        <w:rPr>
          <w:rFonts w:ascii="Times New Roman" w:cs="Times New Roman" w:eastAsia="Times New Roman" w:hAnsi="Times New Roman"/>
          <w:sz w:val="18"/>
          <w:szCs w:val="18"/>
          <w:color w:val="auto"/>
        </w:rPr>
        <w:t>Basic loss per ordinary share is calculated based upon net loss available to holders of ordinary shares divided by the weighted average number of shares outstanding. For the three months ended March 31, 2022 and 2021, as the Company was in a net loss position, the diluted loss per share calculation did not assume conversion or exercise of stock options and restricted stock unit awards, as they would have had an anti-dilutive effect on loss per share.</w:t>
      </w:r>
    </w:p>
    <w:p>
      <w:pPr>
        <w:spacing w:after="0" w:line="135" w:lineRule="exact"/>
        <w:rPr>
          <w:sz w:val="20"/>
          <w:szCs w:val="20"/>
          <w:color w:val="auto"/>
        </w:rPr>
      </w:pPr>
    </w:p>
    <w:p>
      <w:pPr>
        <w:ind w:right="400" w:firstLine="304"/>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loss per share calculation because the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20" w:type="dxa"/>
            <w:vAlign w:val="bottom"/>
            <w:gridSpan w:val="3"/>
          </w:tcPr>
          <w:p>
            <w:pPr>
              <w:jc w:val="center"/>
              <w:ind w:left="8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2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13,461</w:t>
            </w:r>
          </w:p>
        </w:tc>
        <w:tc>
          <w:tcPr>
            <w:tcW w:w="2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15,451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Restricted stock unit awards</w:t>
            </w:r>
          </w:p>
        </w:tc>
        <w:tc>
          <w:tcPr>
            <w:tcW w:w="1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5,959</w:t>
            </w:r>
          </w:p>
        </w:tc>
        <w:tc>
          <w:tcPr>
            <w:tcW w:w="28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2,877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19,420</w:t>
            </w:r>
          </w:p>
        </w:tc>
        <w:tc>
          <w:tcPr>
            <w:tcW w:w="2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18,328</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p>
      <w:pPr>
        <w:ind w:right="20" w:firstLine="304"/>
        <w:spacing w:after="0" w:line="219" w:lineRule="exact"/>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utilized including the amount of Irish and non-Irish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76" w:lineRule="exact"/>
        <w:rPr>
          <w:sz w:val="20"/>
          <w:szCs w:val="20"/>
          <w:color w:val="auto"/>
        </w:rPr>
      </w:pPr>
    </w:p>
    <w:p>
      <w:pPr>
        <w:ind w:right="40" w:firstLine="30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recorded an income tax benefit of $9.1 million, which was primarily due to a change to Section 174 of the Tax Cuts and Jobs Act of 2017 (as amended, the “TCJA”) which became effective on January 1, 2022. Under the TCJA, the Company is required to capitalize, and subsequently amortize R&amp;D expenses over five years for research activities conducted in the U.S. and over fifteen years for research activities conducted outside of the U.S. The capitalization of R&amp;D expenses resulted in an increase to the Company’s taxable income and foreign derived intangible income (“FDII”), resulting in a significant increase in the Company’s FDII deduction.</w:t>
      </w:r>
    </w:p>
    <w:p>
      <w:pPr>
        <w:spacing w:after="0" w:line="179" w:lineRule="exact"/>
        <w:rPr>
          <w:sz w:val="20"/>
          <w:szCs w:val="20"/>
          <w:color w:val="auto"/>
        </w:rPr>
      </w:pPr>
    </w:p>
    <w:p>
      <w:pPr>
        <w:ind w:left="320" w:right="6660" w:hanging="312"/>
        <w:spacing w:after="0" w:line="409" w:lineRule="auto"/>
        <w:tabs>
          <w:tab w:leader="none" w:pos="28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Litigation</w:t>
      </w:r>
    </w:p>
    <w:p>
      <w:pPr>
        <w:spacing w:after="0" w:line="1" w:lineRule="exact"/>
        <w:rPr>
          <w:sz w:val="20"/>
          <w:szCs w:val="20"/>
          <w:color w:val="auto"/>
        </w:rPr>
      </w:pPr>
    </w:p>
    <w:p>
      <w:pPr>
        <w:ind w:right="60" w:firstLine="30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March 31, 2022, there were no potential material losses from claims, asserted or unasserted, or legal proceedings that the Company determined were probable of occurring.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Janssen Arbitration Proceedings</w:t>
      </w:r>
    </w:p>
    <w:p>
      <w:pPr>
        <w:spacing w:after="0" w:line="148" w:lineRule="exact"/>
        <w:rPr>
          <w:sz w:val="20"/>
          <w:szCs w:val="20"/>
          <w:color w:val="auto"/>
        </w:rPr>
      </w:pPr>
    </w:p>
    <w:p>
      <w:pPr>
        <w:ind w:firstLine="304"/>
        <w:spacing w:after="0" w:line="256" w:lineRule="auto"/>
        <w:rPr>
          <w:sz w:val="20"/>
          <w:szCs w:val="20"/>
          <w:color w:val="auto"/>
        </w:rPr>
      </w:pPr>
      <w:r>
        <w:rPr>
          <w:rFonts w:ascii="Times New Roman" w:cs="Times New Roman" w:eastAsia="Times New Roman" w:hAnsi="Times New Roman"/>
          <w:sz w:val="18"/>
          <w:szCs w:val="18"/>
          <w:color w:val="auto"/>
        </w:rPr>
        <w:t>On April 19, 2022, Alkermes Pharma Ireland Limited commenced binding arbitration proceedings to settle, among other things, whether, notwithstanding Janssen Pharmaceutica’s partial termination of two license agreements with the Company, it has a continuing obligation to pay royalties on sales in the U.S. of INVEGA SUSTENNA, INVEGA TRINZA, INVEGA HAFYERA and CABENUVA, products developed under or enabled by these license agreements. The arbitration is to be conducted pursuant to the Institute for Conflict Prevention and Resolution (CPR) Rules for Non-Administered Arbitration. The request for arbitration seeks, among other remedies, a declaration that Janssen Pharmaceutica is in breach of the license agreements and a resumption of royalty payments for sales of the relevant products in the U.S.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INVEGA SUSTENNA ANDA Litigation</w:t>
      </w:r>
    </w:p>
    <w:p>
      <w:pPr>
        <w:spacing w:after="0" w:line="175" w:lineRule="exact"/>
        <w:rPr>
          <w:sz w:val="20"/>
          <w:szCs w:val="20"/>
          <w:color w:val="auto"/>
        </w:rPr>
      </w:pPr>
    </w:p>
    <w:p>
      <w:pPr>
        <w:ind w:firstLine="304"/>
        <w:spacing w:after="0" w:line="253" w:lineRule="auto"/>
        <w:rPr>
          <w:sz w:val="20"/>
          <w:szCs w:val="20"/>
          <w:color w:val="auto"/>
        </w:rPr>
      </w:pPr>
      <w:r>
        <w:rPr>
          <w:rFonts w:ascii="Times New Roman" w:cs="Times New Roman" w:eastAsia="Times New Roman" w:hAnsi="Times New Roman"/>
          <w:sz w:val="18"/>
          <w:szCs w:val="18"/>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and in December 2019 against Pharmascience, Inc. (“Pharmascience”), Mallinckrodt plc, and SpecGX LLC (the “Pharmascience Lawsuit”), and in the U.S. District Court for the District of Delaware in December 2021 against Tolmar Holding, Inc., Tolmar Pharmaceuticals, Inc., Tolmar Therapeutics, Inc., and Tolmar, Inc. (“Tolmar” and such lawsuit, the “Tolmar Lawsuit”), following the respective filings by each of Teva, Mylan Labs, Pharmascience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A trial was scheduled in the Tolmar Lawsuit for October 2022. The Pharmascience Lawsuit remains pending. The Company is not a party to any of these proceedings.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75" w:lineRule="exact"/>
        <w:rPr>
          <w:sz w:val="20"/>
          <w:szCs w:val="20"/>
          <w:color w:val="auto"/>
        </w:rPr>
      </w:pPr>
    </w:p>
    <w:p>
      <w:pPr>
        <w:ind w:firstLine="304"/>
        <w:spacing w:after="0" w:line="261"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A trial has been scheduled for October 2022. The Company is not a party to this proceeding.</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RISPERDAL CONSTA European Opposition Proceedings</w:t>
      </w:r>
    </w:p>
    <w:p>
      <w:pPr>
        <w:spacing w:after="0" w:line="162" w:lineRule="exact"/>
        <w:rPr>
          <w:sz w:val="20"/>
          <w:szCs w:val="20"/>
          <w:color w:val="auto"/>
        </w:rPr>
      </w:pPr>
    </w:p>
    <w:p>
      <w:pPr>
        <w:ind w:firstLine="304"/>
        <w:spacing w:after="0" w:line="258" w:lineRule="auto"/>
        <w:rPr>
          <w:sz w:val="20"/>
          <w:szCs w:val="20"/>
          <w:color w:val="auto"/>
        </w:rPr>
      </w:pPr>
      <w:r>
        <w:rPr>
          <w:rFonts w:ascii="Times New Roman" w:cs="Times New Roman" w:eastAsia="Times New Roman" w:hAnsi="Times New Roman"/>
          <w:sz w:val="18"/>
          <w:szCs w:val="18"/>
          <w:color w:val="auto"/>
        </w:rPr>
        <w:t>In December 2016, Nanjing Luye Pharmaceutical Co., Ltd., Pharmathen SA, Teva PI and Dehns Ltd (a law firm representing an unidentified opponent) filed notices of opposition with the European Patent Office (the “EPO”) in respect of the Company’s EP 2 269 577 B (the “EP ’577 Patent”), a patent directed to certain risperidone microsphere compositions, including RISPERDAL CONSTA. In April 2019, the EPO issued a written decision revoking the EP ’577 Patent and in June 2019, the Company filed a notice of appeal of the decision to the EPO’s Technical Boards of Appeal. The EP ’577 Patent has since expired, and in February 2022, the Company withdrew its appeal, which terminated the proceedings.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VIVITROL ANDA Litigation</w:t>
      </w:r>
    </w:p>
    <w:p>
      <w:pPr>
        <w:spacing w:after="0" w:line="189" w:lineRule="exact"/>
        <w:rPr>
          <w:sz w:val="20"/>
          <w:szCs w:val="20"/>
          <w:color w:val="auto"/>
        </w:rPr>
      </w:pPr>
    </w:p>
    <w:p>
      <w:pPr>
        <w:ind w:right="60" w:firstLine="304"/>
        <w:spacing w:after="0" w:line="256" w:lineRule="auto"/>
        <w:rPr>
          <w:sz w:val="20"/>
          <w:szCs w:val="20"/>
          <w:color w:val="auto"/>
        </w:rPr>
      </w:pPr>
      <w:r>
        <w:rPr>
          <w:rFonts w:ascii="Times New Roman" w:cs="Times New Roman" w:eastAsia="Times New Roman" w:hAnsi="Times New Roman"/>
          <w:sz w:val="18"/>
          <w:szCs w:val="18"/>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in November 2020, which included counterclaims against the Company. The Company filed its reply to Teva’s counterclaims in December 2020. The Company intends to vigorously defend its IP. The filing of the lawsuit triggered a stay of FDA approval of the ANDA for up to 30 months in accordance with the U.S. Drug Price Competition and Patent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Restoration Act of 1984.</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89" w:lineRule="exact"/>
        <w:rPr>
          <w:sz w:val="20"/>
          <w:szCs w:val="20"/>
          <w:color w:val="auto"/>
        </w:rPr>
      </w:pPr>
    </w:p>
    <w:p>
      <w:pPr>
        <w:ind w:right="100" w:firstLine="304"/>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162" w:lineRule="exact"/>
        <w:rPr>
          <w:sz w:val="20"/>
          <w:szCs w:val="20"/>
          <w:color w:val="auto"/>
        </w:rPr>
      </w:pPr>
    </w:p>
    <w:p>
      <w:pPr>
        <w:ind w:firstLine="304"/>
        <w:spacing w:after="0" w:line="281" w:lineRule="auto"/>
        <w:rPr>
          <w:sz w:val="20"/>
          <w:szCs w:val="20"/>
          <w:color w:val="auto"/>
        </w:rPr>
      </w:pPr>
      <w:r>
        <w:rPr>
          <w:rFonts w:ascii="Times New Roman" w:cs="Times New Roman" w:eastAsia="Times New Roman" w:hAnsi="Times New Roman"/>
          <w:sz w:val="17"/>
          <w:szCs w:val="17"/>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20" w:firstLine="416"/>
        <w:spacing w:after="0" w:line="24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6 in this Form 10-Q, and “Part II, Item 7—Management’s Discussion and Analysis of Financial Condition and Results of Operations” and the audited financial statements and notes thereto included in our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2022 was $35.9 million, or $0.22 per ordinary share—basic and diluted, as compared to a net loss of $22.4 million, or $0.14 per ordinary share—basic and diluted, for the three months ended March 31, 2021.</w:t>
      </w:r>
    </w:p>
    <w:p>
      <w:pPr>
        <w:spacing w:after="0" w:line="122" w:lineRule="exact"/>
        <w:rPr>
          <w:sz w:val="20"/>
          <w:szCs w:val="20"/>
          <w:color w:val="auto"/>
        </w:rPr>
      </w:pPr>
    </w:p>
    <w:p>
      <w:pPr>
        <w:ind w:right="40" w:firstLine="416"/>
        <w:spacing w:after="0"/>
        <w:rPr>
          <w:sz w:val="20"/>
          <w:szCs w:val="20"/>
          <w:color w:val="auto"/>
        </w:rPr>
      </w:pPr>
      <w:r>
        <w:rPr>
          <w:rFonts w:ascii="Times New Roman" w:cs="Times New Roman" w:eastAsia="Times New Roman" w:hAnsi="Times New Roman"/>
          <w:sz w:val="18"/>
          <w:szCs w:val="18"/>
          <w:color w:val="auto"/>
        </w:rPr>
        <w:t>The increase in net loss was primarily due to a $37.3 million increase in operating expenses and a $20.3 million decrease in the fair value of our contingent consideration related to increased risk of non-payment, partially offset by a $41.1 million increase in product sales, net. The increase in operating expenses primarily related to a $19.8 million increase in selling, general and administrative expense and a $14.1 million increase in cost of goods manufactured and sold.</w:t>
      </w:r>
    </w:p>
    <w:p>
      <w:pPr>
        <w:spacing w:after="0" w:line="144"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62" w:lineRule="exact"/>
        <w:rPr>
          <w:sz w:val="20"/>
          <w:szCs w:val="20"/>
          <w:color w:val="auto"/>
        </w:rPr>
      </w:pPr>
    </w:p>
    <w:p>
      <w:pPr>
        <w:ind w:firstLine="416"/>
        <w:spacing w:after="0" w:line="235" w:lineRule="auto"/>
        <w:rPr>
          <w:sz w:val="20"/>
          <w:szCs w:val="20"/>
          <w:color w:val="auto"/>
        </w:rPr>
      </w:pPr>
      <w:r>
        <w:rPr>
          <w:rFonts w:ascii="Times New Roman" w:cs="Times New Roman" w:eastAsia="Times New Roman" w:hAnsi="Times New Roman"/>
          <w:sz w:val="18"/>
          <w:szCs w:val="18"/>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47" w:lineRule="exact"/>
        <w:rPr>
          <w:sz w:val="20"/>
          <w:szCs w:val="20"/>
          <w:color w:val="auto"/>
        </w:rPr>
      </w:pPr>
    </w:p>
    <w:p>
      <w:pPr>
        <w:ind w:right="60" w:firstLine="416"/>
        <w:spacing w:after="0" w:line="235" w:lineRule="auto"/>
        <w:rPr>
          <w:sz w:val="20"/>
          <w:szCs w:val="20"/>
          <w:color w:val="auto"/>
        </w:rPr>
      </w:pPr>
      <w:r>
        <w:rPr>
          <w:rFonts w:ascii="Times New Roman" w:cs="Times New Roman" w:eastAsia="Times New Roman" w:hAnsi="Times New Roman"/>
          <w:sz w:val="18"/>
          <w:szCs w:val="18"/>
          <w:color w:val="auto"/>
        </w:rPr>
        <w:t>The COVID-19 pandemic has caused, and we expect may continue to cause, varying degrees of disruption to our employees and our business operations. While we have continued to operate our manufacturing facilities and supply our medicines without interruption throughout the pandemic, we have, at times during the pandemic experienced labor or supply chain disruptions at our manufacturing facilities, and may continue to experience such disruptions while the pandemic persists.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47" w:lineRule="exact"/>
        <w:rPr>
          <w:sz w:val="20"/>
          <w:szCs w:val="20"/>
          <w:color w:val="auto"/>
        </w:rPr>
      </w:pPr>
    </w:p>
    <w:p>
      <w:pPr>
        <w:ind w:right="360" w:firstLine="416"/>
        <w:spacing w:after="0" w:line="239" w:lineRule="auto"/>
        <w:rPr>
          <w:sz w:val="20"/>
          <w:szCs w:val="20"/>
          <w:color w:val="auto"/>
        </w:rPr>
      </w:pPr>
      <w:r>
        <w:rPr>
          <w:rFonts w:ascii="Times New Roman" w:cs="Times New Roman" w:eastAsia="Times New Roman" w:hAnsi="Times New Roman"/>
          <w:sz w:val="18"/>
          <w:szCs w:val="18"/>
          <w:color w:val="auto"/>
        </w:rPr>
        <w:t>A number of the marketed products from which we derive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144" w:lineRule="exact"/>
        <w:rPr>
          <w:sz w:val="20"/>
          <w:szCs w:val="20"/>
          <w:color w:val="auto"/>
        </w:rPr>
      </w:pPr>
    </w:p>
    <w:p>
      <w:pPr>
        <w:ind w:right="20" w:firstLine="416"/>
        <w:spacing w:after="0"/>
        <w:rPr>
          <w:sz w:val="20"/>
          <w:szCs w:val="20"/>
          <w:color w:val="auto"/>
        </w:rPr>
      </w:pPr>
      <w:r>
        <w:rPr>
          <w:rFonts w:ascii="Times New Roman" w:cs="Times New Roman" w:eastAsia="Times New Roman" w:hAnsi="Times New Roman"/>
          <w:sz w:val="18"/>
          <w:szCs w:val="18"/>
          <w:color w:val="auto"/>
        </w:rPr>
        <w:t>In addition, we rely upon third parties for many aspects of our business, including the provision of goods and services related to the manufacture of our clinical products and our and our partners’ marketed products, the conduct of our clinical trials, and the sale of our proprietary marketed products and the marketed products of our licensees from which we receive manufacturing and royalty revenue. Any prolonged material disruption to the third parties on which we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2" w:name="page23"/>
    <w:bookmarkEnd w:id="22"/>
    <w:p>
      <w:pPr>
        <w:ind w:right="360"/>
        <w:spacing w:after="0" w:line="266" w:lineRule="auto"/>
        <w:rPr>
          <w:sz w:val="20"/>
          <w:szCs w:val="20"/>
          <w:color w:val="auto"/>
        </w:rPr>
      </w:pPr>
      <w:r>
        <w:rPr>
          <w:rFonts w:ascii="Times New Roman" w:cs="Times New Roman" w:eastAsia="Times New Roman" w:hAnsi="Times New Roman"/>
          <w:sz w:val="18"/>
          <w:szCs w:val="18"/>
          <w:color w:val="auto"/>
        </w:rPr>
        <w:t>rely could negatively impact our ability to conduct business in the manner and on the timelines presently planned, which could have a material adverse impact on our business, results of operations and financial condition.</w:t>
      </w:r>
    </w:p>
    <w:p>
      <w:pPr>
        <w:spacing w:after="0" w:line="122" w:lineRule="exact"/>
        <w:rPr>
          <w:sz w:val="20"/>
          <w:szCs w:val="20"/>
          <w:color w:val="auto"/>
        </w:rPr>
      </w:pPr>
    </w:p>
    <w:p>
      <w:pPr>
        <w:ind w:firstLine="416"/>
        <w:spacing w:after="0" w:line="235" w:lineRule="auto"/>
        <w:rPr>
          <w:sz w:val="20"/>
          <w:szCs w:val="20"/>
          <w:color w:val="auto"/>
        </w:rPr>
      </w:pPr>
      <w:r>
        <w:rPr>
          <w:rFonts w:ascii="Times New Roman" w:cs="Times New Roman" w:eastAsia="Times New Roman" w:hAnsi="Times New Roman"/>
          <w:sz w:val="18"/>
          <w:szCs w:val="18"/>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 For additional information about risks and uncertainties related to the COVID-19 pandemic that may impact our business, our financial condition or our results of operations, see “Part I, Item 1A—Risk Factors” in our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71" w:lineRule="exact"/>
        <w:rPr>
          <w:sz w:val="20"/>
          <w:szCs w:val="20"/>
          <w:color w:val="auto"/>
        </w:rPr>
      </w:pPr>
    </w:p>
    <w:p>
      <w:pPr>
        <w:ind w:right="500" w:firstLine="416"/>
        <w:spacing w:after="0"/>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198" w:lineRule="exact"/>
        <w:rPr>
          <w:sz w:val="20"/>
          <w:szCs w:val="20"/>
          <w:color w:val="auto"/>
        </w:rPr>
      </w:pPr>
    </w:p>
    <w:p>
      <w:pPr>
        <w:ind w:left="25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Product</w:t>
      </w:r>
      <w:r>
        <w:rPr>
          <w:sz w:val="20"/>
          <w:szCs w:val="20"/>
          <w:color w:val="auto"/>
        </w:rPr>
        <w:tab/>
      </w: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08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2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2271395" cy="284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71395" cy="284607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ARISTADA for the treatment of</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1294765</wp:posOffset>
            </wp:positionV>
            <wp:extent cx="5408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893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-127635</wp:posOffset>
            </wp:positionV>
            <wp:extent cx="16973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Schizophrenia and</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54089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-119380</wp:posOffset>
            </wp:positionV>
            <wp:extent cx="2983230" cy="13284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83230" cy="132842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dependence and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27305</wp:posOffset>
            </wp:positionV>
            <wp:extent cx="163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1294765</wp:posOffset>
            </wp:positionV>
            <wp:extent cx="1637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703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-127635</wp:posOffset>
            </wp:positionV>
            <wp:extent cx="1637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1706245</wp:posOffset>
            </wp:positionV>
            <wp:extent cx="1637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2">
            <w:col w:w="8880" w:space="720"/>
            <w:col w:w="720"/>
          </w:cols>
          <w:pgMar w:left="320" w:top="540" w:right="1259" w:bottom="1440" w:gutter="0" w:footer="0" w:header="0"/>
        </w:sectPr>
      </w:pPr>
    </w:p>
    <w:bookmarkStart w:id="24" w:name="page25"/>
    <w:bookmarkEnd w:id="24"/>
    <w:p>
      <w:pPr>
        <w:ind w:right="740" w:firstLine="416"/>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our key licensed product, and certain key third-party products using our proprietary technologies under license, that are commercialized by our licensees: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Bipolar I</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Pharmaceuticals, Inc.</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Inc.”)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division of Cilag</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AG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Pharmaceutica</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Schizoaffective</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(together with</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disorder</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 Inc., Janssen</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and</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their affiliates</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Schizophrenia</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right="680" w:hanging="407"/>
        <w:spacing w:after="0" w:line="261" w:lineRule="auto"/>
        <w:tabs>
          <w:tab w:leader="none" w:pos="820" w:val="left"/>
        </w:tabs>
        <w:numPr>
          <w:ilvl w:val="0"/>
          <w:numId w:val="9"/>
        </w:numPr>
        <w:rPr>
          <w:rFonts w:ascii="Times New Roman" w:cs="Times New Roman" w:eastAsia="Times New Roman" w:hAnsi="Times New Roman"/>
          <w:sz w:val="18"/>
          <w:szCs w:val="18"/>
          <w:b w:val="1"/>
          <w:bCs w:val="1"/>
          <w:i w:val="1"/>
          <w:iCs w:val="1"/>
          <w:color w:val="70AD47"/>
        </w:rPr>
      </w:pPr>
      <w:r>
        <w:rPr>
          <w:rFonts w:ascii="Times New Roman" w:cs="Times New Roman" w:eastAsia="Times New Roman" w:hAnsi="Times New Roman"/>
          <w:sz w:val="18"/>
          <w:szCs w:val="18"/>
          <w:color w:val="auto"/>
        </w:rPr>
        <w:t xml:space="preserve">Janssen partially terminated its license agreement related to these products in the U.S., effective February 2022. See the section entitled “Products Using Our Proprietary Technologies” below and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for more information with respect to the partial termination and the arbitration proceedings we commenced related to such partial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531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2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Biogen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Proprietary Products</w:t>
      </w:r>
    </w:p>
    <w:p>
      <w:pPr>
        <w:spacing w:after="0" w:line="173" w:lineRule="exact"/>
        <w:rPr>
          <w:sz w:val="20"/>
          <w:szCs w:val="20"/>
          <w:color w:val="auto"/>
        </w:rPr>
      </w:pPr>
    </w:p>
    <w:p>
      <w:pPr>
        <w:ind w:right="140" w:firstLine="416"/>
        <w:spacing w:after="0" w:line="242"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ARISTADA</w:t>
      </w:r>
    </w:p>
    <w:p>
      <w:pPr>
        <w:spacing w:after="0" w:line="18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developed ARISTADA and exclusively manufacture and commercialize it in the U.S.</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ARISTADA INITIO</w:t>
      </w:r>
    </w:p>
    <w:p>
      <w:pPr>
        <w:spacing w:after="0" w:line="189" w:lineRule="exact"/>
        <w:rPr>
          <w:sz w:val="20"/>
          <w:szCs w:val="20"/>
          <w:color w:val="auto"/>
        </w:rPr>
      </w:pPr>
    </w:p>
    <w:p>
      <w:pPr>
        <w:ind w:right="120" w:firstLine="416"/>
        <w:spacing w:after="0" w:line="277" w:lineRule="auto"/>
        <w:rPr>
          <w:sz w:val="20"/>
          <w:szCs w:val="20"/>
          <w:color w:val="auto"/>
        </w:rPr>
      </w:pPr>
      <w:r>
        <w:rPr>
          <w:rFonts w:ascii="Times New Roman" w:cs="Times New Roman" w:eastAsia="Times New Roman" w:hAnsi="Times New Roman"/>
          <w:sz w:val="17"/>
          <w:szCs w:val="17"/>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68"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In March 2022, U.S. Patent No. 11,273,158 relating to ARISTADA and ARISTADA INITIO was granted. The patent has claims to methods of treating schizophrenia and expires in 2039.</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189" w:lineRule="exact"/>
        <w:rPr>
          <w:sz w:val="20"/>
          <w:szCs w:val="20"/>
          <w:color w:val="auto"/>
        </w:rPr>
      </w:pPr>
    </w:p>
    <w:p>
      <w:pPr>
        <w:ind w:right="80" w:firstLine="416"/>
        <w:spacing w:after="0" w:line="235"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developed LYBALVI and exclusively manufacture and commercialize it in the U.S.</w:t>
      </w:r>
    </w:p>
    <w:p>
      <w:pPr>
        <w:spacing w:after="0" w:line="161" w:lineRule="exact"/>
        <w:rPr>
          <w:sz w:val="20"/>
          <w:szCs w:val="20"/>
          <w:color w:val="auto"/>
        </w:rPr>
      </w:pPr>
    </w:p>
    <w:p>
      <w:pPr>
        <w:ind w:right="60" w:firstLine="416"/>
        <w:spacing w:after="0" w:line="250" w:lineRule="auto"/>
        <w:rPr>
          <w:sz w:val="20"/>
          <w:szCs w:val="20"/>
          <w:color w:val="auto"/>
        </w:rPr>
      </w:pPr>
      <w:r>
        <w:rPr>
          <w:rFonts w:ascii="Times New Roman" w:cs="Times New Roman" w:eastAsia="Times New Roman" w:hAnsi="Times New Roman"/>
          <w:sz w:val="18"/>
          <w:szCs w:val="18"/>
          <w:color w:val="auto"/>
        </w:rPr>
        <w:t>In February 2022, the Company announced positive topline results from ENLIGHTEN-Early, a phase 3b study that evaluated the effect of LYBALVI compared to olanzapine on body weight in young adult patients (ages 16 to 39; mean age: 26 years) with schizophrenia, schizophreniform disorder or bipolar I disorder who were early in their illness.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18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Russia and certain countries of the Commonwealth of Independent States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it in the U.S.</w:t>
      </w:r>
    </w:p>
    <w:p>
      <w:pPr>
        <w:spacing w:after="0" w:line="181"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VIVITROL,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i w:val="1"/>
          <w:iCs w:val="1"/>
          <w:color w:val="auto"/>
        </w:rPr>
        <w:t>Licensed Products and Products Using Our Proprietary Technologies</w:t>
      </w:r>
    </w:p>
    <w:p>
      <w:pPr>
        <w:spacing w:after="0" w:line="106" w:lineRule="exact"/>
        <w:rPr>
          <w:sz w:val="20"/>
          <w:szCs w:val="20"/>
          <w:color w:val="auto"/>
        </w:rPr>
      </w:pPr>
    </w:p>
    <w:p>
      <w:pPr>
        <w:ind w:right="40" w:firstLine="416"/>
        <w:spacing w:after="0" w:line="235"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229"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 xml:space="preserve">In November 2021, we received notice of partial termination in the U.S. of our license agreement with Janssen in respect of INVEGA SUSTENNA, INVEGA TRINZA and INVEGA HAFYERA, pursuant to which Janssen received access and rights to Alkermes’ small particle pharmaceutical compound technology, known as NanoCrystal Technology. This partial termination became effective in February 2022. In April 2022, we commenced binding arbitration proceedings related to, among other things, Janssen’s partial termination of the license agreement in the U.S. and Janssen’s royalty and other obligations under the agreement. For additional information regarding the arbitration proceedings with Janssen, see Note 15,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this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88"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were developed using, and incorporate, our technologies.</w:t>
      </w:r>
    </w:p>
    <w:p>
      <w:pPr>
        <w:spacing w:after="0" w:line="162" w:lineRule="exact"/>
        <w:rPr>
          <w:sz w:val="20"/>
          <w:szCs w:val="20"/>
          <w:color w:val="auto"/>
        </w:rPr>
      </w:pPr>
    </w:p>
    <w:p>
      <w:pPr>
        <w:ind w:right="320" w:firstLine="416"/>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0"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6"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SUSTENNA and INVEGA TRINZA, see Note 15,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4" w:right="3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RISPERDAL CONSTA</w:t>
      </w:r>
    </w:p>
    <w:p>
      <w:pPr>
        <w:spacing w:after="0" w:line="229"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85"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RISPERDAL CONSTA, see Note 15,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“Part I, Item 1A—Risk Factors” in our Annual Report and specifically the section entitled “—We or our licensees may face claims against IP rights covering our products and competition from generic drug manufacturers.”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229" w:lineRule="exact"/>
        <w:rPr>
          <w:sz w:val="20"/>
          <w:szCs w:val="20"/>
          <w:color w:val="auto"/>
        </w:rPr>
      </w:pPr>
    </w:p>
    <w:p>
      <w:pPr>
        <w:jc w:val="both"/>
        <w:ind w:right="200" w:firstLine="416"/>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European Union and certain European countries for the treatment of relapsing forms of multiple sclerosis in adults, including clinically isolated syndrome, relapsing-remitting disease and active secondary progressive disease.</w:t>
      </w:r>
    </w:p>
    <w:p>
      <w:pPr>
        <w:spacing w:after="0" w:line="176"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225"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Nemvaleukin alfa</w:t>
      </w:r>
    </w:p>
    <w:p>
      <w:pPr>
        <w:spacing w:after="0" w:line="216"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8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efficacy, safety and tolerability of less frequent dosing of IV nemvaleukin and pharmacokinetic and pharmacodynamic effects of IV</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8" w:name="page29"/>
    <w:bookmarkEnd w:id="28"/>
    <w:p>
      <w:pPr>
        <w:ind w:right="20"/>
        <w:spacing w:after="0" w:line="258" w:lineRule="auto"/>
        <w:rPr>
          <w:sz w:val="20"/>
          <w:szCs w:val="20"/>
          <w:color w:val="auto"/>
        </w:rPr>
      </w:pPr>
      <w:r>
        <w:rPr>
          <w:rFonts w:ascii="Times New Roman" w:cs="Times New Roman" w:eastAsia="Times New Roman" w:hAnsi="Times New Roman"/>
          <w:sz w:val="18"/>
          <w:szCs w:val="18"/>
          <w:color w:val="auto"/>
        </w:rPr>
        <w:t>nemvaleukin in the tumor microenvironment as a monotherapy and in combination with pembrolizumab in a variety of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183" w:lineRule="exact"/>
        <w:rPr>
          <w:sz w:val="20"/>
          <w:szCs w:val="20"/>
          <w:color w:val="auto"/>
        </w:rPr>
      </w:pPr>
    </w:p>
    <w:p>
      <w:pPr>
        <w:ind w:right="440" w:firstLine="416"/>
        <w:spacing w:after="0" w:line="266" w:lineRule="auto"/>
        <w:rPr>
          <w:sz w:val="20"/>
          <w:szCs w:val="20"/>
          <w:color w:val="auto"/>
        </w:rPr>
      </w:pPr>
      <w:r>
        <w:rPr>
          <w:rFonts w:ascii="Times New Roman" w:cs="Times New Roman" w:eastAsia="Times New Roman" w:hAnsi="Times New Roman"/>
          <w:sz w:val="18"/>
          <w:szCs w:val="18"/>
          <w:color w:val="auto"/>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00"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months ended March 31,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 of Sales)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680" w:type="dxa"/>
            <w:vAlign w:val="bottom"/>
            <w:gridSpan w:val="2"/>
          </w:tcPr>
          <w:p>
            <w:pPr>
              <w:jc w:val="right"/>
              <w:ind w:right="630"/>
              <w:spacing w:after="0" w:line="155"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132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 of Sales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Product sales, gross</w:t>
            </w: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342.4</w:t>
            </w:r>
          </w:p>
        </w:tc>
        <w:tc>
          <w:tcPr>
            <w:tcW w:w="260" w:type="dxa"/>
            <w:vAlign w:val="bottom"/>
            <w:tcBorders>
              <w:top w:val="single" w:sz="8" w:color="CFF0FC"/>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272.6</w:t>
            </w:r>
          </w:p>
        </w:tc>
        <w:tc>
          <w:tcPr>
            <w:tcW w:w="26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FF0FC"/>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Adjustments to product sales, gross: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Medicaid rebates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(76.5)</w:t>
            </w: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(22.3)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(70.9)</w:t>
            </w: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Chargebacks</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(33.8)</w:t>
            </w:r>
          </w:p>
        </w:tc>
        <w:tc>
          <w:tcPr>
            <w:tcW w:w="16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168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Product discounts</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(26.9)</w:t>
            </w: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(21.4)</w:t>
            </w: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Medicare Part D</w:t>
            </w:r>
          </w:p>
        </w:tc>
        <w:tc>
          <w:tcPr>
            <w:tcW w:w="300" w:type="dxa"/>
            <w:vAlign w:val="bottom"/>
          </w:tcPr>
          <w:p>
            <w:pPr>
              <w:spacing w:after="0"/>
              <w:rPr>
                <w:sz w:val="16"/>
                <w:szCs w:val="16"/>
                <w:color w:val="auto"/>
              </w:rPr>
            </w:pPr>
          </w:p>
        </w:tc>
        <w:tc>
          <w:tcPr>
            <w:tcW w:w="126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1680" w:type="dxa"/>
            <w:vAlign w:val="bottom"/>
            <w:gridSpan w:val="2"/>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68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(17.9)</w:t>
            </w:r>
          </w:p>
        </w:tc>
        <w:tc>
          <w:tcPr>
            <w:tcW w:w="16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1680" w:type="dxa"/>
            <w:vAlign w:val="bottom"/>
            <w:gridSpan w:val="2"/>
            <w:shd w:val="clear" w:color="auto" w:fill="CFF0FC"/>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adjustments</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(171.1)</w:t>
            </w:r>
          </w:p>
        </w:tc>
        <w:tc>
          <w:tcPr>
            <w:tcW w:w="260" w:type="dxa"/>
            <w:vAlign w:val="bottom"/>
            <w:tcBorders>
              <w:bottom w:val="single" w:sz="8" w:color="CFF0FC"/>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(50.0)</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(142.6)</w:t>
            </w:r>
          </w:p>
        </w:tc>
        <w:tc>
          <w:tcPr>
            <w:tcW w:w="260" w:type="dxa"/>
            <w:vAlign w:val="bottom"/>
            <w:tcBorders>
              <w:bottom w:val="single" w:sz="8" w:color="CFF0FC"/>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(52.3)</w:t>
            </w:r>
          </w:p>
        </w:tc>
        <w:tc>
          <w:tcPr>
            <w:tcW w:w="360" w:type="dxa"/>
            <w:vAlign w:val="bottom"/>
            <w:tcBorders>
              <w:bottom w:val="single" w:sz="8" w:color="CFF0FC"/>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ind w:left="620"/>
              <w:spacing w:after="0" w:line="182" w:lineRule="exact"/>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171.3</w:t>
            </w:r>
          </w:p>
        </w:tc>
        <w:tc>
          <w:tcPr>
            <w:tcW w:w="2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50.0</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w:t>
            </w:r>
          </w:p>
        </w:tc>
        <w:tc>
          <w:tcPr>
            <w:tcW w:w="26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47.7</w:t>
            </w:r>
          </w:p>
        </w:tc>
        <w:tc>
          <w:tcPr>
            <w:tcW w:w="360" w:type="dxa"/>
            <w:vAlign w:val="bottom"/>
            <w:tcBorders>
              <w:bottom w:val="single" w:sz="8" w:color="CFF0FC"/>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compares product sales, net revenues earned during the three months ended March 31, 2022 and 2021:</w:t>
      </w:r>
    </w:p>
    <w:tbl>
      <w:tblPr>
        <w:tblLayout w:type="fixed"/>
        <w:tblInd w:w="0" w:type="dxa"/>
        <w:tblCellMar>
          <w:top w:w="0" w:type="dxa"/>
          <w:left w:w="0" w:type="dxa"/>
          <w:bottom w:w="0" w:type="dxa"/>
          <w:right w:w="0" w:type="dxa"/>
        </w:tblCellMar>
      </w:tblPr>
      <w:tr>
        <w:trPr>
          <w:trHeight w:val="151"/>
        </w:trPr>
        <w:tc>
          <w:tcPr>
            <w:tcW w:w="6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3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CFF0FC"/>
            </w:tcBorders>
            <w:shd w:val="clear" w:color="auto" w:fill="CFF0FC"/>
          </w:tcPr>
          <w:p>
            <w:pPr>
              <w:ind w:left="260"/>
              <w:spacing w:after="0" w:line="182" w:lineRule="exact"/>
              <w:rPr>
                <w:sz w:val="20"/>
                <w:szCs w:val="20"/>
                <w:color w:val="auto"/>
              </w:rPr>
            </w:pPr>
            <w:r>
              <w:rPr>
                <w:rFonts w:ascii="Times New Roman" w:cs="Times New Roman" w:eastAsia="Times New Roman" w:hAnsi="Times New Roman"/>
                <w:sz w:val="18"/>
                <w:szCs w:val="18"/>
                <w:color w:val="auto"/>
              </w:rPr>
              <w:t>VIVITROL</w:t>
            </w:r>
          </w:p>
        </w:tc>
        <w:tc>
          <w:tcPr>
            <w:tcW w:w="320" w:type="dxa"/>
            <w:vAlign w:val="bottom"/>
            <w:tcBorders>
              <w:top w:val="single" w:sz="8" w:color="auto"/>
            </w:tcBorders>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84.9</w:t>
            </w:r>
          </w:p>
        </w:tc>
        <w:tc>
          <w:tcPr>
            <w:tcW w:w="260" w:type="dxa"/>
            <w:vAlign w:val="bottom"/>
            <w:tcBorders>
              <w:top w:val="single" w:sz="8" w:color="CFF0FC"/>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74.5</w:t>
            </w:r>
          </w:p>
        </w:tc>
        <w:tc>
          <w:tcPr>
            <w:tcW w:w="2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ARISTADA and ARISTADA INITIO</w:t>
            </w:r>
          </w:p>
        </w:tc>
        <w:tc>
          <w:tcPr>
            <w:tcW w:w="3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8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171.3</w:t>
            </w:r>
          </w:p>
        </w:tc>
        <w:tc>
          <w:tcPr>
            <w:tcW w:w="26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416"/>
        <w:spacing w:after="0" w:line="238" w:lineRule="auto"/>
        <w:rPr>
          <w:sz w:val="20"/>
          <w:szCs w:val="20"/>
          <w:color w:val="auto"/>
        </w:rPr>
      </w:pPr>
      <w:r>
        <w:rPr>
          <w:rFonts w:ascii="Times New Roman" w:cs="Times New Roman" w:eastAsia="Times New Roman" w:hAnsi="Times New Roman"/>
          <w:sz w:val="18"/>
          <w:szCs w:val="18"/>
          <w:color w:val="auto"/>
        </w:rPr>
        <w:t>VIVITROL product sales, gross, increased by 9%, primarily due to a 7% increase in the number of VIVITROL units sold and a 2% increase in the selling price of VIVITROL that went into effect in April 2021. ARISTADA and ARISTADA INITIO product sales, gross, increased by 31%, primarily due to a 27% increase in the number of ARISTADA and ARISTADA INITIO units sold and a 3% increase in the selling price of ARISTADA and ARISTADA INITIO that went into effect in April 2021. The increase in LYBALVI product sales, gross is due to LYBALVI’s commercial launch in October 2021. The decrease in Medicaid rebates, as a percentage of sales, was primarily due to a decrease in Medicaid utilization as rates began to normalize from pandemic levels.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months ended March 31,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2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0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Long-acting INVEGA products</w:t>
            </w:r>
          </w:p>
        </w:tc>
        <w:tc>
          <w:tcPr>
            <w:tcW w:w="30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37.1</w:t>
            </w:r>
          </w:p>
        </w:tc>
        <w:tc>
          <w:tcPr>
            <w:tcW w:w="420" w:type="dxa"/>
            <w:vAlign w:val="bottom"/>
          </w:tcPr>
          <w:p>
            <w:pPr>
              <w:spacing w:after="0"/>
              <w:rPr>
                <w:sz w:val="16"/>
                <w:szCs w:val="16"/>
                <w:color w:val="auto"/>
              </w:rPr>
            </w:pPr>
          </w:p>
        </w:tc>
        <w:tc>
          <w:tcPr>
            <w:tcW w:w="480" w:type="dxa"/>
            <w:vAlign w:val="bottom"/>
          </w:tcPr>
          <w:p>
            <w:pPr>
              <w:jc w:val="right"/>
              <w:ind w:right="3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61.6</w:t>
            </w:r>
          </w:p>
        </w:tc>
        <w:tc>
          <w:tcPr>
            <w:tcW w:w="420" w:type="dxa"/>
            <w:vAlign w:val="bottom"/>
          </w:tcPr>
          <w:p>
            <w:pPr>
              <w:spacing w:after="0"/>
              <w:rPr>
                <w:sz w:val="16"/>
                <w:szCs w:val="16"/>
                <w:color w:val="auto"/>
              </w:rPr>
            </w:pPr>
          </w:p>
        </w:tc>
        <w:tc>
          <w:tcPr>
            <w:tcW w:w="260" w:type="dxa"/>
            <w:vAlign w:val="bottom"/>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189"/>
        </w:trPr>
        <w:tc>
          <w:tcPr>
            <w:tcW w:w="62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VUMERITY</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30.6</w:t>
            </w:r>
          </w:p>
        </w:tc>
        <w:tc>
          <w:tcPr>
            <w:tcW w:w="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13.4</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RISPERDAL CONSTA</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17.4</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30.6</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380"/>
              <w:spacing w:after="0" w:line="202" w:lineRule="exact"/>
              <w:rPr>
                <w:sz w:val="20"/>
                <w:szCs w:val="20"/>
                <w:color w:val="auto"/>
              </w:rPr>
            </w:pPr>
            <w:r>
              <w:rPr>
                <w:rFonts w:ascii="Times New Roman" w:cs="Times New Roman" w:eastAsia="Times New Roman" w:hAnsi="Times New Roman"/>
                <w:sz w:val="18"/>
                <w:szCs w:val="18"/>
                <w:color w:val="auto"/>
              </w:rPr>
              <w:t>Manufacturing and royalty revenues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vMerge w:val="continue"/>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105.2</w:t>
            </w:r>
          </w:p>
        </w:tc>
        <w:tc>
          <w:tcPr>
            <w:tcW w:w="420" w:type="dxa"/>
            <w:vAlign w:val="bottom"/>
          </w:tcPr>
          <w:p>
            <w:pPr>
              <w:spacing w:after="0"/>
              <w:rPr>
                <w:sz w:val="15"/>
                <w:szCs w:val="15"/>
                <w:color w:val="auto"/>
              </w:rPr>
            </w:pPr>
          </w:p>
        </w:tc>
        <w:tc>
          <w:tcPr>
            <w:tcW w:w="480" w:type="dxa"/>
            <w:vAlign w:val="bottom"/>
          </w:tcPr>
          <w:p>
            <w:pPr>
              <w:jc w:val="right"/>
              <w:ind w:right="3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119.8</w:t>
            </w:r>
          </w:p>
        </w:tc>
        <w:tc>
          <w:tcPr>
            <w:tcW w:w="420" w:type="dxa"/>
            <w:vAlign w:val="bottom"/>
          </w:tcPr>
          <w:p>
            <w:pPr>
              <w:spacing w:after="0"/>
              <w:rPr>
                <w:sz w:val="15"/>
                <w:szCs w:val="15"/>
                <w:color w:val="auto"/>
              </w:rPr>
            </w:pPr>
          </w:p>
        </w:tc>
        <w:tc>
          <w:tcPr>
            <w:tcW w:w="260" w:type="dxa"/>
            <w:vAlign w:val="bottom"/>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w:t>
      </w:r>
    </w:p>
    <w:p>
      <w:pPr>
        <w:spacing w:after="0" w:line="187"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The decrease in royalty revenues from the long-acting INVEGA products was primarily due to the partial termination in the U.S. of our license agreement with Janssen. When the termination of the license agreement became effective in February 2022, we stopped recognizing royalty revenue related to net sales of INVEGA SUSTENNA, INVEGA TRINZA and INVEGA HAFYERA in the U.S. The decrease in royalty revenue was partially offset by an increase in Janssen’s non-U.S. net sales of these products. During the three months ended March 31, 2022, Janssen’s rest of world net sales were $387.0 million, as compared to $376.0 million during the three months ended March 31, 2021.</w:t>
      </w:r>
    </w:p>
    <w:p>
      <w:pPr>
        <w:spacing w:after="0" w:line="143"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 xml:space="preserve">We expect revenues from net sales of XEPLION, TREVICTA and BYANNLI to decrease over time. The amount and timing of revenues from sales of INVEGA SUSTENNA, INVEGA TRINZA and INVEGA HAFYERA depend upon the outcome of our dispute with Janssen related to the basis for its partial termination of our license agreement in respect of these products. In November 2021, we received notice of partial termination of our license agreement with Janssen in respect of INVEGA SUSTENNA, INVEGA TRINZA and INVEGA HAFYERA, pursuant to which Janssen received access and rights to Alkermes’ small particle pharmaceutical compound technology, known as NanoCrystal Technology. When the partial termination became effective in February 2022, Janssen ceased paying royalties related to sales of INVEGA SUSTENNA, INVEGA TRINZA and INVEGA HAFYERA in the U.S. and the Company stopped recognizing royalty revenue related to net sales of these products. In April 2022, we commenced binding arbitration proceedings related to, among other things, Janssen’s partial termination of the license agreement in the U.S. and Janssen’s royalty and other obligations under the agreement. For additional information regarding the arbitration proceedings with Janssen,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For more information about the license agreement with Janssen in respect of the long-acting INVEGA products, see the “Collaborative Arrangements—Janssen” section in “Part I, Item 1—Business” in our Annual Report. For information about risks relating to the notice of 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55"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15,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0" w:name="page31"/>
    <w:bookmarkEnd w:id="30"/>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increase in revenue from RISPERDAL CONSTA was due to an increase of $4.9 million in manufacturing revenue, partially offset by a decrease of $1.6 million in royalty revenue. The increase in manufacturing revenue was primarily due to an increase in Janssen’s net selling price for units sold in the U.S., partially offset by a decrease in our manufacturing fee from 8.6% to 8.3% pursuant to the terms of our manufacturing and supply agreement with Janssen due to an increase in forecasted manufacturing units. The decrease in royalty revenue was due to a decrease in end-market sales of RISPERDAL CONSTA, which were $129.0 million during the three months ended March 31, 2022, as compared to $157.0 million during the three months ended March 31, 2021.</w:t>
      </w:r>
    </w:p>
    <w:p>
      <w:pPr>
        <w:spacing w:after="0" w:line="165"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We expect revenue from RISPERDAL CONSTA to decrease over time. The latest to expire patent covering RISPERDAL CONSTA expired in 2021 in the EU and will expire in 2023 in the U.S., and we are aware of potential generic competition for RISPERDAL CONSTA that may lead to reduced unit sales and increased pricing pressure. For a discussion of legal proceedings related to patents covering RISPERDAL CONSTA, see Note 15,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Contingent Liabilities </w:t>
      </w:r>
      <w:r>
        <w:rPr>
          <w:rFonts w:ascii="Times New Roman" w:cs="Times New Roman" w:eastAsia="Times New Roman" w:hAnsi="Times New Roman"/>
          <w:sz w:val="18"/>
          <w:szCs w:val="18"/>
          <w:color w:val="auto"/>
        </w:rPr>
        <w:t>in the “Notes to Condensed Consolidated Financial Statements” in this Form 10-Q, and for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“Part I, Item 1A—Risk Factors” in our Annual Report and specifically the section entitled “We or our licensees may face claims against IP rights covering our products and competition from generic drug manufacturers.”</w:t>
      </w:r>
    </w:p>
    <w:p>
      <w:pPr>
        <w:spacing w:after="0" w:line="147"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We receive a 15% royalty on worldwide net sales of VUMERITY. We also recognize manufacturing revenue related to VUMERITY at cost plus 15%, upon release for bulk batches of VUMERITY and upon shipment for packaged lots of VUMERITY. The increase in revenue from VUMERITY was due to an increase of $9.0 million in manufacturing revenue and an increase of $8.2 million in royalty revenue. The increase in manufacturing revenue was primarily due to increased manufacturing activity to satisfy increased demand for the product. The increase in royalty revenue was due to an increase in net sales of VUMERITY, which were $128.0 million during the three months ended March 31, 2022, as compared to $73.3 million during the three months ended March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113"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top w:val="single" w:sz="8" w:color="auto"/>
            </w:tcBorders>
          </w:tcPr>
          <w:p>
            <w:pPr>
              <w:jc w:val="right"/>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618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Cost of goods manufactured and sold</w:t>
            </w:r>
          </w:p>
        </w:tc>
        <w:tc>
          <w:tcPr>
            <w:tcW w:w="1000" w:type="dxa"/>
            <w:vAlign w:val="bottom"/>
            <w:tcBorders>
              <w:top w:val="single" w:sz="8" w:color="auto"/>
              <w:bottom w:val="single" w:sz="8" w:color="auto"/>
            </w:tcBorders>
            <w:shd w:val="clear" w:color="auto" w:fill="CFF0FC"/>
          </w:tcPr>
          <w:p>
            <w:pPr>
              <w:jc w:val="right"/>
              <w:ind w:right="84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55.2</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41.0</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16"/>
        <w:spacing w:after="0"/>
        <w:rPr>
          <w:sz w:val="20"/>
          <w:szCs w:val="20"/>
          <w:color w:val="auto"/>
        </w:rPr>
      </w:pPr>
      <w:r>
        <w:rPr>
          <w:rFonts w:ascii="Times New Roman" w:cs="Times New Roman" w:eastAsia="Times New Roman" w:hAnsi="Times New Roman"/>
          <w:sz w:val="18"/>
          <w:szCs w:val="18"/>
          <w:color w:val="auto"/>
        </w:rPr>
        <w:t>The increase in cost of goods manufactured and sold was primarily due to increases of $6.6 million and $3.9 million, respectively, in the cost of goods manufactured for VUMERITY and RISPERDAL CONSTA and increases of $4.5 million and $4.4 million, respectively, in the cost of goods sold for VIVITROL and LYBALVI. These increases were all related to an increase in the number of units manufactured and sold for each of these products, as discussed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3" w:lineRule="exact"/>
        <w:rPr>
          <w:sz w:val="20"/>
          <w:szCs w:val="20"/>
          <w:color w:val="auto"/>
        </w:rPr>
      </w:pPr>
    </w:p>
    <w:p>
      <w:pPr>
        <w:ind w:right="40" w:firstLine="416"/>
        <w:spacing w:after="0" w:line="239"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03" w:lineRule="exact"/>
        <w:rPr>
          <w:sz w:val="20"/>
          <w:szCs w:val="20"/>
          <w:color w:val="auto"/>
        </w:rPr>
      </w:pPr>
    </w:p>
    <w:p>
      <w:pPr>
        <w:ind w:right="800" w:firstLine="416"/>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months ended March 31, 2022 and 2021 relating to our then current development programs and our internal R&amp;D expenses, listed by the nature of such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0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External R&amp;D expenses:</w:t>
            </w:r>
          </w:p>
        </w:tc>
        <w:tc>
          <w:tcPr>
            <w:tcW w:w="14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Development programs:</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nemvaleukin</w:t>
            </w:r>
          </w:p>
        </w:tc>
        <w:tc>
          <w:tcPr>
            <w:tcW w:w="1760" w:type="dxa"/>
            <w:vAlign w:val="bottom"/>
            <w:gridSpan w:val="2"/>
            <w:shd w:val="clear" w:color="auto" w:fill="CFF0FC"/>
          </w:tcPr>
          <w:p>
            <w:pPr>
              <w:jc w:val="right"/>
              <w:ind w:right="1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LYBALVI</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ALKS 1140</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 external R&amp;D expenses</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15.7</w:t>
            </w:r>
          </w:p>
        </w:tc>
        <w:tc>
          <w:tcPr>
            <w:tcW w:w="26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external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Internal R&amp;D expenses: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Employee-related</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37.9</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Occupancy</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14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tcPr>
          <w:p>
            <w:pPr>
              <w:ind w:left="26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500"/>
              <w:spacing w:after="0" w:line="182" w:lineRule="exact"/>
              <w:rPr>
                <w:sz w:val="20"/>
                <w:szCs w:val="20"/>
                <w:color w:val="auto"/>
              </w:rPr>
            </w:pPr>
            <w:r>
              <w:rPr>
                <w:rFonts w:ascii="Times New Roman" w:cs="Times New Roman" w:eastAsia="Times New Roman" w:hAnsi="Times New Roman"/>
                <w:sz w:val="18"/>
                <w:szCs w:val="18"/>
                <w:color w:val="auto"/>
              </w:rPr>
              <w:t>Total internal R&amp;D expenses</w:t>
            </w:r>
          </w:p>
        </w:tc>
        <w:tc>
          <w:tcPr>
            <w:tcW w:w="14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51.5</w:t>
            </w:r>
          </w:p>
        </w:tc>
        <w:tc>
          <w:tcPr>
            <w:tcW w:w="2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740"/>
              <w:spacing w:after="0" w:line="182"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440" w:type="dxa"/>
            <w:vAlign w:val="bottom"/>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5"/>
                <w:szCs w:val="15"/>
                <w:color w:val="auto"/>
              </w:rPr>
            </w:pPr>
          </w:p>
        </w:tc>
        <w:tc>
          <w:tcPr>
            <w:tcW w:w="560" w:type="dxa"/>
            <w:vAlign w:val="bottom"/>
            <w:tcBorders>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92.3</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firstLine="416"/>
        <w:spacing w:after="0" w:line="242"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16" w:lineRule="exact"/>
        <w:rPr>
          <w:sz w:val="20"/>
          <w:szCs w:val="20"/>
          <w:color w:val="auto"/>
        </w:rPr>
      </w:pPr>
    </w:p>
    <w:p>
      <w:pPr>
        <w:ind w:firstLine="416"/>
        <w:spacing w:after="0" w:line="235" w:lineRule="auto"/>
        <w:rPr>
          <w:sz w:val="20"/>
          <w:szCs w:val="20"/>
          <w:color w:val="auto"/>
        </w:rPr>
      </w:pPr>
      <w:r>
        <w:rPr>
          <w:rFonts w:ascii="Times New Roman" w:cs="Times New Roman" w:eastAsia="Times New Roman" w:hAnsi="Times New Roman"/>
          <w:sz w:val="18"/>
          <w:szCs w:val="18"/>
          <w:color w:val="auto"/>
        </w:rPr>
        <w:t>The increase in expenses related to nemvaleukin was primarily due to the advancement of the ARTISTRY development program for the product, including increased clinical spend on the ARTISTRY-7 study. For details on the ARTISTRY development program, see the “Key Development Program” section of this “Part I, Item 2—Management’s Discussion and Analysis of Financial Condition and Results of Operations” in this Form 10-Q. The increase in other external R&amp;D expenses was primarily due to a $1.4 million increase related to nonclinical studies for early stage development programs and a $1.8 million increase in general clinical operations and medical affairs support. The decrease in expenses related to LYBALVI was primarily due to the product’s commercial launch in October 2021.</w:t>
      </w:r>
    </w:p>
    <w:p>
      <w:pPr>
        <w:spacing w:after="0" w:line="107" w:lineRule="exact"/>
        <w:rPr>
          <w:sz w:val="20"/>
          <w:szCs w:val="20"/>
          <w:color w:val="auto"/>
        </w:rPr>
      </w:pPr>
    </w:p>
    <w:p>
      <w:pPr>
        <w:ind w:right="660" w:firstLine="416"/>
        <w:spacing w:after="0" w:line="458" w:lineRule="auto"/>
        <w:rPr>
          <w:sz w:val="20"/>
          <w:szCs w:val="20"/>
          <w:color w:val="auto"/>
        </w:rPr>
      </w:pPr>
      <w:r>
        <w:rPr>
          <w:rFonts w:ascii="Times New Roman" w:cs="Times New Roman" w:eastAsia="Times New Roman" w:hAnsi="Times New Roman"/>
          <w:sz w:val="18"/>
          <w:szCs w:val="18"/>
          <w:color w:val="auto"/>
        </w:rPr>
        <w:t xml:space="preserve">The increase in employee-related expense was primarily related to a $1.5 million increase in R&amp;D-related share-based compensation expense. </w:t>
      </w:r>
      <w:r>
        <w:rPr>
          <w:rFonts w:ascii="Times New Roman" w:cs="Times New Roman" w:eastAsia="Times New Roman" w:hAnsi="Times New Roman"/>
          <w:sz w:val="18"/>
          <w:szCs w:val="18"/>
          <w:i w:val="1"/>
          <w:iCs w:val="1"/>
          <w:color w:val="auto"/>
        </w:rPr>
        <w:t>Selling, General and Administrative Expense</w:t>
      </w: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6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Selling and marketing expense</w:t>
            </w:r>
          </w:p>
        </w:tc>
        <w:tc>
          <w:tcPr>
            <w:tcW w:w="156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96.2</w:t>
            </w:r>
          </w:p>
        </w:tc>
        <w:tc>
          <w:tcPr>
            <w:tcW w:w="16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79.7</w:t>
            </w:r>
          </w:p>
        </w:tc>
        <w:tc>
          <w:tcPr>
            <w:tcW w:w="16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FF0FC"/>
            </w:tcBorders>
          </w:tcPr>
          <w:p>
            <w:pPr>
              <w:spacing w:after="0" w:line="189" w:lineRule="exact"/>
              <w:rPr>
                <w:sz w:val="20"/>
                <w:szCs w:val="20"/>
                <w:color w:val="auto"/>
              </w:rPr>
            </w:pPr>
            <w:r>
              <w:rPr>
                <w:rFonts w:ascii="Times New Roman" w:cs="Times New Roman" w:eastAsia="Times New Roman" w:hAnsi="Times New Roman"/>
                <w:sz w:val="18"/>
                <w:szCs w:val="18"/>
                <w:color w:val="auto"/>
              </w:rPr>
              <w:t>General and administrative expense</w:t>
            </w:r>
          </w:p>
        </w:tc>
        <w:tc>
          <w:tcPr>
            <w:tcW w:w="15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48.9</w:t>
            </w:r>
          </w:p>
        </w:tc>
        <w:tc>
          <w:tcPr>
            <w:tcW w:w="160" w:type="dxa"/>
            <w:vAlign w:val="bottom"/>
            <w:tcBorders>
              <w:bottom w:val="single" w:sz="8" w:color="CFF0FC"/>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145.1</w:t>
            </w:r>
          </w:p>
        </w:tc>
        <w:tc>
          <w:tcPr>
            <w:tcW w:w="1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125.2</w:t>
            </w: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The increase in selling and marketing expense was primarily due to a $7.9 million increase in employee-related expenses, a $6.4 million increase in marketing expense and a $2.4 million increase in professional service fees. The increase in employee-related expenses was primarily due to a 4% increase in selling and marketing headcount from March 31, 2021 to March 31, 2022. The increases in marketing expense and professional service fees were primarily related to commercial launch activities for LYBALVI.</w:t>
      </w:r>
    </w:p>
    <w:p>
      <w:pPr>
        <w:spacing w:after="0" w:line="180"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was primarily due to a $2.0 million increase in professional service fees, primarily due to increased spend on legal fees, and a $1.4 million increase in expenses related to our branded prescription drug fee.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3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020" w:type="dxa"/>
            <w:vAlign w:val="bottom"/>
          </w:tcPr>
          <w:p>
            <w:pPr>
              <w:spacing w:after="0"/>
              <w:rPr>
                <w:sz w:val="16"/>
                <w:szCs w:val="16"/>
                <w:color w:val="auto"/>
              </w:rPr>
            </w:pPr>
          </w:p>
        </w:tc>
        <w:tc>
          <w:tcPr>
            <w:tcW w:w="7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the fair value of contingent consideration</w:t>
            </w:r>
          </w:p>
        </w:tc>
        <w:tc>
          <w:tcPr>
            <w:tcW w:w="1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(19.1)</w:t>
            </w:r>
          </w:p>
        </w:tc>
        <w:tc>
          <w:tcPr>
            <w:tcW w:w="10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89"/>
        </w:trPr>
        <w:tc>
          <w:tcPr>
            <w:tcW w:w="5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ind w:left="260"/>
              <w:spacing w:after="0" w:line="202" w:lineRule="exact"/>
              <w:rPr>
                <w:sz w:val="20"/>
                <w:szCs w:val="20"/>
                <w:color w:val="auto"/>
              </w:rPr>
            </w:pPr>
            <w:r>
              <w:rPr>
                <w:rFonts w:ascii="Times New Roman" w:cs="Times New Roman" w:eastAsia="Times New Roman" w:hAnsi="Times New Roman"/>
                <w:sz w:val="18"/>
                <w:szCs w:val="18"/>
                <w:color w:val="auto"/>
              </w:rPr>
              <w:t>Total other expense, net</w:t>
            </w:r>
          </w:p>
        </w:tc>
        <w:tc>
          <w:tcPr>
            <w:tcW w:w="124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0" w:type="dxa"/>
            <w:vAlign w:val="bottom"/>
            <w:vMerge w:val="continue"/>
            <w:shd w:val="clear" w:color="auto" w:fill="CFF0FC"/>
          </w:tcPr>
          <w:p>
            <w:pPr>
              <w:spacing w:after="0"/>
              <w:rPr>
                <w:sz w:val="15"/>
                <w:szCs w:val="15"/>
                <w:color w:val="auto"/>
              </w:rPr>
            </w:pPr>
          </w:p>
        </w:tc>
        <w:tc>
          <w:tcPr>
            <w:tcW w:w="1240" w:type="dxa"/>
            <w:vAlign w:val="bottom"/>
            <w:vMerge w:val="continue"/>
            <w:shd w:val="clear" w:color="auto" w:fill="CFF0FC"/>
          </w:tcPr>
          <w:p>
            <w:pPr>
              <w:spacing w:after="0"/>
              <w:rPr>
                <w:sz w:val="15"/>
                <w:szCs w:val="15"/>
                <w:color w:val="auto"/>
              </w:rPr>
            </w:pPr>
          </w:p>
        </w:tc>
        <w:tc>
          <w:tcPr>
            <w:tcW w:w="880" w:type="dxa"/>
            <w:vAlign w:val="bottom"/>
            <w:shd w:val="clear" w:color="auto" w:fill="CFF0FC"/>
          </w:tcPr>
          <w:p>
            <w:pPr>
              <w:jc w:val="right"/>
              <w:ind w:right="7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(18.4)</w:t>
            </w:r>
          </w:p>
        </w:tc>
        <w:tc>
          <w:tcPr>
            <w:tcW w:w="1020" w:type="dxa"/>
            <w:vAlign w:val="bottom"/>
            <w:shd w:val="clear" w:color="auto" w:fill="CFF0FC"/>
          </w:tcPr>
          <w:p>
            <w:pPr>
              <w:jc w:val="right"/>
              <w:ind w:right="83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color w:val="auto"/>
        </w:rPr>
        <w:t xml:space="preserve">The increase in total other expense, net was primarily due to the change in the fair value of contingent consideration as a result of an increase in the risk of non-payment. The reasons for the increase in the risk of non-payment and the valuation approach used to determine the fair value of the contingent consideration are discussed in greater detail in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in the “Notes to Condensed Consolidated Financial Statements” in this Form 10-Q. This was partially offset by a decrease in interest expense due to the Term Loan Refinancing completed in March 2021 and proceeds received in connection with the Fountain transaction in March 2022. The Term Loan Refinancing is discussed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Condensed Consolidated Financial Statements” in this Form 10-Q. The Fountain transaction is discussed in Note 4,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the “Notes to Condensed Consolidated Financial Statements” in this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Provision</w:t>
      </w:r>
    </w:p>
    <w:p>
      <w:pPr>
        <w:spacing w:after="0" w:line="221"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183"/>
        </w:trPr>
        <w:tc>
          <w:tcPr>
            <w:tcW w:w="42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Income tax (benefit) provision</w:t>
            </w:r>
          </w:p>
        </w:tc>
        <w:tc>
          <w:tcPr>
            <w:tcW w:w="20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(9.1)</w:t>
            </w:r>
          </w:p>
        </w:tc>
        <w:tc>
          <w:tcPr>
            <w:tcW w:w="14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2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The income tax (benefit) provision in the three months ended March 31, 2022 and 2021 primarily related to U.S. federal and state taxes. The favorable change in the income tax (benefit) provision was primarily due to an enhanced FDII deduction as a result of a change to Section 174 of the TCJA in relation to capitalization and amortization of R&amp;D expenses. The income tax provision in the three months ended March 31, 2021 primarily related to a $3.8 million discrete tax expense related to employee equity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Ireland</w:t>
            </w:r>
          </w:p>
        </w:tc>
        <w:tc>
          <w:tcPr>
            <w:tcW w:w="200" w:type="dxa"/>
            <w:vAlign w:val="bottom"/>
          </w:tcPr>
          <w:p>
            <w:pPr>
              <w:spacing w:after="0"/>
              <w:rPr>
                <w:sz w:val="13"/>
                <w:szCs w:val="13"/>
                <w:color w:val="auto"/>
              </w:rPr>
            </w:pPr>
          </w:p>
        </w:tc>
        <w:tc>
          <w:tcPr>
            <w:tcW w:w="7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Ireland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134.5</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148.1</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282.6</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88.6</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248.9</w:t>
            </w: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337.5</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146.5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246.3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142.6</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87.2</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229.8</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66.4</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229.4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423.6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335.1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758.7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396.1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369.6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765.7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295.2</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295.2</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56"/>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295.8</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295.8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March 31, 2022 our investments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55"/>
        </w:trPr>
        <w:tc>
          <w:tcPr>
            <w:tcW w:w="416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FF0FC"/>
            </w:tcBorders>
          </w:tcPr>
          <w:p>
            <w:pPr>
              <w:spacing w:after="0"/>
              <w:rPr>
                <w:sz w:val="13"/>
                <w:szCs w:val="13"/>
                <w:color w:val="auto"/>
              </w:rPr>
            </w:pPr>
          </w:p>
        </w:tc>
      </w:tr>
      <w:tr>
        <w:trPr>
          <w:trHeight w:val="183"/>
        </w:trPr>
        <w:tc>
          <w:tcPr>
            <w:tcW w:w="41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Investments—short-term available-for-sale</w:t>
            </w: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247.5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ind w:left="6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FF0FC"/>
          </w:tcPr>
          <w:p>
            <w:pPr>
              <w:spacing w:after="0"/>
              <w:rPr>
                <w:sz w:val="15"/>
                <w:szCs w:val="15"/>
                <w:color w:val="auto"/>
              </w:rPr>
            </w:pPr>
          </w:p>
        </w:tc>
      </w:tr>
      <w:tr>
        <w:trPr>
          <w:trHeight w:val="189"/>
        </w:trPr>
        <w:tc>
          <w:tcPr>
            <w:tcW w:w="4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available-for-sale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6"/>
                <w:szCs w:val="16"/>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Investments—long-term held-to-maturity</w:t>
            </w:r>
          </w:p>
        </w:tc>
        <w:tc>
          <w:tcPr>
            <w:tcW w:w="10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ind w:left="6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6"/>
                <w:szCs w:val="16"/>
                <w:color w:val="auto"/>
              </w:rPr>
            </w:pPr>
          </w:p>
        </w:tc>
      </w:tr>
      <w:tr>
        <w:trPr>
          <w:trHeight w:val="183"/>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483.2</w:t>
            </w:r>
          </w:p>
        </w:tc>
        <w:tc>
          <w:tcPr>
            <w:tcW w:w="220" w:type="dxa"/>
            <w:vAlign w:val="bottom"/>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5"/>
                <w:szCs w:val="15"/>
                <w:color w:val="auto"/>
              </w:rPr>
            </w:pPr>
          </w:p>
        </w:tc>
        <w:tc>
          <w:tcPr>
            <w:tcW w:w="460" w:type="dxa"/>
            <w:vAlign w:val="bottom"/>
          </w:tcPr>
          <w:p>
            <w:pPr>
              <w:jc w:val="right"/>
              <w:ind w:right="30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15"/>
                <w:szCs w:val="15"/>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73" w:lineRule="exact"/>
        <w:rPr>
          <w:sz w:val="20"/>
          <w:szCs w:val="20"/>
          <w:color w:val="auto"/>
        </w:rPr>
      </w:pPr>
    </w:p>
    <w:p>
      <w:pPr>
        <w:ind w:right="80" w:firstLine="416"/>
        <w:spacing w:after="0" w:line="203" w:lineRule="exact"/>
        <w:rPr>
          <w:sz w:val="20"/>
          <w:szCs w:val="20"/>
          <w:color w:val="auto"/>
        </w:rPr>
      </w:pPr>
      <w:r>
        <w:rPr>
          <w:rFonts w:ascii="Times New Roman" w:cs="Times New Roman" w:eastAsia="Times New Roman" w:hAnsi="Times New Roman"/>
          <w:sz w:val="18"/>
          <w:szCs w:val="18"/>
          <w:color w:val="auto"/>
        </w:rPr>
        <w:t>We generated $21.7 million and used $45.1 million of cash from operating activities during the three months ended March 31, 2022 and 2021,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amounts provided that we meet certain conditions, including a specified leverage ratio.</w:t>
      </w:r>
    </w:p>
    <w:p>
      <w:pPr>
        <w:spacing w:after="0" w:line="161" w:lineRule="exact"/>
        <w:rPr>
          <w:sz w:val="20"/>
          <w:szCs w:val="20"/>
          <w:color w:val="auto"/>
        </w:rPr>
      </w:pPr>
    </w:p>
    <w:p>
      <w:pPr>
        <w:ind w:right="120" w:firstLine="416"/>
        <w:spacing w:after="0" w:line="238"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30" w:lineRule="exact"/>
        <w:rPr>
          <w:sz w:val="20"/>
          <w:szCs w:val="20"/>
          <w:color w:val="auto"/>
        </w:rPr>
      </w:pPr>
    </w:p>
    <w:p>
      <w:pPr>
        <w:ind w:right="20" w:firstLine="416"/>
        <w:spacing w:after="0" w:line="214" w:lineRule="exact"/>
        <w:rPr>
          <w:sz w:val="20"/>
          <w:szCs w:val="20"/>
          <w:color w:val="auto"/>
        </w:rPr>
      </w:pPr>
      <w:r>
        <w:rPr>
          <w:rFonts w:ascii="Times New Roman" w:cs="Times New Roman" w:eastAsia="Times New Roman" w:hAnsi="Times New Roman"/>
          <w:sz w:val="18"/>
          <w:szCs w:val="18"/>
          <w:color w:val="auto"/>
        </w:rPr>
        <w:t>We classify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an unrealized loss position that do not mature within twelve months as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that we would not be required to sell these securities before recovery of their amortized cost. At March 31, 2022, we performed an analysis of our investments with unrealized losses for impairment and determined that they were not impaired.</w:t>
      </w:r>
    </w:p>
    <w:p>
      <w:pPr>
        <w:spacing w:after="0" w:line="159" w:lineRule="exact"/>
        <w:rPr>
          <w:sz w:val="20"/>
          <w:szCs w:val="20"/>
          <w:color w:val="auto"/>
        </w:rPr>
      </w:pPr>
    </w:p>
    <w:p>
      <w:pPr>
        <w:ind w:right="600" w:firstLine="416"/>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31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337.5</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(60.6)</w:t>
            </w: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Cash flows (used in) provided by financing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282.6</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205.0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260" w:firstLine="416"/>
        <w:spacing w:after="0"/>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44" w:lineRule="exact"/>
        <w:rPr>
          <w:sz w:val="20"/>
          <w:szCs w:val="20"/>
          <w:color w:val="auto"/>
        </w:rPr>
      </w:pPr>
    </w:p>
    <w:p>
      <w:pPr>
        <w:ind w:right="120" w:firstLine="416"/>
        <w:spacing w:after="0"/>
        <w:rPr>
          <w:sz w:val="20"/>
          <w:szCs w:val="20"/>
          <w:color w:val="auto"/>
        </w:rPr>
      </w:pPr>
      <w:r>
        <w:rPr>
          <w:rFonts w:ascii="Times New Roman" w:cs="Times New Roman" w:eastAsia="Times New Roman" w:hAnsi="Times New Roman"/>
          <w:sz w:val="18"/>
          <w:szCs w:val="18"/>
          <w:color w:val="auto"/>
        </w:rPr>
        <w:t>The change in cash flows from operating activities was primarily due to an increase in cash provided by working capital, offset by an increase in our net loss, net of adjustments to reconcile net loss to cash flows from operating activities. The increase in cash from working capital was primarily related to an increase in cash flows from accounts receivable and decreases in cash flows used in accounts payable and accrued expenses, contract liabilities and operating lease liabilities, partially offset by increases in cash flows used for contract assets, inventory and prepaid expenses and other current assets.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4" w:name="page35"/>
    <w:bookmarkEnd w:id="34"/>
    <w:p>
      <w:pPr>
        <w:ind w:firstLine="416"/>
        <w:spacing w:after="0" w:line="266" w:lineRule="auto"/>
        <w:rPr>
          <w:sz w:val="20"/>
          <w:szCs w:val="20"/>
          <w:color w:val="auto"/>
        </w:rPr>
      </w:pPr>
      <w:r>
        <w:rPr>
          <w:rFonts w:ascii="Times New Roman" w:cs="Times New Roman" w:eastAsia="Times New Roman" w:hAnsi="Times New Roman"/>
          <w:sz w:val="18"/>
          <w:szCs w:val="18"/>
          <w:color w:val="auto"/>
        </w:rPr>
        <w:t>The increase in cash flows used in investing activities was primarily due to a $17.5 million increase in net purchase of investments and a $5.9 million decrease in payments received in connection with the contingent consideration resulting from the Gainesville Transaction.</w:t>
      </w:r>
    </w:p>
    <w:p>
      <w:pPr>
        <w:spacing w:after="0" w:line="122" w:lineRule="exact"/>
        <w:rPr>
          <w:sz w:val="20"/>
          <w:szCs w:val="20"/>
          <w:color w:val="auto"/>
        </w:rPr>
      </w:pPr>
    </w:p>
    <w:p>
      <w:pPr>
        <w:ind w:right="500" w:firstLine="416"/>
        <w:spacing w:after="0" w:line="266" w:lineRule="auto"/>
        <w:rPr>
          <w:sz w:val="20"/>
          <w:szCs w:val="20"/>
          <w:color w:val="auto"/>
        </w:rPr>
      </w:pPr>
      <w:r>
        <w:rPr>
          <w:rFonts w:ascii="Times New Roman" w:cs="Times New Roman" w:eastAsia="Times New Roman" w:hAnsi="Times New Roman"/>
          <w:sz w:val="18"/>
          <w:szCs w:val="18"/>
          <w:color w:val="auto"/>
        </w:rPr>
        <w:t>The change in cash flows from financing activities was primarily due to $23.6 million in proceeds from the Term Loan Refinancing and a $6.9 million increase in the amount of cash we received upon exercises of employee stock options, net of employee taxes.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1"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 xml:space="preserve">At March 31, 2022, the principal balance of our borrowings consisted of $297.0 million outstanding under our 2026 Term Loans.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the “Notes to Condensed Consolidated Financial Statements” in this Form 10-Q for further discussion of our 2026 Term Loans.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73" w:lineRule="exact"/>
        <w:rPr>
          <w:sz w:val="20"/>
          <w:szCs w:val="20"/>
          <w:color w:val="auto"/>
        </w:rPr>
      </w:pPr>
    </w:p>
    <w:p>
      <w:pPr>
        <w:ind w:right="60" w:firstLine="416"/>
        <w:spacing w:after="0" w:line="23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p>
    <w:p>
      <w:pPr>
        <w:spacing w:after="0" w:line="132" w:lineRule="exact"/>
        <w:rPr>
          <w:sz w:val="20"/>
          <w:szCs w:val="20"/>
          <w:color w:val="auto"/>
        </w:rPr>
      </w:pPr>
    </w:p>
    <w:p>
      <w:pPr>
        <w:ind w:right="20" w:firstLine="416"/>
        <w:spacing w:after="0"/>
        <w:rPr>
          <w:sz w:val="20"/>
          <w:szCs w:val="20"/>
          <w:color w:val="auto"/>
        </w:rPr>
      </w:pPr>
      <w:r>
        <w:rPr>
          <w:rFonts w:ascii="Times New Roman" w:cs="Times New Roman" w:eastAsia="Times New Roman" w:hAnsi="Times New Roman"/>
          <w:sz w:val="18"/>
          <w:szCs w:val="18"/>
          <w:color w:val="auto"/>
        </w:rPr>
        <w:t xml:space="preserve">In relation to our contingent consideration and in light of Baudax’s disclosures regarding its ability to continue as a going concern, we increased the likelihood that Baudax would default on its obligations to us to 100% at March 31, 2022 from 55% at December 31, 2021 and adjusted the recovery rate to 9% at March 31, 2022 from 18% at December 31, 2021. For further information regarding the calculation of the fair value of the contingent consideration, refer to Note 5,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in this Form 10-Q.</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71" w:lineRule="exact"/>
        <w:rPr>
          <w:sz w:val="20"/>
          <w:szCs w:val="20"/>
          <w:color w:val="auto"/>
        </w:rPr>
      </w:pPr>
    </w:p>
    <w:p>
      <w:pPr>
        <w:ind w:firstLine="416"/>
        <w:spacing w:after="0" w:line="268"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2021, and we do not anticipate any near-term changes in the nature of our market risk exposures or in our management’s objectives and strategies with respect to managing such exposures.</w:t>
      </w:r>
    </w:p>
    <w:p>
      <w:pPr>
        <w:spacing w:after="0" w:line="160"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We are exposed to non-U.S. currency exchange risk related to manufacturing and royalty revenues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2021.</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8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under the Exchange Act) as of March 31, 2022. Based on that evaluation, our Chief Executive Officer and Chief Financial Officer each concluded that our disclosure controls and procedures were effective as of March 31, 2022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200"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0" w:lineRule="exact"/>
        <w:rPr>
          <w:sz w:val="20"/>
          <w:szCs w:val="20"/>
          <w:color w:val="auto"/>
        </w:rPr>
      </w:pPr>
    </w:p>
    <w:p>
      <w:pPr>
        <w:ind w:right="460" w:firstLine="416"/>
        <w:spacing w:after="0" w:line="315" w:lineRule="auto"/>
        <w:rPr>
          <w:sz w:val="20"/>
          <w:szCs w:val="20"/>
          <w:color w:val="auto"/>
        </w:rPr>
      </w:pPr>
      <w:r>
        <w:rPr>
          <w:rFonts w:ascii="Times New Roman" w:cs="Times New Roman" w:eastAsia="Times New Roman" w:hAnsi="Times New Roman"/>
          <w:sz w:val="17"/>
          <w:szCs w:val="17"/>
          <w:color w:val="auto"/>
        </w:rPr>
        <w:t xml:space="preserve">For information regarding legal proceedings, see the discussion of legal proceedings in Note 15, </w:t>
      </w:r>
      <w:r>
        <w:rPr>
          <w:rFonts w:ascii="Times New Roman" w:cs="Times New Roman" w:eastAsia="Times New Roman" w:hAnsi="Times New Roman"/>
          <w:sz w:val="17"/>
          <w:szCs w:val="17"/>
          <w:i w:val="1"/>
          <w:iCs w:val="1"/>
          <w:color w:val="auto"/>
        </w:rPr>
        <w:t>Commitments and Contingent Liabilities</w:t>
      </w:r>
      <w:r>
        <w:rPr>
          <w:rFonts w:ascii="Times New Roman" w:cs="Times New Roman" w:eastAsia="Times New Roman" w:hAnsi="Times New Roman"/>
          <w:sz w:val="17"/>
          <w:szCs w:val="17"/>
          <w:color w:val="auto"/>
        </w:rPr>
        <w:t xml:space="preserve"> in the “Notes to Condensed Consolidated Financial Statements” in this Form 10-Q, which discussion is incorporated into this Part II, Item 1 by reference.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9"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212529"/>
        </w:rPr>
        <w:t>For a discussion of our risk factors, see “Part I, Item 1A—Risk Factors” in our Annual Report. There have been no material changes from the risk factors disclosed in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89"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three months ended March 31, 2022. As of March 31, 2022, we had purchased a total of 8,866,342 shares under this program at an aggregate cost of $114.0 million.</w:t>
      </w:r>
    </w:p>
    <w:p>
      <w:pPr>
        <w:spacing w:after="0" w:line="139" w:lineRule="exact"/>
        <w:rPr>
          <w:sz w:val="20"/>
          <w:szCs w:val="20"/>
          <w:color w:val="auto"/>
        </w:rPr>
      </w:pPr>
    </w:p>
    <w:p>
      <w:pPr>
        <w:ind w:right="540" w:firstLine="41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acquired 678,209 of our ordinary shares, at an average price of $25.17 per share, to satisfy withholding tax obligations related to the vesting of employee equity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directors, officers and employees to enter into trading plans in accordance with Rule 10b5-1 under the Exchange Act. During the three months ended March 31, 2022, Mr. Shane M. Cooke, a director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9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9"/>
        </w:trPr>
        <w:tc>
          <w:tcPr>
            <w:tcW w:w="840" w:type="dxa"/>
            <w:vAlign w:val="bottom"/>
            <w:tcBorders>
              <w:bottom w:val="single" w:sz="8" w:color="CFF0FC"/>
            </w:tcBorders>
            <w:shd w:val="clear" w:color="auto" w:fill="CFF0FC"/>
          </w:tcPr>
          <w:p>
            <w:pPr>
              <w:ind w:left="100"/>
              <w:spacing w:after="0" w:line="169" w:lineRule="exact"/>
              <w:rPr>
                <w:sz w:val="20"/>
                <w:szCs w:val="20"/>
                <w:color w:val="auto"/>
              </w:rPr>
            </w:pPr>
            <w:r>
              <w:rPr>
                <w:rFonts w:ascii="Times New Roman" w:cs="Times New Roman" w:eastAsia="Times New Roman" w:hAnsi="Times New Roman"/>
                <w:sz w:val="18"/>
                <w:szCs w:val="18"/>
                <w:color w:val="auto"/>
              </w:rPr>
              <w:t>31.1 #</w:t>
            </w:r>
          </w:p>
        </w:tc>
        <w:tc>
          <w:tcPr>
            <w:tcW w:w="5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840" w:type="dxa"/>
            <w:vAlign w:val="bottom"/>
            <w:tcBorders>
              <w:bottom w:val="single" w:sz="8" w:color="0000EE"/>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EE"/>
                <w:w w:val="99"/>
              </w:rPr>
              <w:t>Rule 13a-14(a)/15d-14(a) Certification.</w:t>
            </w:r>
          </w:p>
        </w:tc>
        <w:tc>
          <w:tcPr>
            <w:tcW w:w="6940" w:type="dxa"/>
            <w:vAlign w:val="bottom"/>
            <w:tcBorders>
              <w:bottom w:val="single" w:sz="8" w:color="CFF0FC"/>
            </w:tcBorders>
            <w:gridSpan w:val="2"/>
            <w:shd w:val="clear" w:color="auto" w:fill="CFF0FC"/>
          </w:tcPr>
          <w:p>
            <w:pPr>
              <w:spacing w:after="0"/>
              <w:rPr>
                <w:sz w:val="16"/>
                <w:szCs w:val="16"/>
                <w:color w:val="auto"/>
              </w:rPr>
            </w:pPr>
          </w:p>
        </w:tc>
      </w:tr>
      <w:tr>
        <w:trPr>
          <w:trHeight w:val="176"/>
        </w:trPr>
        <w:tc>
          <w:tcPr>
            <w:tcW w:w="8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31.2 #</w:t>
            </w:r>
          </w:p>
        </w:tc>
        <w:tc>
          <w:tcPr>
            <w:tcW w:w="500" w:type="dxa"/>
            <w:vAlign w:val="bottom"/>
          </w:tcPr>
          <w:p>
            <w:pPr>
              <w:spacing w:after="0"/>
              <w:rPr>
                <w:sz w:val="15"/>
                <w:szCs w:val="15"/>
                <w:color w:val="auto"/>
              </w:rPr>
            </w:pPr>
          </w:p>
        </w:tc>
        <w:tc>
          <w:tcPr>
            <w:tcW w:w="990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w:t>
            </w: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340" w:type="dxa"/>
            <w:vAlign w:val="bottom"/>
            <w:gridSpan w:val="2"/>
            <w:shd w:val="clear" w:color="auto" w:fill="CFF0FC"/>
          </w:tcPr>
          <w:p>
            <w:pPr>
              <w:ind w:left="100"/>
              <w:spacing w:after="0" w:line="176" w:lineRule="exact"/>
              <w:rPr>
                <w:sz w:val="20"/>
                <w:szCs w:val="20"/>
                <w:color w:val="auto"/>
              </w:rPr>
            </w:pPr>
            <w:r>
              <w:rPr>
                <w:rFonts w:ascii="Times New Roman" w:cs="Times New Roman" w:eastAsia="Times New Roman" w:hAnsi="Times New Roman"/>
                <w:sz w:val="18"/>
                <w:szCs w:val="18"/>
                <w:color w:val="auto"/>
              </w:rPr>
              <w:t>32.1 ‡</w:t>
            </w:r>
          </w:p>
        </w:tc>
        <w:tc>
          <w:tcPr>
            <w:tcW w:w="9900" w:type="dxa"/>
            <w:vAlign w:val="bottom"/>
            <w:gridSpan w:val="4"/>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0000EE"/>
            </w:tcBorders>
            <w:shd w:val="clear" w:color="auto" w:fill="CFF0FC"/>
          </w:tcPr>
          <w:p>
            <w:pPr>
              <w:spacing w:after="0" w:line="20" w:lineRule="exact"/>
              <w:rPr>
                <w:sz w:val="1"/>
                <w:szCs w:val="1"/>
                <w:color w:val="auto"/>
              </w:rPr>
            </w:pPr>
          </w:p>
        </w:tc>
        <w:tc>
          <w:tcPr>
            <w:tcW w:w="5860" w:type="dxa"/>
            <w:vAlign w:val="bottom"/>
            <w:tcBorders>
              <w:top w:val="single" w:sz="8" w:color="0000EE"/>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101.SCH #</w:t>
            </w:r>
          </w:p>
        </w:tc>
        <w:tc>
          <w:tcPr>
            <w:tcW w:w="9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101.CAL #</w:t>
            </w:r>
          </w:p>
        </w:tc>
        <w:tc>
          <w:tcPr>
            <w:tcW w:w="990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101.LAB #</w:t>
            </w:r>
          </w:p>
        </w:tc>
        <w:tc>
          <w:tcPr>
            <w:tcW w:w="9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101.PRE #</w:t>
            </w:r>
          </w:p>
        </w:tc>
        <w:tc>
          <w:tcPr>
            <w:tcW w:w="990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101.DEF #</w:t>
            </w:r>
          </w:p>
        </w:tc>
        <w:tc>
          <w:tcPr>
            <w:tcW w:w="99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98"/>
        </w:trPr>
        <w:tc>
          <w:tcPr>
            <w:tcW w:w="8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104 #</w:t>
            </w:r>
          </w:p>
        </w:tc>
        <w:tc>
          <w:tcPr>
            <w:tcW w:w="500" w:type="dxa"/>
            <w:vAlign w:val="bottom"/>
            <w:shd w:val="clear" w:color="auto" w:fill="CFF0FC"/>
          </w:tcPr>
          <w:p>
            <w:pPr>
              <w:spacing w:after="0"/>
              <w:rPr>
                <w:sz w:val="17"/>
                <w:szCs w:val="17"/>
                <w:color w:val="auto"/>
              </w:rPr>
            </w:pPr>
          </w:p>
        </w:tc>
        <w:tc>
          <w:tcPr>
            <w:tcW w:w="9900" w:type="dxa"/>
            <w:vAlign w:val="bottom"/>
            <w:gridSpan w:val="4"/>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58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135"/>
        </w:trPr>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90" w:lineRule="exact"/>
        <w:rPr>
          <w:sz w:val="20"/>
          <w:szCs w:val="20"/>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60" w:hanging="552"/>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Times New Roman" w:cs="Times New Roman" w:eastAsia="Times New Roman" w:hAnsi="Times New Roman"/>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17145</wp:posOffset>
            </wp:positionV>
            <wp:extent cx="3128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3360"/>
        <w:spacing w:after="0"/>
        <w:tabs>
          <w:tab w:leader="none" w:pos="3860" w:val="left"/>
        </w:tabs>
        <w:rPr>
          <w:sz w:val="20"/>
          <w:szCs w:val="20"/>
          <w:color w:val="auto"/>
        </w:rPr>
      </w:pPr>
      <w:r>
        <w:rPr>
          <w:rFonts w:ascii="Times New Roman" w:cs="Times New Roman" w:eastAsia="Times New Roman" w:hAnsi="Times New Roman"/>
          <w:sz w:val="18"/>
          <w:szCs w:val="18"/>
          <w:color w:val="auto"/>
        </w:rPr>
        <w:t>By:</w:t>
        <w:tab/>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17145</wp:posOffset>
            </wp:positionV>
            <wp:extent cx="31286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2022</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00"/>
          </w:cols>
          <w:pgMar w:left="320" w:top="549" w:right="8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38" w:lineRule="exact"/>
        <w:rPr>
          <w:rFonts w:ascii="Times New Roman" w:cs="Times New Roman" w:eastAsia="Times New Roman" w:hAnsi="Times New Roman"/>
          <w:sz w:val="18"/>
          <w:szCs w:val="18"/>
          <w:color w:val="auto"/>
        </w:rPr>
      </w:pPr>
    </w:p>
    <w:p>
      <w:pPr>
        <w:jc w:val="both"/>
        <w:ind w:left="880" w:right="160" w:hanging="508"/>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880" w:right="120" w:hanging="508"/>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80" w:right="80" w:hanging="508"/>
        <w:spacing w:after="0" w:line="276"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20" w:lineRule="exact"/>
        <w:rPr>
          <w:rFonts w:ascii="Times New Roman" w:cs="Times New Roman" w:eastAsia="Times New Roman" w:hAnsi="Times New Roman"/>
          <w:sz w:val="17"/>
          <w:szCs w:val="17"/>
          <w:color w:val="auto"/>
        </w:rPr>
      </w:pPr>
    </w:p>
    <w:p>
      <w:pPr>
        <w:ind w:left="1500" w:right="160" w:hanging="372"/>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880" w:right="60" w:hanging="508"/>
        <w:spacing w:after="0" w:line="312" w:lineRule="auto"/>
        <w:tabs>
          <w:tab w:leader="none" w:pos="8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Times New Roman" w:cs="Times New Roman" w:eastAsia="Times New Roman" w:hAnsi="Times New Roman"/>
          <w:sz w:val="17"/>
          <w:szCs w:val="17"/>
          <w:color w:val="auto"/>
        </w:rPr>
      </w:pPr>
    </w:p>
    <w:p>
      <w:pPr>
        <w:ind w:left="1500" w:right="260" w:hanging="372"/>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80"/>
        <w:spacing w:after="0"/>
        <w:tabs>
          <w:tab w:leader="none" w:pos="1060" w:val="left"/>
          <w:tab w:leader="none" w:pos="564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7"/>
          <w:szCs w:val="17"/>
          <w:color w:val="auto"/>
        </w:rPr>
        <w:t>/s/ Richard F. Pops</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38"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68"/>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500" w:right="160" w:hanging="372"/>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500" w:right="220" w:hanging="372"/>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jc w:val="both"/>
        <w:ind w:left="1500" w:right="20" w:hanging="372"/>
        <w:spacing w:after="0" w:line="312" w:lineRule="auto"/>
        <w:tabs>
          <w:tab w:leader="none" w:pos="15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500" w:right="60" w:hanging="372"/>
        <w:spacing w:after="0" w:line="266"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260" w:hanging="372"/>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72"/>
        <w:spacing w:after="0" w:line="282" w:lineRule="auto"/>
        <w:tabs>
          <w:tab w:leader="none" w:pos="15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80"/>
        <w:spacing w:after="0"/>
        <w:tabs>
          <w:tab w:leader="none" w:pos="1060" w:val="left"/>
          <w:tab w:leader="none" w:pos="564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Alkermes plc (the “Company”) for the period ended March 31, 2022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7"/>
          <w:szCs w:val="17"/>
          <w:color w:val="auto"/>
        </w:rPr>
        <w:t>/s/ Richard F. Pops</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1080" w:val="left"/>
          <w:tab w:leader="none" w:pos="564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40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5"/>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2022-04-27T08:19:03Z</dcterms:created>
  <dcterms:modified xsi:type="dcterms:W3CDTF">2022-04-27T08:19:03Z</dcterms:modified>
</cp:coreProperties>
</file>