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lks-20250331.htm"/>
      <w:bookmarkStart w:id="1" w:name="ksalks20250331"/>
      <w:bookmarkEnd w:id="0"/>
      <w:bookmarkEnd w:id="1"/>
      <w:r>
        <w:rPr/>
        <w:t> </w:t>
      </w:r>
    </w:p>
    <w:p>
      <w:pPr>
        <w:pStyle w:val="TextBody"/>
        <w:bidi w:val="0"/>
        <w:jc w:val="center"/>
        <w:rPr/>
      </w:pPr>
      <w:r>
        <w:rPr/>
        <w:t> </w:t>
      </w:r>
    </w:p>
    <w:p>
      <w:pPr>
        <w:pStyle w:val="TextBody"/>
        <w:pBdr>
          <w:top w:val="single" w:sz="24" w:space="1" w:color="000000"/>
          <w:bottom w:val="single" w:sz="8" w:space="1" w:color="000000"/>
        </w:pBdr>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 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(Mark One)</w:t>
      </w:r>
    </w:p>
    <w:p>
      <w:pPr>
        <w:pStyle w:val="TextBody"/>
        <w:bidi w:val="0"/>
        <w:jc w:val="left"/>
        <w:rPr/>
      </w:pPr>
      <w:r>
        <w:rPr/>
        <w:t> </w:t>
      </w:r>
    </w:p>
    <w:p>
      <w:pPr>
        <w:pStyle w:val="TextBody"/>
        <w:bidi w:val="0"/>
        <w:jc w:val="left"/>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March 31, 2025</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p>
      <w:pPr>
        <w:pStyle w:val="TextBody"/>
        <w:bidi w:val="0"/>
        <w:jc w:val="left"/>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001-35299</w:t>
      </w:r>
    </w:p>
    <w:p>
      <w:pPr>
        <w:pStyle w:val="TextBody"/>
        <w:bidi w:val="0"/>
        <w:jc w:val="center"/>
        <w:rPr/>
      </w:pPr>
      <w:r>
        <w:rPr/>
        <w:drawing>
          <wp:inline distT="0" distB="0" distL="0" distR="0">
            <wp:extent cx="182880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457200"/>
                    </a:xfrm>
                    <a:prstGeom prst="rect">
                      <a:avLst/>
                    </a:prstGeom>
                  </pic:spPr>
                </pic:pic>
              </a:graphicData>
            </a:graphic>
          </wp:inline>
        </w:drawing>
      </w:r>
    </w:p>
    <w:p>
      <w:pPr>
        <w:pStyle w:val="TextBody"/>
        <w:bidi w:val="0"/>
        <w:jc w:val="center"/>
        <w:rPr>
          <w:rFonts w:ascii="Times New Roman" w:hAnsi="Times New Roman"/>
          <w:b/>
          <w:color w:val="000000"/>
          <w:sz w:val="29"/>
        </w:rPr>
      </w:pPr>
      <w:r>
        <w:rPr>
          <w:rFonts w:ascii="Times New Roman" w:hAnsi="Times New Roman"/>
          <w:b/>
          <w:color w:val="000000"/>
          <w:sz w:val="29"/>
        </w:rPr>
        <w:t>ALKERMES PUBLIC LIMITED COMPANY</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left"/>
        <w:rPr/>
      </w:pPr>
      <w:r>
        <w:rPr/>
        <w:t> </w:t>
      </w:r>
    </w:p>
    <w:tbl>
      <w:tblPr>
        <w:tblW w:w="8143" w:type="dxa"/>
        <w:jc w:val="left"/>
        <w:tblInd w:w="0" w:type="dxa"/>
        <w:tblLayout w:type="fixed"/>
        <w:tblCellMar>
          <w:top w:w="28" w:type="dxa"/>
          <w:left w:w="28" w:type="dxa"/>
          <w:bottom w:w="28" w:type="dxa"/>
          <w:right w:w="28" w:type="dxa"/>
        </w:tblCellMar>
      </w:tblPr>
      <w:tblGrid>
        <w:gridCol w:w="4966"/>
        <w:gridCol w:w="146"/>
        <w:gridCol w:w="3031"/>
      </w:tblGrid>
      <w:tr>
        <w:trPr/>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4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Ireland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98-1007018</w:t>
            </w:r>
          </w:p>
        </w:tc>
      </w:tr>
      <w:tr>
        <w:trPr/>
        <w:tc>
          <w:tcPr>
            <w:tcW w:w="4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 of 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Connaught House</w:t>
      </w:r>
    </w:p>
    <w:p>
      <w:pPr>
        <w:pStyle w:val="TextBody"/>
        <w:bidi w:val="0"/>
        <w:jc w:val="center"/>
        <w:rPr>
          <w:rFonts w:ascii="Times New Roman" w:hAnsi="Times New Roman"/>
          <w:b/>
          <w:color w:val="000000"/>
          <w:sz w:val="20"/>
        </w:rPr>
      </w:pPr>
      <w:r>
        <w:rPr>
          <w:rFonts w:ascii="Times New Roman" w:hAnsi="Times New Roman"/>
          <w:b/>
          <w:color w:val="000000"/>
          <w:sz w:val="20"/>
        </w:rPr>
        <w:t>1 Burlington Road</w:t>
      </w:r>
    </w:p>
    <w:p>
      <w:pPr>
        <w:pStyle w:val="TextBody"/>
        <w:bidi w:val="0"/>
        <w:jc w:val="center"/>
        <w:rPr>
          <w:rFonts w:ascii="Times New Roman" w:hAnsi="Times New Roman"/>
          <w:b/>
          <w:color w:val="000000"/>
          <w:sz w:val="20"/>
        </w:rPr>
      </w:pPr>
      <w:r>
        <w:rPr>
          <w:rFonts w:ascii="Times New Roman" w:hAnsi="Times New Roman"/>
          <w:b/>
          <w:color w:val="000000"/>
          <w:sz w:val="20"/>
        </w:rPr>
        <w:t>Dublin 4, Ireland, D04 C5Y6</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offices)</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+ 353-1-772-8000</w:t>
      </w:r>
    </w:p>
    <w:p>
      <w:pPr>
        <w:pStyle w:val="TextBody"/>
        <w:bidi w:val="0"/>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center"/>
        <w:rPr/>
      </w:pPr>
      <w:r>
        <w:rPr/>
        <w:t> </w:t>
      </w:r>
    </w:p>
    <w:tbl>
      <w:tblPr>
        <w:tblW w:w="8545" w:type="dxa"/>
        <w:jc w:val="left"/>
        <w:tblInd w:w="0" w:type="dxa"/>
        <w:tblLayout w:type="fixed"/>
        <w:tblCellMar>
          <w:top w:w="28" w:type="dxa"/>
          <w:left w:w="28" w:type="dxa"/>
          <w:bottom w:w="28" w:type="dxa"/>
          <w:right w:w="28" w:type="dxa"/>
        </w:tblCellMar>
      </w:tblPr>
      <w:tblGrid>
        <w:gridCol w:w="2731"/>
        <w:gridCol w:w="146"/>
        <w:gridCol w:w="1696"/>
        <w:gridCol w:w="146"/>
        <w:gridCol w:w="3826"/>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7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2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Ordinary shares, $0.01 par value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ALKS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73" w:type="dxa"/>
        <w:jc w:val="left"/>
        <w:tblInd w:w="0" w:type="dxa"/>
        <w:tblLayout w:type="fixed"/>
        <w:tblCellMar>
          <w:top w:w="28" w:type="dxa"/>
          <w:left w:w="28" w:type="dxa"/>
          <w:bottom w:w="28" w:type="dxa"/>
          <w:right w:w="28" w:type="dxa"/>
        </w:tblCellMar>
      </w:tblPr>
      <w:tblGrid>
        <w:gridCol w:w="2146"/>
        <w:gridCol w:w="146"/>
        <w:gridCol w:w="258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Large accelerated filer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Accelerated filer ☐</w:t>
            </w:r>
          </w:p>
        </w:tc>
      </w:tr>
      <w:tr>
        <w:trPr/>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Non-accelerated filer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Smaller reporting company ☐</w:t>
            </w:r>
          </w:p>
        </w:tc>
      </w:tr>
      <w:tr>
        <w:trPr/>
        <w:tc>
          <w:tcPr>
            <w:tcW w:w="2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Emerging growth company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number of the registrant’s ordinary shares, $0.01 par value, outstanding as of April 25, 2025 was 164,901,285 shares.</w:t>
      </w:r>
    </w:p>
    <w:p>
      <w:pPr>
        <w:pStyle w:val="TextBody"/>
        <w:bidi w:val="0"/>
        <w:jc w:val="left"/>
        <w:rPr/>
      </w:pPr>
      <w:r>
        <w:rPr/>
        <w:t> </w:t>
      </w:r>
    </w:p>
    <w:p>
      <w:pPr>
        <w:pStyle w:val="TextBody"/>
        <w:pBdr>
          <w:top w:val="single" w:sz="4" w:space="1" w:color="000000"/>
          <w:bottom w:val="single" w:sz="24" w:space="1" w:color="000000"/>
        </w:pBdr>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tableofcontents"/>
      <w:bookmarkEnd w:id="2"/>
      <w:r>
        <w:rPr>
          <w:rFonts w:ascii="Times New Roman" w:hAnsi="Times New Roman"/>
          <w:b/>
          <w:color w:val="000000"/>
          <w:sz w:val="20"/>
        </w:rPr>
        <w:t>ALKERMES PLC AND SUBSIDIARIES</w:t>
      </w:r>
      <w:bookmarkStart w:id="3" w:name="toc"/>
      <w:bookmarkEnd w:id="3"/>
    </w:p>
    <w:p>
      <w:pPr>
        <w:pStyle w:val="TextBody"/>
        <w:bidi w:val="0"/>
        <w:jc w:val="center"/>
        <w:rPr>
          <w:rFonts w:ascii="Times New Roman" w:hAnsi="Times New Roman"/>
          <w:b/>
          <w:color w:val="000000"/>
          <w:sz w:val="20"/>
        </w:rPr>
      </w:pPr>
      <w:r>
        <w:rPr>
          <w:rFonts w:ascii="Times New Roman" w:hAnsi="Times New Roman"/>
          <w:b/>
          <w:color w:val="000000"/>
          <w:sz w:val="20"/>
        </w:rPr>
        <w:t>QUARTERLY REPORT ON FORM 10-Q</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MARCH 31, 2025</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867"/>
        <w:gridCol w:w="8473"/>
        <w:gridCol w:w="865"/>
      </w:tblGrid>
      <w:tr>
        <w:trPr/>
        <w:tc>
          <w:tcPr>
            <w:tcW w:w="867" w:type="dxa"/>
            <w:tcBorders/>
            <w:vAlign w:val="center"/>
          </w:tcPr>
          <w:p>
            <w:pPr>
              <w:pStyle w:val="TableContents"/>
              <w:bidi w:val="0"/>
              <w:spacing w:before="0" w:after="283"/>
              <w:jc w:val="left"/>
              <w:rPr>
                <w:sz w:val="4"/>
                <w:szCs w:val="4"/>
              </w:rPr>
            </w:pPr>
            <w:r>
              <w:rPr>
                <w:sz w:val="4"/>
                <w:szCs w:val="4"/>
              </w:rPr>
            </w:r>
          </w:p>
        </w:tc>
        <w:tc>
          <w:tcPr>
            <w:tcW w:w="847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867" w:type="dxa"/>
            <w:tcBorders/>
            <w:tcMar>
              <w:top w:w="0" w:type="dxa"/>
              <w:left w:w="0" w:type="dxa"/>
              <w:bottom w:w="0" w:type="dxa"/>
              <w:right w:w="0" w:type="dxa"/>
            </w:tcMar>
            <w:vAlign w:val="center"/>
          </w:tcPr>
          <w:p>
            <w:pPr>
              <w:pStyle w:val="TableContents"/>
              <w:bidi w:val="0"/>
              <w:spacing w:before="0" w:after="283"/>
              <w:jc w:val="left"/>
              <w:rPr/>
            </w:pPr>
            <w:r>
              <w:rPr/>
              <w:t> </w:t>
            </w:r>
          </w:p>
        </w:tc>
        <w:tc>
          <w:tcPr>
            <w:tcW w:w="8473" w:type="dxa"/>
            <w:tcBorders/>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34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tcMar>
              <w:top w:w="0" w:type="dxa"/>
              <w:left w:w="0" w:type="dxa"/>
              <w:right w:w="0" w:type="dxa"/>
            </w:tcMar>
            <w:vAlign w:val="center"/>
          </w:tcPr>
          <w:p>
            <w:pPr>
              <w:pStyle w:val="TableContents"/>
              <w:bidi w:val="0"/>
              <w:spacing w:before="0" w:after="283"/>
              <w:ind w:left="0" w:right="0" w:firstLine="144"/>
              <w:jc w:val="center"/>
              <w:rPr>
                <w:rFonts w:ascii="Times New Roman" w:hAnsi="Times New Roman"/>
                <w:b/>
                <w:color w:val="000000"/>
                <w:sz w:val="16"/>
              </w:rPr>
            </w:pPr>
            <w:r>
              <w:rPr>
                <w:rFonts w:ascii="Times New Roman" w:hAnsi="Times New Roman"/>
                <w:b/>
                <w:color w:val="000000"/>
                <w:sz w:val="16"/>
              </w:rPr>
              <w:t>Page No.</w:t>
            </w:r>
          </w:p>
        </w:tc>
      </w:tr>
      <w:tr>
        <w:trPr/>
        <w:tc>
          <w:tcPr>
            <w:tcW w:w="9340" w:type="dxa"/>
            <w:gridSpan w:val="2"/>
            <w:tcBorders/>
            <w:shd w:fill="CCEEFF" w:val="clear"/>
            <w:tcMar>
              <w:top w:w="0" w:type="dxa"/>
              <w:left w:w="0" w:type="dxa"/>
              <w:bottom w:w="0" w:type="dxa"/>
              <w:right w:w="0" w:type="dxa"/>
            </w:tcMar>
            <w:vAlign w:val="center"/>
          </w:tcPr>
          <w:p>
            <w:pPr>
              <w:pStyle w:val="TableContents"/>
              <w:bidi w:val="0"/>
              <w:spacing w:before="0" w:after="283"/>
              <w:ind w:left="0" w:right="0" w:firstLine="144"/>
              <w:jc w:val="center"/>
              <w:rPr/>
            </w:pPr>
            <w:hyperlink w:anchor="part_i_financial_information">
              <w:r>
                <w:rPr>
                  <w:rStyle w:val="InternetLink"/>
                  <w:rFonts w:ascii="Times New Roman" w:hAnsi="Times New Roman"/>
                  <w:b/>
                  <w:i/>
                  <w:color w:val="0000FF"/>
                  <w:sz w:val="20"/>
                  <w:u w:val="single"/>
                </w:rPr>
                <w:t>PART I - FINANCIAL INFORMATION</w:t>
              </w:r>
            </w:hyperlink>
          </w:p>
        </w:tc>
        <w:tc>
          <w:tcPr>
            <w:tcW w:w="865" w:type="dxa"/>
            <w:tcBorders/>
            <w:shd w:fill="CCEEFF" w:val="clear"/>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867" w:type="dxa"/>
            <w:tcBorders/>
            <w:tcMar>
              <w:top w:w="0" w:type="dxa"/>
              <w:left w:w="0" w:type="dxa"/>
              <w:bottom w:w="0" w:type="dxa"/>
              <w:right w:w="0" w:type="dxa"/>
            </w:tcMar>
            <w:vAlign w:val="center"/>
          </w:tcPr>
          <w:p>
            <w:pPr>
              <w:pStyle w:val="TableContents"/>
              <w:bidi w:val="0"/>
              <w:spacing w:before="0" w:after="283"/>
              <w:ind w:left="0" w:right="0" w:firstLine="187"/>
              <w:jc w:val="left"/>
              <w:rPr>
                <w:rFonts w:ascii="Times New Roman" w:hAnsi="Times New Roman"/>
                <w:color w:val="000000"/>
                <w:sz w:val="20"/>
              </w:rPr>
            </w:pPr>
            <w:r>
              <w:rPr>
                <w:rFonts w:ascii="Times New Roman" w:hAnsi="Times New Roman"/>
                <w:color w:val="000000"/>
                <w:sz w:val="20"/>
              </w:rPr>
              <w:t xml:space="preserve">Item 1. </w:t>
            </w:r>
          </w:p>
        </w:tc>
        <w:tc>
          <w:tcPr>
            <w:tcW w:w="8473" w:type="dxa"/>
            <w:tcBorders/>
            <w:tcMar>
              <w:top w:w="0" w:type="dxa"/>
              <w:left w:w="0" w:type="dxa"/>
              <w:bottom w:w="0" w:type="dxa"/>
              <w:right w:w="0" w:type="dxa"/>
            </w:tcMar>
            <w:vAlign w:val="center"/>
          </w:tcPr>
          <w:p>
            <w:pPr>
              <w:pStyle w:val="TableContents"/>
              <w:bidi w:val="0"/>
              <w:spacing w:before="0" w:after="283"/>
              <w:ind w:left="0" w:right="0" w:firstLine="187"/>
              <w:jc w:val="left"/>
              <w:rPr/>
            </w:pPr>
            <w:hyperlink w:anchor="item_1_condensed_consolidated_financial_">
              <w:r>
                <w:rPr>
                  <w:rStyle w:val="InternetLink"/>
                  <w:rFonts w:ascii="Times New Roman" w:hAnsi="Times New Roman"/>
                  <w:color w:val="0000FF"/>
                  <w:sz w:val="20"/>
                  <w:u w:val="single"/>
                </w:rPr>
                <w:t>Condensed Consolidated Financial Statements (unaudited):</w:t>
              </w:r>
            </w:hyperlink>
          </w:p>
        </w:tc>
        <w:tc>
          <w:tcPr>
            <w:tcW w:w="86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67" w:type="dxa"/>
            <w:tcBorders/>
            <w:shd w:fill="CCEEFF" w:val="clear"/>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8473" w:type="dxa"/>
            <w:tcBorders/>
            <w:shd w:fill="CCEEFF" w:val="clear"/>
            <w:tcMar>
              <w:top w:w="0" w:type="dxa"/>
              <w:left w:w="0" w:type="dxa"/>
              <w:bottom w:w="0" w:type="dxa"/>
              <w:right w:w="0" w:type="dxa"/>
            </w:tcMar>
            <w:vAlign w:val="center"/>
          </w:tcPr>
          <w:p>
            <w:pPr>
              <w:pStyle w:val="TableContents"/>
              <w:bidi w:val="0"/>
              <w:spacing w:before="0" w:after="283"/>
              <w:ind w:left="0" w:right="0" w:firstLine="187"/>
              <w:jc w:val="left"/>
              <w:rPr/>
            </w:pPr>
            <w:hyperlink w:anchor="condensed_consolidated_balance_sheets">
              <w:r>
                <w:rPr>
                  <w:rStyle w:val="InternetLink"/>
                  <w:rFonts w:ascii="Times New Roman" w:hAnsi="Times New Roman"/>
                  <w:color w:val="0000FF"/>
                  <w:sz w:val="20"/>
                  <w:u w:val="single"/>
                </w:rPr>
                <w:t>Condensed Consolidated Balance Sheets — March 31, 2025 and December 31, 2024</w:t>
              </w:r>
            </w:hyperlink>
          </w:p>
        </w:tc>
        <w:tc>
          <w:tcPr>
            <w:tcW w:w="8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67" w:type="dxa"/>
            <w:tcBorders/>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8473" w:type="dxa"/>
            <w:tcBorders/>
            <w:tcMar>
              <w:top w:w="0" w:type="dxa"/>
              <w:left w:w="0" w:type="dxa"/>
              <w:bottom w:w="0" w:type="dxa"/>
              <w:right w:w="0" w:type="dxa"/>
            </w:tcMar>
            <w:vAlign w:val="center"/>
          </w:tcPr>
          <w:p>
            <w:pPr>
              <w:pStyle w:val="TableContents"/>
              <w:bidi w:val="0"/>
              <w:spacing w:before="0" w:after="283"/>
              <w:ind w:left="0" w:right="0" w:firstLine="187"/>
              <w:jc w:val="left"/>
              <w:rPr/>
            </w:pPr>
            <w:hyperlink w:anchor="condensed_consolidated_statements_operat">
              <w:r>
                <w:rPr>
                  <w:rStyle w:val="InternetLink"/>
                  <w:rFonts w:ascii="Times New Roman" w:hAnsi="Times New Roman"/>
                  <w:color w:val="0000FF"/>
                  <w:sz w:val="20"/>
                  <w:u w:val="single"/>
                </w:rPr>
                <w:t>Condensed Consolidated Statements of Operations and Comprehensive Income — For the Three Months Ended March 31, 2025 and 2024</w:t>
              </w:r>
            </w:hyperlink>
          </w:p>
        </w:tc>
        <w:tc>
          <w:tcPr>
            <w:tcW w:w="8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67" w:type="dxa"/>
            <w:tcBorders/>
            <w:shd w:fill="CCEEFF" w:val="clear"/>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8473" w:type="dxa"/>
            <w:tcBorders/>
            <w:shd w:fill="CCEEFF" w:val="clear"/>
            <w:tcMar>
              <w:top w:w="0" w:type="dxa"/>
              <w:left w:w="0" w:type="dxa"/>
              <w:bottom w:w="0" w:type="dxa"/>
              <w:right w:w="0" w:type="dxa"/>
            </w:tcMar>
            <w:vAlign w:val="center"/>
          </w:tcPr>
          <w:p>
            <w:pPr>
              <w:pStyle w:val="TableContents"/>
              <w:bidi w:val="0"/>
              <w:spacing w:before="0" w:after="283"/>
              <w:ind w:left="0" w:right="0" w:firstLine="187"/>
              <w:jc w:val="left"/>
              <w:rPr/>
            </w:pPr>
            <w:hyperlink w:anchor="condensed_consolidated_statements_cash_f">
              <w:r>
                <w:rPr>
                  <w:rStyle w:val="InternetLink"/>
                  <w:rFonts w:ascii="Times New Roman" w:hAnsi="Times New Roman"/>
                  <w:color w:val="0000FF"/>
                  <w:sz w:val="20"/>
                  <w:u w:val="single"/>
                </w:rPr>
                <w:t>Condensed Consolidated Statements of Cash Flows — For the Three Months Ended March 31, 2025 and 2024</w:t>
              </w:r>
            </w:hyperlink>
          </w:p>
        </w:tc>
        <w:tc>
          <w:tcPr>
            <w:tcW w:w="8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67" w:type="dxa"/>
            <w:tcBorders/>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8473" w:type="dxa"/>
            <w:tcBorders/>
            <w:tcMar>
              <w:top w:w="0" w:type="dxa"/>
              <w:left w:w="0" w:type="dxa"/>
              <w:bottom w:w="0" w:type="dxa"/>
              <w:right w:w="0" w:type="dxa"/>
            </w:tcMar>
            <w:vAlign w:val="center"/>
          </w:tcPr>
          <w:p>
            <w:pPr>
              <w:pStyle w:val="TableContents"/>
              <w:bidi w:val="0"/>
              <w:spacing w:before="0" w:after="283"/>
              <w:ind w:left="0" w:right="0" w:firstLine="187"/>
              <w:jc w:val="left"/>
              <w:rPr/>
            </w:pPr>
            <w:hyperlink w:anchor="consolidated_statements_shareholders_equ">
              <w:r>
                <w:rPr>
                  <w:rStyle w:val="InternetLink"/>
                  <w:rFonts w:ascii="Times New Roman" w:hAnsi="Times New Roman"/>
                  <w:color w:val="0000FF"/>
                  <w:sz w:val="20"/>
                  <w:u w:val="single"/>
                </w:rPr>
                <w:t>Condensed Consolidated Statements of Shareholders’ Equity — For the Three Months Ended March 31, 2025 and 2024</w:t>
              </w:r>
            </w:hyperlink>
          </w:p>
        </w:tc>
        <w:tc>
          <w:tcPr>
            <w:tcW w:w="8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67" w:type="dxa"/>
            <w:tcBorders/>
            <w:shd w:fill="CCEEFF" w:val="clear"/>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8473" w:type="dxa"/>
            <w:tcBorders/>
            <w:shd w:fill="CCEEFF" w:val="clear"/>
            <w:tcMar>
              <w:top w:w="0" w:type="dxa"/>
              <w:left w:w="0" w:type="dxa"/>
              <w:bottom w:w="0" w:type="dxa"/>
              <w:right w:w="0" w:type="dxa"/>
            </w:tcMar>
            <w:vAlign w:val="center"/>
          </w:tcPr>
          <w:p>
            <w:pPr>
              <w:pStyle w:val="TableContents"/>
              <w:bidi w:val="0"/>
              <w:spacing w:before="0" w:after="283"/>
              <w:ind w:left="0" w:right="0" w:firstLine="187"/>
              <w:jc w:val="left"/>
              <w:rPr/>
            </w:pPr>
            <w:hyperlink w:anchor="notes_to_financial_statements">
              <w:r>
                <w:rPr>
                  <w:rStyle w:val="InternetLink"/>
                  <w:rFonts w:ascii="Times New Roman" w:hAnsi="Times New Roman"/>
                  <w:color w:val="0000FF"/>
                  <w:sz w:val="20"/>
                  <w:u w:val="single"/>
                </w:rPr>
                <w:t>Notes to Condensed Consolidated Financial Statements</w:t>
              </w:r>
            </w:hyperlink>
          </w:p>
        </w:tc>
        <w:tc>
          <w:tcPr>
            <w:tcW w:w="865" w:type="dxa"/>
            <w:tcBorders/>
            <w:shd w:fill="CCEEFF" w:val="clear"/>
            <w:tcMar>
              <w:top w:w="0" w:type="dxa"/>
              <w:left w:w="0" w:type="dxa"/>
              <w:bottom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9</w:t>
            </w:r>
          </w:p>
        </w:tc>
      </w:tr>
      <w:tr>
        <w:trPr/>
        <w:tc>
          <w:tcPr>
            <w:tcW w:w="867" w:type="dxa"/>
            <w:tcBorders/>
            <w:tcMar>
              <w:top w:w="0" w:type="dxa"/>
              <w:left w:w="0" w:type="dxa"/>
              <w:bottom w:w="0" w:type="dxa"/>
              <w:right w:w="0" w:type="dxa"/>
            </w:tcMar>
            <w:vAlign w:val="center"/>
          </w:tcPr>
          <w:p>
            <w:pPr>
              <w:pStyle w:val="TableContents"/>
              <w:bidi w:val="0"/>
              <w:spacing w:before="0" w:after="283"/>
              <w:ind w:left="0" w:right="0" w:firstLine="187"/>
              <w:jc w:val="left"/>
              <w:rPr>
                <w:rFonts w:ascii="Times New Roman" w:hAnsi="Times New Roman"/>
                <w:color w:val="000000"/>
                <w:sz w:val="20"/>
              </w:rPr>
            </w:pPr>
            <w:r>
              <w:rPr>
                <w:rFonts w:ascii="Times New Roman" w:hAnsi="Times New Roman"/>
                <w:color w:val="000000"/>
                <w:sz w:val="20"/>
              </w:rPr>
              <w:t>Item 2.</w:t>
            </w:r>
          </w:p>
        </w:tc>
        <w:tc>
          <w:tcPr>
            <w:tcW w:w="8473" w:type="dxa"/>
            <w:tcBorders/>
            <w:tcMar>
              <w:top w:w="0" w:type="dxa"/>
              <w:left w:w="0" w:type="dxa"/>
              <w:bottom w:w="0" w:type="dxa"/>
              <w:right w:w="0" w:type="dxa"/>
            </w:tcMar>
            <w:vAlign w:val="center"/>
          </w:tcPr>
          <w:p>
            <w:pPr>
              <w:pStyle w:val="TableContents"/>
              <w:bidi w:val="0"/>
              <w:spacing w:before="0" w:after="283"/>
              <w:ind w:left="0" w:right="0" w:firstLine="187"/>
              <w:jc w:val="left"/>
              <w:rPr/>
            </w:pPr>
            <w:hyperlink w:anchor="item2_managementsdiscussionandana_02424">
              <w:r>
                <w:rPr>
                  <w:rStyle w:val="InternetLink"/>
                  <w:rFonts w:ascii="Times New Roman" w:hAnsi="Times New Roman"/>
                  <w:color w:val="0000FF"/>
                  <w:sz w:val="20"/>
                  <w:u w:val="single"/>
                </w:rPr>
                <w:t>Management’s Discussion and Analysis of Financial Condition and Results of Operations</w:t>
              </w:r>
            </w:hyperlink>
          </w:p>
        </w:tc>
        <w:tc>
          <w:tcPr>
            <w:tcW w:w="865" w:type="dxa"/>
            <w:tcBorders/>
            <w:tcMar>
              <w:top w:w="0" w:type="dxa"/>
              <w:left w:w="0" w:type="dxa"/>
              <w:bottom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22</w:t>
            </w:r>
          </w:p>
        </w:tc>
      </w:tr>
      <w:tr>
        <w:trPr/>
        <w:tc>
          <w:tcPr>
            <w:tcW w:w="867" w:type="dxa"/>
            <w:tcBorders/>
            <w:shd w:fill="CCEEFF" w:val="clear"/>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Item 3.</w:t>
            </w:r>
          </w:p>
        </w:tc>
        <w:tc>
          <w:tcPr>
            <w:tcW w:w="8473"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865" w:type="dxa"/>
            <w:tcBorders/>
            <w:shd w:fill="CCEEFF" w:val="clear"/>
            <w:tcMar>
              <w:top w:w="0" w:type="dxa"/>
              <w:left w:w="0" w:type="dxa"/>
              <w:bottom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32</w:t>
            </w:r>
          </w:p>
        </w:tc>
      </w:tr>
      <w:tr>
        <w:trPr/>
        <w:tc>
          <w:tcPr>
            <w:tcW w:w="867"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Item 4.</w:t>
            </w:r>
          </w:p>
        </w:tc>
        <w:tc>
          <w:tcPr>
            <w:tcW w:w="8473"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8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9340"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CEEFF" w:val="clear"/>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9340" w:type="dxa"/>
            <w:gridSpan w:val="2"/>
            <w:tcBorders/>
            <w:tcMar>
              <w:top w:w="0" w:type="dxa"/>
              <w:left w:w="0" w:type="dxa"/>
              <w:bottom w:w="0" w:type="dxa"/>
              <w:right w:w="0" w:type="dxa"/>
            </w:tcMar>
            <w:vAlign w:val="center"/>
          </w:tcPr>
          <w:p>
            <w:pPr>
              <w:pStyle w:val="TableContents"/>
              <w:bidi w:val="0"/>
              <w:spacing w:before="0" w:after="283"/>
              <w:ind w:left="0" w:right="0" w:firstLine="144"/>
              <w:jc w:val="center"/>
              <w:rPr/>
            </w:pPr>
            <w:hyperlink w:anchor="part_ii_or_information">
              <w:r>
                <w:rPr>
                  <w:rStyle w:val="InternetLink"/>
                  <w:rFonts w:ascii="Times New Roman" w:hAnsi="Times New Roman"/>
                  <w:b/>
                  <w:i/>
                  <w:color w:val="0000FF"/>
                  <w:sz w:val="20"/>
                  <w:u w:val="single"/>
                </w:rPr>
                <w:t>PART II - OTHER INFORMATION</w:t>
              </w:r>
            </w:hyperlink>
          </w:p>
        </w:tc>
        <w:tc>
          <w:tcPr>
            <w:tcW w:w="865" w:type="dxa"/>
            <w:tcBorders/>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867" w:type="dxa"/>
            <w:tcBorders/>
            <w:shd w:fill="CCEEFF" w:val="clear"/>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Item 1.</w:t>
            </w:r>
          </w:p>
        </w:tc>
        <w:tc>
          <w:tcPr>
            <w:tcW w:w="8473"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865" w:type="dxa"/>
            <w:tcBorders/>
            <w:shd w:fill="CCEEFF" w:val="clear"/>
            <w:tcMar>
              <w:top w:w="0" w:type="dxa"/>
              <w:left w:w="0" w:type="dxa"/>
              <w:bottom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34</w:t>
            </w:r>
          </w:p>
        </w:tc>
      </w:tr>
      <w:tr>
        <w:trPr/>
        <w:tc>
          <w:tcPr>
            <w:tcW w:w="867"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Item 1A.</w:t>
            </w:r>
          </w:p>
        </w:tc>
        <w:tc>
          <w:tcPr>
            <w:tcW w:w="8473"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865" w:type="dxa"/>
            <w:tcBorders/>
            <w:tcMar>
              <w:top w:w="0" w:type="dxa"/>
              <w:left w:w="0" w:type="dxa"/>
              <w:bottom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34</w:t>
            </w:r>
          </w:p>
        </w:tc>
      </w:tr>
      <w:tr>
        <w:trPr/>
        <w:tc>
          <w:tcPr>
            <w:tcW w:w="867" w:type="dxa"/>
            <w:tcBorders/>
            <w:shd w:fill="CCEEFF" w:val="clear"/>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Item 2.</w:t>
            </w:r>
          </w:p>
        </w:tc>
        <w:tc>
          <w:tcPr>
            <w:tcW w:w="8473"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865" w:type="dxa"/>
            <w:tcBorders/>
            <w:shd w:fill="CCEEFF" w:val="clear"/>
            <w:tcMar>
              <w:top w:w="0" w:type="dxa"/>
              <w:left w:w="0" w:type="dxa"/>
              <w:bottom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35</w:t>
            </w:r>
          </w:p>
        </w:tc>
      </w:tr>
      <w:tr>
        <w:trPr/>
        <w:tc>
          <w:tcPr>
            <w:tcW w:w="867"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Item 5.</w:t>
            </w:r>
          </w:p>
        </w:tc>
        <w:tc>
          <w:tcPr>
            <w:tcW w:w="8473" w:type="dxa"/>
            <w:tcBorders/>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865" w:type="dxa"/>
            <w:tcBorders/>
            <w:tcMar>
              <w:top w:w="0" w:type="dxa"/>
              <w:left w:w="0" w:type="dxa"/>
              <w:bottom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35</w:t>
            </w:r>
          </w:p>
        </w:tc>
      </w:tr>
      <w:tr>
        <w:trPr/>
        <w:tc>
          <w:tcPr>
            <w:tcW w:w="867" w:type="dxa"/>
            <w:tcBorders/>
            <w:shd w:fill="CCEEFF" w:val="clear"/>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Item 6.</w:t>
            </w:r>
          </w:p>
        </w:tc>
        <w:tc>
          <w:tcPr>
            <w:tcW w:w="8473"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865" w:type="dxa"/>
            <w:tcBorders/>
            <w:shd w:fill="CCEEFF" w:val="clear"/>
            <w:tcMar>
              <w:top w:w="0" w:type="dxa"/>
              <w:left w:w="0" w:type="dxa"/>
              <w:bottom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36</w:t>
            </w:r>
          </w:p>
        </w:tc>
      </w:tr>
      <w:tr>
        <w:trPr/>
        <w:tc>
          <w:tcPr>
            <w:tcW w:w="9340" w:type="dxa"/>
            <w:gridSpan w:val="2"/>
            <w:tcBorders/>
            <w:tcMar>
              <w:top w:w="0" w:type="dxa"/>
              <w:left w:w="0" w:type="dxa"/>
              <w:bottom w:w="0" w:type="dxa"/>
              <w:right w:w="0" w:type="dxa"/>
            </w:tcMar>
            <w:vAlign w:val="center"/>
          </w:tcPr>
          <w:p>
            <w:pPr>
              <w:pStyle w:val="TableContents"/>
              <w:bidi w:val="0"/>
              <w:spacing w:before="0" w:after="283"/>
              <w:ind w:left="0" w:right="0" w:firstLine="144"/>
              <w:jc w:val="left"/>
              <w:rPr/>
            </w:pPr>
            <w:hyperlink w:anchor="signatures">
              <w:r>
                <w:rPr>
                  <w:rStyle w:val="InternetLink"/>
                  <w:rFonts w:ascii="Times New Roman" w:hAnsi="Times New Roman"/>
                  <w:color w:val="0000FF"/>
                  <w:sz w:val="20"/>
                  <w:u w:val="single"/>
                </w:rPr>
                <w:t>Signatures</w:t>
              </w:r>
            </w:hyperlink>
          </w:p>
        </w:tc>
        <w:tc>
          <w:tcPr>
            <w:tcW w:w="8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Cautionary Note Concerning Forward-Looking Statements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This document contains and incorporates by reference “forward-looking statements” within the meaning of Section 27A of the Securities Act of 1933, as amended (the “Securities Act”), and Section 21E of the Securities Exchange Act of 1934, as amended (the “Exchange Act”). In some cases, these statements can be identified by the use of forward-looking terminology such as “may,” “will,” “could,” “should,” “would,” “expect,” “anticipate,” “continue,” “believe,” “plan,” “estimate,” “intend,” or other similar words. These statements discuss future expectations and contain projections of results of operations or of financial condition, or state trends and known uncertainties or other forward-looking information. Forward-looking statements in this Quarterly Report on Form 10-Q (this “Form 10-Q”) may include, without limitation, statements regarding: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our financial performance, including revenues, expenses, liquidity, capital expenditures, income taxes and profitability;</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our expectations regarding our products, including expectations related to product development, regulatory filings, approvals and timelines; therapeutic and commercial value, scope and potential; and the costs and expenses related to such activities and expectations;</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our expectations regarding the initiation, timing and results of clinical trials of our products; </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our expectations regarding the competitive, payer, legislative, regulatory and policy landscape, and changes therein, related to our products, including competition from generic forms of our products or competitive products and development programs; barriers to access or coverage of our products and potential changes in reimbursement of our products; and legislation, regulations, executive orders, guidance or other measures that may impact pricing and reimbursement of, and access to, our products;</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our expectations regarding the financial impact of currency exchange rate fluctuations and valuations;</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our expectations regarding acquisitions, collaborations, licensing arrangements and other significant agreements with third parties, including those related to our products, development programs, and other business development opportunities; </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our expectations regarding the impacts of new legislation, rules and regulations, the adoption of new accounting pronouncements, potential government shutdowns, or other global, political or economic changes, instability or disruptions;</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our expectations regarding near-term changes in the nature of our market risk exposures or in our management’s objectives and strategies with respect to managing such exposures;</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our expectations regarding future capital requirements and expenditures for our operations and our ability to finance such capital requirements and expenditures;</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our expectations regarding the timing, outcome and impact of administrative, regulatory, legal and other proceedings related to our products and intellectual property (“IP”), including our patents, know-how, and related rights or obligations; </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our expectations regarding the tax treatment and other anticipated benefits of the completed separation of our oncology business;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expectations discussed elsewhere in this Form 10-Q.</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Actual results might differ materially from those expressed or implied by these forward-looking statements because these forward-looking statements are subject to risks, assumptions and uncertainties. In light of these risks, assumptions and uncertainties, the forward-looking expectations discussed in this Form 10-Q might not occur. You are cautioned not to place undue reliance on the forward-looking statements in this Form 10-Q, which speak only as of the date of this Form 10-Q. All subsequent written and oral forward-looking statements concerning the matters addressed in this Form 10-Q and attributable to us or any person acting on our behalf are expressly qualified in their entirety by the cautionary statements contained or referred to in this section. Except as required by applicable law or regulation, we do not undertake any obligation to update publicly or revise any forward-looking statements, whether as a result of new information, future events or otherwise. For information about the risks, assumptions and uncertainties of our business, see “Part I, Item 1A—Risk Factors” in our Annual Report on Form 10-K for the year ended December 31, 2024, filed with the United States (“U.S.”) Securities and Exchange Commission (the “SEC”) on February 12, 2025 (our “Annual Report”) and “Part II, Item 1A—Risk Factors” in this Form 10-Q.</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This Form 10-Q may include data that we obtained from industry publications and third-party research, surveys and studies. Industry publications and third-party research, surveys and studies generally indicate that their information has been obtained from sources believed to be reliable, although they do not guarantee the accuracy or completeness of such information. While we believe that any industry publications and third-party research, surveys and studies from which data is included in this Form 10-Q are reliable, we have not independently verified any such data. This Form 10-Q may also include data based on our own internal estimates and research. Our internal estimates and research have not been verified by any independent source and are necessarily subject to a high degree of uncertainty and risk due to a variety of factors, including those described in “Part I, Item 1A—Risk Factors” in our Annual Report and “Part II, Item 1A—Risk Factors” in this Form 10-Q. These and other factors could cause our results to differ materially from those expressed or implied in this Form 10-Q.</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Regarding Company and Product References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Alkermes plc is a global biopharmaceutical company that seeks to develop innovative medicines in the field of neuroscience. We have a portfolio of proprietary commercial products for the treatment of alcohol dependence, opioid dependence, schizophrenia and bipolar I disorder, and a pipeline of clinical and preclinical candidates in development for neurological disorders, including narcolepsy and idiopathic hypersomnia. Use of terms such as “us,” “we,” “our,” “Alkermes” or the “Company” in this Form 10-Q is meant to refer to Alkermes plc and its consolidated subsidiaries. Except as otherwise suggested by the context, (a) references to “products” or “our products” in this Form 10-Q include our marketed products, marketed products using our proprietary technologies, our licensed products, our product candidates and product candidates using our proprietary technologies, (b) references to the “biopharmaceutical industry” in this Form 10-Q are intended to include reference to the “biotechnology industry” and/or the “pharmaceutical industry” and (c) references to “licensees” in this Form 10-Q are used interchangeably with references to “partners.”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Regarding Trademarks</w:t>
      </w:r>
    </w:p>
    <w:p>
      <w:pPr>
        <w:pStyle w:val="TextBody"/>
        <w:bidi w:val="0"/>
        <w:spacing w:before="120" w:after="283"/>
        <w:jc w:val="left"/>
        <w:rPr>
          <w:rFonts w:ascii="Times New Roman" w:hAnsi="Times New Roman"/>
          <w:sz w:val="20"/>
        </w:rPr>
      </w:pPr>
      <w:r>
        <w:rPr>
          <w:rFonts w:ascii="Times New Roman" w:hAnsi="Times New Roman"/>
          <w:color w:val="000000"/>
          <w:sz w:val="20"/>
        </w:rPr>
        <w:t>We are the owner of various U.S. federal trademark registrations (“</w:t>
      </w:r>
      <w:r>
        <w:rPr>
          <w:rFonts w:ascii="Times New Roman" w:hAnsi="Times New Roman"/>
          <w:color w:val="000000"/>
          <w:sz w:val="13"/>
        </w:rPr>
        <w:t>®</w:t>
      </w:r>
      <w:r>
        <w:rPr>
          <w:rFonts w:ascii="Times New Roman" w:hAnsi="Times New Roman"/>
          <w:color w:val="000000"/>
          <w:sz w:val="20"/>
        </w:rPr>
        <w:t>”) and other trademarks (“</w:t>
      </w:r>
      <w:r>
        <w:rPr>
          <w:rFonts w:ascii="Times New Roman" w:hAnsi="Times New Roman"/>
          <w:color w:val="000000"/>
          <w:sz w:val="13"/>
        </w:rPr>
        <w:t>TM</w:t>
      </w:r>
      <w:r>
        <w:rPr>
          <w:rFonts w:ascii="Times New Roman" w:hAnsi="Times New Roman"/>
          <w:color w:val="000000"/>
          <w:sz w:val="20"/>
        </w:rPr>
        <w:t>”), including ALKERMES</w:t>
      </w:r>
      <w:r>
        <w:rPr>
          <w:rFonts w:ascii="Times New Roman" w:hAnsi="Times New Roman"/>
          <w:color w:val="000000"/>
          <w:sz w:val="13"/>
        </w:rPr>
        <w:t>®</w:t>
      </w:r>
      <w:r>
        <w:rPr>
          <w:rFonts w:ascii="Times New Roman" w:hAnsi="Times New Roman"/>
          <w:color w:val="000000"/>
          <w:sz w:val="20"/>
        </w:rPr>
        <w:t>, ARISTADA</w:t>
      </w:r>
      <w:r>
        <w:rPr>
          <w:rFonts w:ascii="Times New Roman" w:hAnsi="Times New Roman"/>
          <w:color w:val="000000"/>
          <w:sz w:val="13"/>
        </w:rPr>
        <w:t>®</w:t>
      </w:r>
      <w:r>
        <w:rPr>
          <w:rFonts w:ascii="Times New Roman" w:hAnsi="Times New Roman"/>
          <w:color w:val="000000"/>
          <w:sz w:val="20"/>
        </w:rPr>
        <w:t>, ARISTADA INITIO</w:t>
      </w:r>
      <w:r>
        <w:rPr>
          <w:rFonts w:ascii="Times New Roman" w:hAnsi="Times New Roman"/>
          <w:color w:val="000000"/>
          <w:sz w:val="13"/>
        </w:rPr>
        <w:t>®</w:t>
      </w:r>
      <w:r>
        <w:rPr>
          <w:rFonts w:ascii="Times New Roman" w:hAnsi="Times New Roman"/>
          <w:color w:val="000000"/>
          <w:sz w:val="20"/>
        </w:rPr>
        <w:t>, LinkeRx</w:t>
      </w:r>
      <w:r>
        <w:rPr>
          <w:rFonts w:ascii="Times New Roman" w:hAnsi="Times New Roman"/>
          <w:color w:val="000000"/>
          <w:sz w:val="13"/>
        </w:rPr>
        <w:t>®</w:t>
      </w:r>
      <w:r>
        <w:rPr>
          <w:rFonts w:ascii="Times New Roman" w:hAnsi="Times New Roman"/>
          <w:color w:val="000000"/>
          <w:sz w:val="20"/>
        </w:rPr>
        <w:t>, LYBALVI</w:t>
      </w:r>
      <w:r>
        <w:rPr>
          <w:rFonts w:ascii="Times New Roman" w:hAnsi="Times New Roman"/>
          <w:color w:val="000000"/>
          <w:sz w:val="13"/>
        </w:rPr>
        <w:t>®</w:t>
      </w:r>
      <w:r>
        <w:rPr>
          <w:rFonts w:ascii="Times New Roman" w:hAnsi="Times New Roman"/>
          <w:color w:val="000000"/>
          <w:sz w:val="20"/>
        </w:rPr>
        <w:t>, NanoCrystal</w:t>
      </w:r>
      <w:r>
        <w:rPr>
          <w:rFonts w:ascii="Times New Roman" w:hAnsi="Times New Roman"/>
          <w:color w:val="000000"/>
          <w:sz w:val="13"/>
        </w:rPr>
        <w:t>®</w:t>
      </w:r>
      <w:r>
        <w:rPr>
          <w:rFonts w:ascii="Times New Roman" w:hAnsi="Times New Roman"/>
          <w:color w:val="000000"/>
          <w:sz w:val="20"/>
        </w:rPr>
        <w:t xml:space="preserve"> and VIVITROL</w:t>
      </w:r>
      <w:r>
        <w:rPr>
          <w:rFonts w:ascii="Times New Roman" w:hAnsi="Times New Roman"/>
          <w:color w:val="000000"/>
          <w:sz w:val="13"/>
        </w:rPr>
        <w: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The following are trademarks of the respective companies listed: BYANNLI</w:t>
      </w:r>
      <w:r>
        <w:rPr>
          <w:rFonts w:ascii="Times New Roman" w:hAnsi="Times New Roman"/>
          <w:color w:val="000000"/>
          <w:sz w:val="13"/>
        </w:rPr>
        <w:t>®</w:t>
      </w:r>
      <w:r>
        <w:rPr>
          <w:rFonts w:ascii="Times New Roman" w:hAnsi="Times New Roman"/>
          <w:color w:val="000000"/>
          <w:sz w:val="20"/>
        </w:rPr>
        <w:t>, INVEGA</w:t>
      </w:r>
      <w:r>
        <w:rPr>
          <w:rFonts w:ascii="Times New Roman" w:hAnsi="Times New Roman"/>
          <w:color w:val="000000"/>
          <w:sz w:val="13"/>
        </w:rPr>
        <w:t>®</w:t>
      </w:r>
      <w:r>
        <w:rPr>
          <w:rFonts w:ascii="Times New Roman" w:hAnsi="Times New Roman"/>
          <w:color w:val="000000"/>
          <w:sz w:val="20"/>
        </w:rPr>
        <w:t>, INVEGA HAFYERA</w:t>
      </w:r>
      <w:r>
        <w:rPr>
          <w:rFonts w:ascii="Times New Roman" w:hAnsi="Times New Roman"/>
          <w:color w:val="000000"/>
          <w:sz w:val="13"/>
        </w:rPr>
        <w:t>®</w:t>
      </w:r>
      <w:r>
        <w:rPr>
          <w:rFonts w:ascii="Times New Roman" w:hAnsi="Times New Roman"/>
          <w:color w:val="000000"/>
          <w:sz w:val="20"/>
        </w:rPr>
        <w:t>, INVEGA SUSTENNA</w:t>
      </w:r>
      <w:r>
        <w:rPr>
          <w:rFonts w:ascii="Times New Roman" w:hAnsi="Times New Roman"/>
          <w:color w:val="000000"/>
          <w:sz w:val="13"/>
        </w:rPr>
        <w:t>®</w:t>
      </w:r>
      <w:r>
        <w:rPr>
          <w:rFonts w:ascii="Times New Roman" w:hAnsi="Times New Roman"/>
          <w:color w:val="000000"/>
          <w:sz w:val="20"/>
        </w:rPr>
        <w:t>, INVEGA TRINZA</w:t>
      </w:r>
      <w:r>
        <w:rPr>
          <w:rFonts w:ascii="Times New Roman" w:hAnsi="Times New Roman"/>
          <w:color w:val="000000"/>
          <w:sz w:val="13"/>
        </w:rPr>
        <w:t>®</w:t>
      </w:r>
      <w:r>
        <w:rPr>
          <w:rFonts w:ascii="Times New Roman" w:hAnsi="Times New Roman"/>
          <w:color w:val="000000"/>
          <w:sz w:val="20"/>
        </w:rPr>
        <w:t>, RISPERDAL CONSTA</w:t>
      </w:r>
      <w:r>
        <w:rPr>
          <w:rFonts w:ascii="Times New Roman" w:hAnsi="Times New Roman"/>
          <w:color w:val="000000"/>
          <w:sz w:val="13"/>
        </w:rPr>
        <w:t>®</w:t>
      </w:r>
      <w:r>
        <w:rPr>
          <w:rFonts w:ascii="Times New Roman" w:hAnsi="Times New Roman"/>
          <w:color w:val="000000"/>
          <w:sz w:val="20"/>
        </w:rPr>
        <w:t>, TREVICTA</w:t>
      </w:r>
      <w:r>
        <w:rPr>
          <w:rFonts w:ascii="Times New Roman" w:hAnsi="Times New Roman"/>
          <w:color w:val="000000"/>
          <w:sz w:val="13"/>
        </w:rPr>
        <w:t>®</w:t>
      </w:r>
      <w:r>
        <w:rPr>
          <w:rFonts w:ascii="Times New Roman" w:hAnsi="Times New Roman"/>
          <w:color w:val="000000"/>
          <w:sz w:val="20"/>
        </w:rPr>
        <w:t>, and XEPLION</w:t>
      </w:r>
      <w:r>
        <w:rPr>
          <w:rFonts w:ascii="Times New Roman" w:hAnsi="Times New Roman"/>
          <w:color w:val="000000"/>
          <w:sz w:val="13"/>
        </w:rPr>
        <w:t>®</w:t>
      </w:r>
      <w:r>
        <w:rPr>
          <w:rFonts w:ascii="Times New Roman" w:hAnsi="Times New Roman"/>
          <w:color w:val="000000"/>
          <w:sz w:val="20"/>
        </w:rPr>
        <w:t>—Johnson &amp; Johnson or its affiliated companies; FAMPYRA</w:t>
      </w:r>
      <w:r>
        <w:rPr>
          <w:rFonts w:ascii="Times New Roman" w:hAnsi="Times New Roman"/>
          <w:color w:val="000000"/>
          <w:sz w:val="13"/>
        </w:rPr>
        <w:t>TM</w:t>
      </w:r>
      <w:r>
        <w:rPr>
          <w:rFonts w:ascii="Times New Roman" w:hAnsi="Times New Roman"/>
          <w:color w:val="000000"/>
          <w:sz w:val="20"/>
        </w:rPr>
        <w:t>—Merz Pharmaceuticals, LLC; and VUMERITY</w:t>
      </w:r>
      <w:r>
        <w:rPr>
          <w:rFonts w:ascii="Times New Roman" w:hAnsi="Times New Roman"/>
          <w:color w:val="000000"/>
          <w:sz w:val="13"/>
        </w:rPr>
        <w:t>®</w:t>
      </w:r>
      <w:r>
        <w:rPr>
          <w:rFonts w:ascii="Times New Roman" w:hAnsi="Times New Roman"/>
          <w:color w:val="000000"/>
          <w:sz w:val="20"/>
        </w:rPr>
        <w:t xml:space="preserve">—Biogen MA Inc. (together with its affiliates, “Biogen”). Other trademarks, trade names and service marks appearing in this Form 10-Q are the property of their respective owners. Solely for convenience, the trademarks and trade names in this Form 10-Q may be referred to without the </w:t>
      </w:r>
      <w:r>
        <w:rPr>
          <w:rFonts w:ascii="Times New Roman" w:hAnsi="Times New Roman"/>
          <w:color w:val="000000"/>
          <w:sz w:val="13"/>
        </w:rPr>
        <w:t>®</w:t>
      </w:r>
      <w:r>
        <w:rPr>
          <w:rFonts w:ascii="Times New Roman" w:hAnsi="Times New Roman"/>
          <w:color w:val="000000"/>
          <w:sz w:val="20"/>
        </w:rPr>
        <w:t xml:space="preserve"> or </w:t>
      </w:r>
      <w:r>
        <w:rPr>
          <w:rFonts w:ascii="Times New Roman" w:hAnsi="Times New Roman"/>
          <w:color w:val="000000"/>
          <w:sz w:val="13"/>
        </w:rPr>
        <w:t>TM</w:t>
      </w:r>
      <w:r>
        <w:rPr>
          <w:rFonts w:ascii="Times New Roman" w:hAnsi="Times New Roman"/>
          <w:color w:val="000000"/>
          <w:sz w:val="20"/>
        </w:rPr>
        <w:t xml:space="preserve"> symbol, but such references should not be construed as any indicator that their respective owners will not assert, to the fullest extent under applicable law, their rights thereto.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4" w:name="part_i_financial_information"/>
      <w:bookmarkEnd w:id="4"/>
      <w:r>
        <w:rPr>
          <w:rFonts w:ascii="Times New Roman" w:hAnsi="Times New Roman"/>
          <w:b/>
          <w:color w:val="000000"/>
          <w:sz w:val="20"/>
        </w:rPr>
        <w:t>PART I. FINANCIAL INFORMATION</w:t>
      </w:r>
    </w:p>
    <w:p>
      <w:pPr>
        <w:pStyle w:val="TextBody"/>
        <w:bidi w:val="0"/>
        <w:jc w:val="left"/>
        <w:rPr>
          <w:rFonts w:ascii="Times New Roman" w:hAnsi="Times New Roman"/>
          <w:b/>
          <w:color w:val="000000"/>
          <w:sz w:val="20"/>
        </w:rPr>
      </w:pPr>
      <w:bookmarkStart w:id="5" w:name="item_1_condensed_consolidated_financial_"/>
      <w:bookmarkEnd w:id="5"/>
      <w:r>
        <w:rPr>
          <w:rFonts w:ascii="Times New Roman" w:hAnsi="Times New Roman"/>
          <w:b/>
          <w:color w:val="000000"/>
          <w:sz w:val="20"/>
        </w:rPr>
        <w:t>Item 1. Condensed Consolidated Financial Statements:</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b/>
          <w:color w:val="000000"/>
          <w:sz w:val="20"/>
        </w:rPr>
      </w:pPr>
      <w:bookmarkStart w:id="6" w:name="condensed_consolidated_balance_sheets"/>
      <w:bookmarkEnd w:id="6"/>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14"/>
        <w:gridCol w:w="146"/>
        <w:gridCol w:w="232"/>
        <w:gridCol w:w="1027"/>
        <w:gridCol w:w="177"/>
        <w:gridCol w:w="155"/>
        <w:gridCol w:w="247"/>
        <w:gridCol w:w="1093"/>
        <w:gridCol w:w="514"/>
      </w:tblGrid>
      <w:tr>
        <w:trPr/>
        <w:tc>
          <w:tcPr>
            <w:tcW w:w="66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6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share and per share amounts)</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1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399,806</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291,146</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Investments—short-term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484,211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460,522</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Receivables,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318,703</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384,528</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183,438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182,887</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89,843</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91,282</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4,990</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61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2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1,479,050</w:t>
            </w:r>
          </w:p>
        </w:tc>
        <w:tc>
          <w:tcPr>
            <w:tcW w:w="17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5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4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9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1,415,355</w:t>
            </w:r>
          </w:p>
        </w:tc>
        <w:tc>
          <w:tcPr>
            <w:tcW w:w="51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66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233,920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227,564</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32,189</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73,148</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82,406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84,245</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 AND 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83,899</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83,917</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152,144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154,835</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18,369</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16,503</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2,081,977</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2,055,567</w:t>
            </w:r>
          </w:p>
        </w:tc>
        <w:tc>
          <w:tcPr>
            <w:tcW w:w="5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1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186,035</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185,332</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sales discounts, allowances and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249,795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272,452</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liabilities—short-term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6,291</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6,166</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Contract liabilities—short-term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61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2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443,730</w:t>
            </w:r>
          </w:p>
        </w:tc>
        <w:tc>
          <w:tcPr>
            <w:tcW w:w="17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5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4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9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465,199</w:t>
            </w:r>
          </w:p>
        </w:tc>
        <w:tc>
          <w:tcPr>
            <w:tcW w:w="51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66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67,811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69,372</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58,853</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56,019</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61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2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570,394</w:t>
            </w:r>
          </w:p>
        </w:tc>
        <w:tc>
          <w:tcPr>
            <w:tcW w:w="17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5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9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590,590</w:t>
            </w:r>
          </w:p>
        </w:tc>
        <w:tc>
          <w:tcPr>
            <w:tcW w:w="51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66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CONTINGENT LIABILITIES (Note 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shares, par value, $0.01 per share; 50,000,000 shares authorized; and zero issued and outstanding at March 31, 2025 and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Ordinary shares, par value, $0.01 per share; 450,000,000 shares authorized; 180,181,396 and 176,670,785 shares issued; and 164,853,015 and 162,176,994 shares outstanding at March 31,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shares, at cost (15,328,381 and 14,493,791 shares at March 31,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(448,036</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(419,255</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2,913,266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2,860,890</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(953,994</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(976,458</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61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1,511,583</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1,464,977</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2,081,977</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2,055,567</w:t>
            </w:r>
          </w:p>
        </w:tc>
        <w:tc>
          <w:tcPr>
            <w:tcW w:w="5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sz w:val="20"/>
        </w:rPr>
      </w:pPr>
      <w:bookmarkStart w:id="7" w:name="condensed_consolidated_statements_operat"/>
      <w:bookmarkEnd w:id="7"/>
      <w:r>
        <w:rPr>
          <w:rFonts w:ascii="Times New Roman" w:hAnsi="Times New Roman"/>
          <w:b/>
          <w:color w:val="000000"/>
          <w:sz w:val="20"/>
        </w:rPr>
        <w:t>CONDENSED CONSOLIDATED STATEMENTS OF</w:t>
      </w:r>
      <w:r>
        <w:rPr>
          <w:rFonts w:ascii="Times New Roman" w:hAnsi="Times New Roman"/>
          <w:color w:val="000000"/>
          <w:sz w:val="20"/>
        </w:rPr>
        <w:t xml:space="preserve"> </w:t>
      </w:r>
      <w:r>
        <w:rPr>
          <w:rFonts w:ascii="Times New Roman" w:hAnsi="Times New Roman"/>
          <w:b/>
          <w:color w:val="000000"/>
          <w:sz w:val="20"/>
        </w:rPr>
        <w:t>OPERATIONS AND COMPREHENSIVE INCOME</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44"/>
        <w:gridCol w:w="146"/>
        <w:gridCol w:w="261"/>
        <w:gridCol w:w="968"/>
        <w:gridCol w:w="180"/>
        <w:gridCol w:w="180"/>
        <w:gridCol w:w="261"/>
        <w:gridCol w:w="968"/>
        <w:gridCol w:w="497"/>
      </w:tblGrid>
      <w:tr>
        <w:trPr/>
        <w:tc>
          <w:tcPr>
            <w:tcW w:w="6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6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amounts)</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Product sales,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244,493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233,536</w:t>
            </w:r>
          </w:p>
        </w:tc>
        <w:tc>
          <w:tcPr>
            <w:tcW w:w="4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Manufacturing and royalty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62,017</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116,833</w:t>
            </w:r>
          </w:p>
        </w:tc>
        <w:tc>
          <w:tcPr>
            <w:tcW w:w="4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Research and development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74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306,510</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350,372</w:t>
            </w:r>
          </w:p>
        </w:tc>
        <w:tc>
          <w:tcPr>
            <w:tcW w:w="4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Cost of goods manufactured and sold (exclusive of amortization of acquired intangible assets shown below)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49,197</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58,644</w:t>
            </w:r>
          </w:p>
        </w:tc>
        <w:tc>
          <w:tcPr>
            <w:tcW w:w="4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71,817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67,611</w:t>
            </w:r>
          </w:p>
        </w:tc>
        <w:tc>
          <w:tcPr>
            <w:tcW w:w="4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171,704</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179,749</w:t>
            </w:r>
          </w:p>
        </w:tc>
        <w:tc>
          <w:tcPr>
            <w:tcW w:w="4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1,059</w:t>
            </w:r>
          </w:p>
        </w:tc>
        <w:tc>
          <w:tcPr>
            <w:tcW w:w="49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74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Total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6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292,718</w:t>
            </w:r>
          </w:p>
        </w:tc>
        <w:tc>
          <w:tcPr>
            <w:tcW w:w="18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8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6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6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307,063</w:t>
            </w:r>
          </w:p>
        </w:tc>
        <w:tc>
          <w:tcPr>
            <w:tcW w:w="49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6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INCOME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13,792</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43,309</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10,141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9,399</w:t>
            </w:r>
          </w:p>
        </w:tc>
        <w:tc>
          <w:tcPr>
            <w:tcW w:w="4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(5,978</w:t>
            </w:r>
          </w:p>
        </w:tc>
        <w:tc>
          <w:tcPr>
            <w:tcW w:w="4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1,556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182</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74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11,697</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3,603</w:t>
            </w:r>
          </w:p>
        </w:tc>
        <w:tc>
          <w:tcPr>
            <w:tcW w:w="4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25,489</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46,912</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3,025</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7,964</w:t>
            </w:r>
          </w:p>
        </w:tc>
        <w:tc>
          <w:tcPr>
            <w:tcW w:w="4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INCOME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22,464</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38,948</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LOSS FROM DISCONTINUED OPERATIONS,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(2,120</w:t>
            </w:r>
          </w:p>
        </w:tc>
        <w:tc>
          <w:tcPr>
            <w:tcW w:w="4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22,464</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36,828</w:t>
            </w:r>
          </w:p>
        </w:tc>
        <w:tc>
          <w:tcPr>
            <w:tcW w:w="4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4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EARNINGS (LOSS) PER ORDINARY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Earnings per ordinary share from continuing operations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0.14</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0.23</w:t>
            </w:r>
          </w:p>
        </w:tc>
        <w:tc>
          <w:tcPr>
            <w:tcW w:w="497"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Loss per ordinary share from discontinued operations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(0.01</w:t>
            </w:r>
          </w:p>
        </w:tc>
        <w:tc>
          <w:tcPr>
            <w:tcW w:w="49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Earnings per ordinary share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0.14</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0.22</w:t>
            </w:r>
          </w:p>
        </w:tc>
        <w:tc>
          <w:tcPr>
            <w:tcW w:w="497"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Earnings per ordinary share from continuing operations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0.13</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0.23</w:t>
            </w:r>
          </w:p>
        </w:tc>
        <w:tc>
          <w:tcPr>
            <w:tcW w:w="497"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Loss per ordinary share from discontinued operations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(0.01</w:t>
            </w:r>
          </w:p>
        </w:tc>
        <w:tc>
          <w:tcPr>
            <w:tcW w:w="49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Earnings per ordinary share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0.13</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0.21</w:t>
            </w:r>
          </w:p>
        </w:tc>
        <w:tc>
          <w:tcPr>
            <w:tcW w:w="4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WEIGHTED AVERAGE NUMBER OF ORDINARY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163,407</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167,984</w:t>
            </w:r>
          </w:p>
        </w:tc>
        <w:tc>
          <w:tcPr>
            <w:tcW w:w="497"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168,737</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172,981</w:t>
            </w:r>
          </w:p>
        </w:tc>
        <w:tc>
          <w:tcPr>
            <w:tcW w:w="4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22,464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36,828</w:t>
            </w:r>
          </w:p>
        </w:tc>
        <w:tc>
          <w:tcPr>
            <w:tcW w:w="4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9"/>
              </w:rPr>
              <w:t>Holding gain (loss), net of a tax provision (benefit) of $168</w:t>
            </w:r>
            <w:r>
              <w:rPr>
                <w:rFonts w:ascii="Times New Roman" w:hAnsi="Times New Roman"/>
                <w:color w:val="000000"/>
                <w:sz w:val="20"/>
              </w:rPr>
              <w:t> </w:t>
            </w:r>
            <w:r>
              <w:rPr>
                <w:rFonts w:ascii="Times New Roman" w:hAnsi="Times New Roman"/>
                <w:color w:val="000000"/>
                <w:sz w:val="19"/>
              </w:rPr>
              <w:t>and $(75),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512</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(491</w:t>
            </w:r>
          </w:p>
        </w:tc>
        <w:tc>
          <w:tcPr>
            <w:tcW w:w="4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22,976</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36,337</w:t>
            </w:r>
          </w:p>
        </w:tc>
        <w:tc>
          <w:tcPr>
            <w:tcW w:w="4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b/>
          <w:color w:val="000000"/>
          <w:sz w:val="20"/>
        </w:rPr>
      </w:pPr>
      <w:bookmarkStart w:id="8" w:name="condensed_consolidated_statements_cash_f"/>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92"/>
        <w:gridCol w:w="146"/>
        <w:gridCol w:w="211"/>
        <w:gridCol w:w="781"/>
        <w:gridCol w:w="166"/>
        <w:gridCol w:w="146"/>
        <w:gridCol w:w="211"/>
        <w:gridCol w:w="841"/>
        <w:gridCol w:w="611"/>
      </w:tblGrid>
      <w:tr>
        <w:trPr/>
        <w:tc>
          <w:tcPr>
            <w:tcW w:w="70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36,828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Adjustments to reconcile net income to 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8,056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22,810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32,755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7,515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Other non-cash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2,215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Changes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65,825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16,628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(12,641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(7,461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1,777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(38,448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Accrued sales discounts, allowances and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(22,657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(22,764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(2,516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Cash flows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98,811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21,108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Additions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(8,342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Proceeds from the sale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Purchases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(95,988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(114,508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Sales and maturities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113,487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82,488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Cash flows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9,102</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(39,951</w:t>
            </w:r>
          </w:p>
        </w:tc>
        <w:tc>
          <w:tcPr>
            <w:tcW w:w="6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Proceeds from the issuance of ordinary shares under share-based compensation arrangements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29,528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11,226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Employee taxes paid related to net share settlement of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(28,349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Principal payments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(750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Cash flows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(17,873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108,660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(36,716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AND CASH EQUIVALENTS—Beginning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291,146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457,469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AND CASH EQUIVALENTS—End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399,806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420,753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SUPPLEMENTAL CASH FLOW DISCLOSURE: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Purchased capital expenditures included in 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2,629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b/>
          <w:color w:val="000000"/>
          <w:sz w:val="20"/>
        </w:rPr>
      </w:pPr>
      <w:bookmarkStart w:id="9" w:name="consolidated_statements_shareholders_equ"/>
      <w:bookmarkEnd w:id="9"/>
      <w:r>
        <w:rPr>
          <w:rFonts w:ascii="Times New Roman" w:hAnsi="Times New Roman"/>
          <w:b/>
          <w:color w:val="000000"/>
          <w:sz w:val="20"/>
        </w:rPr>
        <w:t>CONDENSED CONSOLIDATED STATEMENTS OF SHAREHOLDERS’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left"/>
        <w:rPr/>
      </w:pPr>
      <w:r>
        <w:rPr/>
        <w:t> </w:t>
      </w:r>
    </w:p>
    <w:tbl>
      <w:tblPr>
        <w:tblW w:w="11902" w:type="dxa"/>
        <w:jc w:val="left"/>
        <w:tblInd w:w="0" w:type="dxa"/>
        <w:tblLayout w:type="fixed"/>
        <w:tblCellMar>
          <w:top w:w="28" w:type="dxa"/>
          <w:left w:w="28" w:type="dxa"/>
          <w:bottom w:w="28" w:type="dxa"/>
          <w:right w:w="28" w:type="dxa"/>
        </w:tblCellMar>
      </w:tblPr>
      <w:tblGrid>
        <w:gridCol w:w="1281"/>
        <w:gridCol w:w="146"/>
        <w:gridCol w:w="146"/>
        <w:gridCol w:w="1006"/>
        <w:gridCol w:w="146"/>
        <w:gridCol w:w="146"/>
        <w:gridCol w:w="196"/>
        <w:gridCol w:w="511"/>
        <w:gridCol w:w="146"/>
        <w:gridCol w:w="146"/>
        <w:gridCol w:w="196"/>
        <w:gridCol w:w="826"/>
        <w:gridCol w:w="146"/>
        <w:gridCol w:w="146"/>
        <w:gridCol w:w="260"/>
        <w:gridCol w:w="761"/>
        <w:gridCol w:w="166"/>
        <w:gridCol w:w="146"/>
        <w:gridCol w:w="196"/>
        <w:gridCol w:w="751"/>
        <w:gridCol w:w="166"/>
        <w:gridCol w:w="146"/>
        <w:gridCol w:w="146"/>
        <w:gridCol w:w="976"/>
        <w:gridCol w:w="166"/>
        <w:gridCol w:w="146"/>
        <w:gridCol w:w="196"/>
        <w:gridCol w:w="751"/>
        <w:gridCol w:w="166"/>
        <w:gridCol w:w="146"/>
        <w:gridCol w:w="196"/>
        <w:gridCol w:w="826"/>
        <w:gridCol w:w="411"/>
      </w:tblGrid>
      <w:tr>
        <w:trPr/>
        <w:tc>
          <w:tcPr>
            <w:tcW w:w="1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Ordinary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Additional </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 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4" w:type="dxa"/>
            <w:gridSpan w:val="3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 thousands, except share data)</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176,670,785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2,860,890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(976,458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(14,493,791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(419,255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1,464,977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Issuance of ordinary shares under employee stock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3,510,611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29,493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29,528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Receipt of Alkermes' ordinary shares for the exercise of stock options or to satisfy minimum tax withholding obligations related to share-based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(834,590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(28,781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22,883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22,883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Unrealized gain on marketable securities, net of tax provision of $168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22,464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22,464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180,181,396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2,913,266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(953,994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(15,328,381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(448,036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1,511,583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1947" w:type="dxa"/>
        <w:jc w:val="left"/>
        <w:tblInd w:w="0" w:type="dxa"/>
        <w:tblLayout w:type="fixed"/>
        <w:tblCellMar>
          <w:top w:w="28" w:type="dxa"/>
          <w:left w:w="28" w:type="dxa"/>
          <w:bottom w:w="28" w:type="dxa"/>
          <w:right w:w="28" w:type="dxa"/>
        </w:tblCellMar>
      </w:tblPr>
      <w:tblGrid>
        <w:gridCol w:w="1281"/>
        <w:gridCol w:w="146"/>
        <w:gridCol w:w="146"/>
        <w:gridCol w:w="1006"/>
        <w:gridCol w:w="146"/>
        <w:gridCol w:w="146"/>
        <w:gridCol w:w="196"/>
        <w:gridCol w:w="511"/>
        <w:gridCol w:w="146"/>
        <w:gridCol w:w="146"/>
        <w:gridCol w:w="196"/>
        <w:gridCol w:w="826"/>
        <w:gridCol w:w="146"/>
        <w:gridCol w:w="146"/>
        <w:gridCol w:w="260"/>
        <w:gridCol w:w="761"/>
        <w:gridCol w:w="166"/>
        <w:gridCol w:w="146"/>
        <w:gridCol w:w="196"/>
        <w:gridCol w:w="886"/>
        <w:gridCol w:w="166"/>
        <w:gridCol w:w="146"/>
        <w:gridCol w:w="146"/>
        <w:gridCol w:w="886"/>
        <w:gridCol w:w="166"/>
        <w:gridCol w:w="146"/>
        <w:gridCol w:w="196"/>
        <w:gridCol w:w="751"/>
        <w:gridCol w:w="166"/>
        <w:gridCol w:w="146"/>
        <w:gridCol w:w="196"/>
        <w:gridCol w:w="826"/>
        <w:gridCol w:w="411"/>
      </w:tblGrid>
      <w:tr>
        <w:trPr/>
        <w:tc>
          <w:tcPr>
            <w:tcW w:w="1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Ordinary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Additional </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 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9" w:type="dxa"/>
            <w:gridSpan w:val="3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 thousands, except share data)</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172,569,051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2,736,934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(1,343,528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(5,589,218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(189,336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1,202,686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Issuance of ordinary shares under employee stock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3,165,169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11,195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11,226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Receipt of Alkermes' ordinary shares for the exercise of stock options or to satisfy minimum tax withholding obligations related to share-based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(960,486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(28,349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32,863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Unrealized loss on marketable securities, net of tax benefit of $75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36,828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36,828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175,734,220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2,780,992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(1,306,700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(6,549,704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(217,685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1,254,763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(Unaudited)</w:t>
      </w:r>
    </w:p>
    <w:p>
      <w:pPr>
        <w:pStyle w:val="TextBody"/>
        <w:bidi w:val="0"/>
        <w:jc w:val="left"/>
        <w:rPr/>
      </w:pPr>
      <w:r>
        <w:rPr/>
        <w:t> </w:t>
      </w:r>
    </w:p>
    <w:p>
      <w:pPr>
        <w:pStyle w:val="TextBody"/>
        <w:bidi w:val="0"/>
        <w:spacing w:before="120" w:after="283"/>
        <w:jc w:val="left"/>
        <w:rPr>
          <w:rFonts w:ascii="Times New Roman" w:hAnsi="Times New Roman"/>
          <w:sz w:val="20"/>
        </w:rPr>
      </w:pPr>
      <w:bookmarkStart w:id="10" w:name="notes_to_financial_statements"/>
      <w:bookmarkEnd w:id="10"/>
      <w:r>
        <w:rPr>
          <w:rFonts w:ascii="Times New Roman" w:hAnsi="Times New Roman"/>
          <w:b/>
          <w:color w:val="000000"/>
          <w:sz w:val="20"/>
        </w:rPr>
        <w:t>1. THE</w:t>
      </w:r>
      <w:r>
        <w:rPr>
          <w:rFonts w:ascii="Times New Roman" w:hAnsi="Times New Roman"/>
          <w:color w:val="000000"/>
          <w:sz w:val="20"/>
        </w:rPr>
        <w:t xml:space="preserve"> </w:t>
      </w:r>
      <w:bookmarkStart w:id="11" w:name="n1_company"/>
      <w:bookmarkEnd w:id="11"/>
      <w:r>
        <w:rPr>
          <w:rFonts w:ascii="Times New Roman" w:hAnsi="Times New Roman"/>
          <w:b/>
          <w:color w:val="000000"/>
          <w:sz w:val="20"/>
        </w:rPr>
        <w:t>COMPANY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Alkermes plc is a global biopharmaceutical company that seeks to develop innovative medicines in the field of neuroscience. Alkermes has a portfolio of proprietary commercial products for the treatment of alcohol dependence, opioid dependence, schizophrenia and bipolar I disorder and a pipeline of clinical and preclinical candidates in development for neurological disorders, including narcolepsy and idiopathic hypersomnia. Headquartered in Ireland, Alkermes also has a corporate office and research and development (“R&amp;D”) center in Massachusetts and a manufacturing facility in Ohio.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May 2024, the Company completed the sale of its research and development business and manufacturing facility in Athlone, Ireland (the “Athlone Facility”) to Novo Nordisk (“Novo”). The Company and Novo also entered into subcontracting arrangements to continue certain development and manufacturing activities performed at the Athlone Facility for a period of time after the closing of the transaction, which activities may continue through the end of 2025.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Basis of Presentation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accompanying condensed consolidated financial statements of the Company for the three months ended March 31, 2025 and 2024 are unaudited and have been prepared on a basis substantially consistent with the audited financial statements for the year ended December 31, 2024. The year-end consolidated balance sheet data, which is presented for comparative purposes, was derived from audited financial statements, but does not include all disclosures required by accounting principles generally accepted in the U.S. (commonly referred to as “GAAP”). In the opinion of management, the condensed consolidated financial statements include all adjustments of a normal recurring nature that are necessary to state fairly the results of operations for the reported periods.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These financial statements should be read in conjunction with the audited consolidated financial statements and notes thereto of the Company, which are contained in the Annual Report. The results of the Company’s operations for any interim period are not necessarily indicative of the results of the Company’s operations for any other interim period or for any full fiscal year.</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Principles of Consolidation</w:t>
      </w:r>
    </w:p>
    <w:p>
      <w:pPr>
        <w:pStyle w:val="TextBody"/>
        <w:bidi w:val="0"/>
        <w:spacing w:before="160" w:after="283"/>
        <w:jc w:val="left"/>
        <w:rPr>
          <w:rFonts w:ascii="Times New Roman" w:hAnsi="Times New Roman"/>
          <w:sz w:val="20"/>
        </w:rPr>
      </w:pPr>
      <w:r>
        <w:rPr>
          <w:rFonts w:ascii="Times New Roman" w:hAnsi="Times New Roman"/>
          <w:color w:val="000000"/>
          <w:sz w:val="20"/>
        </w:rPr>
        <w:t xml:space="preserve">The accompanying condensed consolidated financial statements include the accounts of Alkermes plc and its wholly-owned subsidiaries as disclosed in Note 2, </w:t>
      </w:r>
      <w:r>
        <w:rPr>
          <w:rFonts w:ascii="Times New Roman" w:hAnsi="Times New Roman"/>
          <w:i/>
          <w:color w:val="000000"/>
          <w:sz w:val="20"/>
        </w:rPr>
        <w:t>Summary of Significant Accounting Policies</w:t>
      </w:r>
      <w:r>
        <w:rPr>
          <w:rFonts w:ascii="Times New Roman" w:hAnsi="Times New Roman"/>
          <w:color w:val="000000"/>
          <w:sz w:val="20"/>
        </w:rPr>
        <w:t xml:space="preserve"> in the “Notes to Consolidated Financial Statements” accompanying the Annual Report. Intercompany accounts and transactions have been eliminated. Columns and rows within tables may not sum due to rounding.</w:t>
      </w:r>
    </w:p>
    <w:p>
      <w:pPr>
        <w:pStyle w:val="TextBody"/>
        <w:bidi w:val="0"/>
        <w:spacing w:before="140" w:after="283"/>
        <w:jc w:val="left"/>
        <w:rPr>
          <w:rFonts w:ascii="Times New Roman" w:hAnsi="Times New Roman"/>
          <w:i/>
          <w:color w:val="000000"/>
          <w:sz w:val="20"/>
        </w:rPr>
      </w:pPr>
      <w:r>
        <w:rPr>
          <w:rFonts w:ascii="Times New Roman" w:hAnsi="Times New Roman"/>
          <w:i/>
          <w:color w:val="000000"/>
          <w:sz w:val="20"/>
        </w:rPr>
        <w:t>Discontinued Operations</w:t>
      </w:r>
    </w:p>
    <w:p>
      <w:pPr>
        <w:pStyle w:val="TextBody"/>
        <w:bidi w:val="0"/>
        <w:spacing w:before="160" w:after="283"/>
        <w:jc w:val="left"/>
        <w:rPr>
          <w:rFonts w:ascii="Times New Roman" w:hAnsi="Times New Roman"/>
          <w:sz w:val="20"/>
        </w:rPr>
      </w:pPr>
      <w:r>
        <w:rPr>
          <w:rFonts w:ascii="Times New Roman" w:hAnsi="Times New Roman"/>
          <w:color w:val="000000"/>
          <w:sz w:val="20"/>
        </w:rPr>
        <w:t xml:space="preserve">The Company determined that the separation of its oncology business in November 2023 met the criteria for classification of the oncology business as discontinued operations in accordance with Financial Accounting Standards Board (“FASB”) Accounting Standards Codification (“ASC”) 205, </w:t>
      </w:r>
      <w:r>
        <w:rPr>
          <w:rFonts w:ascii="Times New Roman" w:hAnsi="Times New Roman"/>
          <w:i/>
          <w:color w:val="000000"/>
          <w:sz w:val="20"/>
        </w:rPr>
        <w:t xml:space="preserve">Discontinued Operations </w:t>
      </w:r>
      <w:r>
        <w:rPr>
          <w:rFonts w:ascii="Times New Roman" w:hAnsi="Times New Roman"/>
          <w:color w:val="000000"/>
          <w:sz w:val="20"/>
        </w:rPr>
        <w:t>(“Topic 205”).</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Use of Estimates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preparation of the Company’s condensed consolidated financial statements in accordance with GAAP requires that Company management make estimates, judgments and assumptions that may affect the reported amounts of assets, liabilities, revenues and expenses, and related disclosure of contingent assets and liabilities. On an ongoing basis, the Company evaluates its estimates, judgments and methodologies, including, but not limited to, those related to revenue from contracts with its customers and related allowances, impairment of long-lived assets, share-based compensation, income taxes including the valuation allowance for deferred tax assets, valuation of investments and litigation.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under different conditions or using different assumptions.</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(Unaudited) (Continued)</w:t>
      </w:r>
    </w:p>
    <w:p>
      <w:pPr>
        <w:pStyle w:val="TextBody"/>
        <w:bidi w:val="0"/>
        <w:jc w:val="left"/>
        <w:rPr/>
      </w:pPr>
      <w:r>
        <w:rPr/>
        <w:t>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Segment Information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Operating segments are defined as components of an enterprise engaging in business activities for which separate financial information is available and regularly reviewed by the chief operating decision maker (“CODM”) in deciding how to allocate resources and in assessing performance. The Company has utilized the management approach to determine that the Company is managed as one segment on a consolidated basis and is in the business of developing, manufacturing and commercializing medicines designed to help people living with complex and difficult-to-treat psychiatric and neurological disorders. The Company’s CODM, the Chairman and Chief Executive Officer, reviews the Company’s operating results on an aggregate basis and manages the Company’s operations as a single operating unit. The CODM measures profitability on a reportable segment basis using net income and utilizes this information in allocating resources and in assessing performance by monitoring budget versus actual results. Please refer to Note 15, </w:t>
      </w:r>
      <w:r>
        <w:rPr>
          <w:rFonts w:ascii="Times New Roman" w:hAnsi="Times New Roman"/>
          <w:i/>
          <w:color w:val="000000"/>
          <w:sz w:val="20"/>
        </w:rPr>
        <w:t>Segment Reporting</w:t>
      </w:r>
      <w:r>
        <w:rPr>
          <w:rFonts w:ascii="Times New Roman" w:hAnsi="Times New Roman"/>
          <w:color w:val="000000"/>
          <w:sz w:val="20"/>
        </w:rPr>
        <w:t>, in these “Notes to Condensed Consolidated Financial Statements” in this Form 10-Q for further information.</w:t>
      </w:r>
    </w:p>
    <w:p>
      <w:pPr>
        <w:pStyle w:val="TextBody"/>
        <w:bidi w:val="0"/>
        <w:spacing w:before="200" w:after="283"/>
        <w:jc w:val="left"/>
        <w:rPr>
          <w:rFonts w:ascii="Times New Roman" w:hAnsi="Times New Roman"/>
          <w:i/>
          <w:color w:val="000000"/>
          <w:sz w:val="20"/>
        </w:rPr>
      </w:pPr>
      <w:bookmarkStart w:id="12" w:name="xxx"/>
      <w:bookmarkEnd w:id="12"/>
      <w:r>
        <w:rPr>
          <w:rFonts w:ascii="Times New Roman" w:hAnsi="Times New Roman"/>
          <w:i/>
          <w:color w:val="000000"/>
          <w:sz w:val="20"/>
        </w:rPr>
        <w:t>New Accounting Pronouncements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From time to time, new accounting pronouncements are issued by the FASB or other standard-setting bodies that are adopted by the Company on or prior to the specified effective date. Unless otherwise described in this Form 10-Q, the Company believes that the impact of recently issued standards that are not yet effective will not have a material impact on its financial position or results of operations upon adoption.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the FASB issued Accounting Standards Update (“ASU”) 2023-09, Income Taxes (“Topic 740”): Improvements to Income Tax Disclosures, to enhance the transparency and decision usefulness of income tax disclosures in order to provide information to assist key stakeholders in better assessing how the Company’s operations and related tax risks and tax planning and operational opportunities affect the Company’s tax rate and prospects for future cash flows. This ASU becomes effective for public companies for annual periods beginning after December 15, 2024. This guidance will be applied on a prospective basis. The Company is currently evaluating the impact this ASU will have on its consolidated financial statements and related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 - Reporting Comprehensive Income-Expense Disaggregation Disclosures</w:t>
      </w:r>
      <w:r>
        <w:rPr>
          <w:rFonts w:ascii="Times New Roman" w:hAnsi="Times New Roman"/>
          <w:color w:val="000000"/>
          <w:sz w:val="20"/>
        </w:rPr>
        <w:t>, to improve disclosures about a public business entity’s expenses and address requests from investors for more detailed information about the types of expenses (including purchases of inventory, employee compensation, depreciation, amortization and depletion) in commonly-presented expense captions, such as cost of sales, selling, general and administrative expenses, and research and development. All disclosure requirements under this guidance are required for public business entities and effective for annual periods beginning after December 15, 2026 and interim periods beginning after December 15, 2027. Early adoption is permitted and the amendments in this guidance will be applied prospectively to financial statements for periods after the effective dates. The Company is currently evaluating the impact this ASU will have on its consolidated financial statements and related disclosures.</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(Unaudited) (Continued)</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3. DISCONTINUED OPERATIONS</w:t>
      </w:r>
    </w:p>
    <w:p>
      <w:pPr>
        <w:pStyle w:val="TextBody"/>
        <w:bidi w:val="0"/>
        <w:spacing w:before="200" w:after="283"/>
        <w:jc w:val="left"/>
        <w:rPr>
          <w:rFonts w:ascii="Times New Roman" w:hAnsi="Times New Roman"/>
          <w:sz w:val="20"/>
        </w:rPr>
      </w:pPr>
      <w:r>
        <w:rPr>
          <w:rFonts w:ascii="Times New Roman" w:hAnsi="Times New Roman"/>
          <w:i/>
          <w:color w:val="000000"/>
          <w:sz w:val="20"/>
        </w:rPr>
        <w:t>Mural Oncology Separation</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On November 15, 2023, the Company completed the separation of its oncology business into Mural Oncology plc (“Mural”), a new, independent, publicly-traded company (the “Separation”). In connection with the Separation, the Company and Mural entered into, among other agreements: a separation agreement; a tax matters agreement; and an employee matters agreement, which are described in Note 3, </w:t>
      </w:r>
      <w:r>
        <w:rPr>
          <w:rFonts w:ascii="Times New Roman" w:hAnsi="Times New Roman"/>
          <w:i/>
          <w:color w:val="000000"/>
          <w:sz w:val="20"/>
        </w:rPr>
        <w:t>Discontinued Operations</w:t>
      </w:r>
      <w:r>
        <w:rPr>
          <w:rFonts w:ascii="Times New Roman" w:hAnsi="Times New Roman"/>
          <w:color w:val="000000"/>
          <w:sz w:val="20"/>
        </w:rPr>
        <w:t xml:space="preserve"> in the “Notes to Consolidated Financial Statements” accompanying the Annual Report.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Discontinued Operations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determined that the Separation met the criteria for classification of the oncology business as discontinued operations in accordance with Topic 205. The following summarizes the loss from discontinued operations for the three months ended March 31, 2025 and 2024: </w:t>
      </w:r>
    </w:p>
    <w:p>
      <w:pPr>
        <w:pStyle w:val="TextBody"/>
        <w:bidi w:val="0"/>
        <w:jc w:val="left"/>
        <w:rPr/>
      </w:pPr>
      <w:r>
        <w:rPr/>
        <w:t> </w:t>
      </w:r>
    </w:p>
    <w:tbl>
      <w:tblPr>
        <w:tblW w:w="7504" w:type="dxa"/>
        <w:jc w:val="left"/>
        <w:tblInd w:w="0" w:type="dxa"/>
        <w:tblLayout w:type="fixed"/>
        <w:tblCellMar>
          <w:top w:w="28" w:type="dxa"/>
          <w:left w:w="28" w:type="dxa"/>
          <w:bottom w:w="28" w:type="dxa"/>
          <w:right w:w="28" w:type="dxa"/>
        </w:tblCellMar>
      </w:tblPr>
      <w:tblGrid>
        <w:gridCol w:w="5176"/>
        <w:gridCol w:w="146"/>
        <w:gridCol w:w="211"/>
        <w:gridCol w:w="346"/>
        <w:gridCol w:w="146"/>
        <w:gridCol w:w="146"/>
        <w:gridCol w:w="211"/>
        <w:gridCol w:w="631"/>
        <w:gridCol w:w="491"/>
      </w:tblGrid>
      <w:tr>
        <w:trPr/>
        <w:tc>
          <w:tcPr>
            <w:tcW w:w="5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 from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goods manufactured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operating expenses from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2,516</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 from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from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 from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4. REVENUE FROM CONTRACTS WITH CUSTOMERS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recognizes revenue when its customer obtains control of promised goods or services, in an amount that reflects the consideration which it expects to receive in exchange for those goods or services. The Company recognizes revenue following the five-step model prescribed in accordance with FASB ASC 606, Revenue from Contracts with Customers (“Topic 606”): (i) identify contract(s) with a customer; (ii) identify the performance obligations in the contract; (iii) determine the transaction price; (iv) allocate the transaction price to the performance obligations in the contract; and (v) recognize revenue when (or as) the Company satisfies the performance obligations. </w:t>
      </w:r>
    </w:p>
    <w:p>
      <w:pPr>
        <w:pStyle w:val="TextBody"/>
        <w:bidi w:val="0"/>
        <w:spacing w:before="200" w:after="283"/>
        <w:jc w:val="left"/>
        <w:rPr>
          <w:rFonts w:ascii="Times New Roman" w:hAnsi="Times New Roman"/>
          <w:color w:val="000000"/>
          <w:sz w:val="20"/>
          <w:u w:val="single"/>
        </w:rPr>
      </w:pPr>
      <w:r>
        <w:rPr>
          <w:rFonts w:ascii="Times New Roman" w:hAnsi="Times New Roman"/>
          <w:color w:val="000000"/>
          <w:sz w:val="20"/>
          <w:u w:val="single"/>
        </w:rPr>
        <w:t>Product Sales, Net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product sales, net consist of sales in the U.S. of VIVITROL, ARISTADA and ARISTADA INITIO, and LYBALVI, primarily to wholesalers, specialty distributors and pharmacies. Product sales, net are recognized when the customer obtains control of the product, which is when the product has been received by the customer.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During the three months ended March 31, 2025 and 2024, the Company recorded product sales, net, as follows:</w:t>
      </w:r>
    </w:p>
    <w:p>
      <w:pPr>
        <w:pStyle w:val="TextBody"/>
        <w:bidi w:val="0"/>
        <w:jc w:val="left"/>
        <w:rPr/>
      </w:pPr>
      <w:r>
        <w:rPr/>
        <w:t> </w:t>
      </w:r>
    </w:p>
    <w:tbl>
      <w:tblPr>
        <w:tblW w:w="6281" w:type="dxa"/>
        <w:jc w:val="left"/>
        <w:tblInd w:w="0" w:type="dxa"/>
        <w:tblLayout w:type="fixed"/>
        <w:tblCellMar>
          <w:top w:w="28" w:type="dxa"/>
          <w:left w:w="28" w:type="dxa"/>
          <w:bottom w:w="28" w:type="dxa"/>
          <w:right w:w="28" w:type="dxa"/>
        </w:tblCellMar>
      </w:tblPr>
      <w:tblGrid>
        <w:gridCol w:w="3246"/>
        <w:gridCol w:w="146"/>
        <w:gridCol w:w="222"/>
        <w:gridCol w:w="823"/>
        <w:gridCol w:w="154"/>
        <w:gridCol w:w="154"/>
        <w:gridCol w:w="222"/>
        <w:gridCol w:w="823"/>
        <w:gridCol w:w="491"/>
      </w:tblGrid>
      <w:tr>
        <w:trPr/>
        <w:tc>
          <w:tcPr>
            <w:tcW w:w="3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VIVITROL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100,996</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97,659</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ARISTADA and ARISTADA INITIO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78,870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LYBALVI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70,022</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57,007</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product sales,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244,493</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233,536</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(Unaudited) (Continued)</w:t>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Revenues from product sales are recorded net of reserves established for applicable discounts and allowances that are offered within contracts with the Company’s customers, healthcare providers or payers. The Company’s process for estimating reserves established for these variable consideration components does not differ materially from historical practices. The transaction price, which includes variable consideration reflecting the impact of discounts and allowances, may be subject to constraint and is included in the net sales price only to the extent that it is probable that a significant reversal of the amount of the cumulative revenues recognized will not occur in a future period. Actual amounts may ultimately differ from the Company’s estimates. If actual results vary, the Company adjusts these estimates, which could have an effect on earnings in the period of adjustment. See the “Revenue from Contracts with Customers” section in Note 2, </w:t>
      </w:r>
      <w:r>
        <w:rPr>
          <w:rFonts w:ascii="Times New Roman" w:hAnsi="Times New Roman"/>
          <w:i/>
          <w:color w:val="000000"/>
          <w:sz w:val="20"/>
        </w:rPr>
        <w:t xml:space="preserve">Summary of Significant Accounting Policies </w:t>
      </w:r>
      <w:r>
        <w:rPr>
          <w:rFonts w:ascii="Times New Roman" w:hAnsi="Times New Roman"/>
          <w:color w:val="000000"/>
          <w:sz w:val="20"/>
        </w:rPr>
        <w:t xml:space="preserve">in the “Notes to Consolidated Financial Statements” in the Annual Report for information with respect to the Company’s significant categories of sales discounts and allowances.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Actual Medicaid utilization rebates related to VIVITROL during the three months ended March 31, 2025 were lower than original estimates, and as a result the Company reduced its rebate reserve by approximately $8.7 million during the period. Medicaid rebates for the Company’s other products have not differed materially from the Company’s estimates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rollforward of the Company’s provisions for sales discounts and allowances is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20"/>
        <w:gridCol w:w="146"/>
        <w:gridCol w:w="309"/>
        <w:gridCol w:w="1232"/>
        <w:gridCol w:w="166"/>
        <w:gridCol w:w="146"/>
        <w:gridCol w:w="211"/>
        <w:gridCol w:w="736"/>
        <w:gridCol w:w="166"/>
        <w:gridCol w:w="146"/>
        <w:gridCol w:w="259"/>
        <w:gridCol w:w="831"/>
        <w:gridCol w:w="166"/>
        <w:gridCol w:w="146"/>
        <w:gridCol w:w="211"/>
        <w:gridCol w:w="736"/>
        <w:gridCol w:w="166"/>
        <w:gridCol w:w="146"/>
        <w:gridCol w:w="211"/>
        <w:gridCol w:w="841"/>
        <w:gridCol w:w="414"/>
      </w:tblGrid>
      <w:tr>
        <w:trPr/>
        <w:tc>
          <w:tcPr>
            <w:tcW w:w="2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28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25"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Contractual Adjustments</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Discounts</w:t>
            </w:r>
            <w:r>
              <w:rPr>
                <w:rFonts w:ascii="Times New Roman" w:hAnsi="Times New Roman"/>
                <w:b/>
                <w:color w:val="000000"/>
                <w:sz w:val="11"/>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Product Returns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 —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336,427</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provisions relating to sales in current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240,499</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relating to prior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(12,212</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relating to sales in current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(98,753</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relating to sales in prior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(156,017</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 —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309,944</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8" w:space="1" w:color="000000"/>
        </w:pBdr>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color w:val="000000"/>
        </w:rPr>
      </w:pPr>
      <w:r>
        <w:rPr>
          <w:color w:val="000000"/>
        </w:rPr>
        <w:t>“</w:t>
      </w:r>
      <w:r>
        <w:rPr>
          <w:rFonts w:ascii="Times New Roman" w:hAnsi="Times New Roman"/>
          <w:color w:val="000000"/>
          <w:sz w:val="16"/>
        </w:rPr>
        <w:t>Contractual Adjustments” include “Medicaid Rebates” and “Medicare Part D” accruals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jc w:val="left"/>
        <w:rPr/>
      </w:pPr>
      <w:r>
        <w:rPr>
          <w:color w:val="000000"/>
        </w:rPr>
        <w:t>“</w:t>
      </w:r>
      <w:r>
        <w:rPr>
          <w:rFonts w:ascii="Times New Roman" w:hAnsi="Times New Roman"/>
          <w:color w:val="000000"/>
          <w:sz w:val="16"/>
        </w:rPr>
        <w:t>Discounts” include “Chargebacks” and “Product Discounts”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Total revenue-related reserves as of March 31, 2025 and December 31, 2024 included in the accompanying consolidated balance sheets are summarized as follows:</w:t>
      </w:r>
    </w:p>
    <w:p>
      <w:pPr>
        <w:pStyle w:val="TextBody"/>
        <w:bidi w:val="0"/>
        <w:jc w:val="left"/>
        <w:rPr/>
      </w:pPr>
      <w:r>
        <w:rPr/>
        <w:t> </w:t>
      </w:r>
    </w:p>
    <w:tbl>
      <w:tblPr>
        <w:tblW w:w="8042" w:type="dxa"/>
        <w:jc w:val="left"/>
        <w:tblInd w:w="0" w:type="dxa"/>
        <w:tblLayout w:type="fixed"/>
        <w:tblCellMar>
          <w:top w:w="28" w:type="dxa"/>
          <w:left w:w="28" w:type="dxa"/>
          <w:bottom w:w="28" w:type="dxa"/>
          <w:right w:w="28" w:type="dxa"/>
        </w:tblCellMar>
      </w:tblPr>
      <w:tblGrid>
        <w:gridCol w:w="5326"/>
        <w:gridCol w:w="146"/>
        <w:gridCol w:w="211"/>
        <w:gridCol w:w="781"/>
        <w:gridCol w:w="146"/>
        <w:gridCol w:w="146"/>
        <w:gridCol w:w="233"/>
        <w:gridCol w:w="862"/>
        <w:gridCol w:w="191"/>
      </w:tblGrid>
      <w:tr>
        <w:trPr/>
        <w:tc>
          <w:tcPr>
            <w:tcW w:w="5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Reduction of 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Components of accrued sales discounts, allowances and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249,795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272,452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Components of 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41,944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revenue-related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309,944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336,427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Manufacturing and Royalty Revenues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During the three months ended March 31, 2025 and 2024, the Company recorded manufacturing and royalty revenues from its collaboration arrangements as follows:</w:t>
      </w:r>
    </w:p>
    <w:p>
      <w:pPr>
        <w:pStyle w:val="TextBody"/>
        <w:bidi w:val="0"/>
        <w:jc w:val="left"/>
        <w:rPr/>
      </w:pPr>
      <w:r>
        <w:rPr/>
        <w:t> </w:t>
      </w:r>
    </w:p>
    <w:tbl>
      <w:tblPr>
        <w:tblW w:w="6702" w:type="dxa"/>
        <w:jc w:val="left"/>
        <w:tblInd w:w="0" w:type="dxa"/>
        <w:tblLayout w:type="fixed"/>
        <w:tblCellMar>
          <w:top w:w="28" w:type="dxa"/>
          <w:left w:w="28" w:type="dxa"/>
          <w:bottom w:w="28" w:type="dxa"/>
          <w:right w:w="28" w:type="dxa"/>
        </w:tblCellMar>
      </w:tblPr>
      <w:tblGrid>
        <w:gridCol w:w="2806"/>
        <w:gridCol w:w="146"/>
        <w:gridCol w:w="285"/>
        <w:gridCol w:w="916"/>
        <w:gridCol w:w="146"/>
        <w:gridCol w:w="146"/>
        <w:gridCol w:w="211"/>
        <w:gridCol w:w="676"/>
        <w:gridCol w:w="146"/>
        <w:gridCol w:w="146"/>
        <w:gridCol w:w="211"/>
        <w:gridCol w:w="676"/>
        <w:gridCol w:w="1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Manufacturing</w:t>
              <w:b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Royalty</w:t>
              <w:b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Long-acting INVEGA products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VUMERITY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RISPERDAL CONSTA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62,017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(Unaudited) (Continued)</w:t>
      </w:r>
    </w:p>
    <w:p>
      <w:pPr>
        <w:pStyle w:val="TextBody"/>
        <w:bidi w:val="0"/>
        <w:jc w:val="left"/>
        <w:rPr/>
      </w:pPr>
      <w:r>
        <w:rPr/>
        <w:t> </w:t>
      </w:r>
    </w:p>
    <w:p>
      <w:pPr>
        <w:pStyle w:val="TextBody"/>
        <w:bidi w:val="0"/>
        <w:jc w:val="left"/>
        <w:rPr/>
      </w:pPr>
      <w:r>
        <w:rPr/>
        <w:t> </w:t>
      </w:r>
    </w:p>
    <w:tbl>
      <w:tblPr>
        <w:tblW w:w="6807" w:type="dxa"/>
        <w:jc w:val="left"/>
        <w:tblInd w:w="0" w:type="dxa"/>
        <w:tblLayout w:type="fixed"/>
        <w:tblCellMar>
          <w:top w:w="28" w:type="dxa"/>
          <w:left w:w="28" w:type="dxa"/>
          <w:bottom w:w="28" w:type="dxa"/>
          <w:right w:w="28" w:type="dxa"/>
        </w:tblCellMar>
      </w:tblPr>
      <w:tblGrid>
        <w:gridCol w:w="2806"/>
        <w:gridCol w:w="146"/>
        <w:gridCol w:w="285"/>
        <w:gridCol w:w="916"/>
        <w:gridCol w:w="146"/>
        <w:gridCol w:w="146"/>
        <w:gridCol w:w="211"/>
        <w:gridCol w:w="676"/>
        <w:gridCol w:w="146"/>
        <w:gridCol w:w="146"/>
        <w:gridCol w:w="211"/>
        <w:gridCol w:w="781"/>
        <w:gridCol w:w="1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Manufacturing</w:t>
              <w:b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Royalty</w:t>
              <w:b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Long-acting INVEGA products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VUMERITY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31,254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RISPERDAL CONSTA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116,833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8" w:space="1" w:color="000000"/>
        </w:pBdr>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jc w:val="left"/>
        <w:rPr>
          <w:color w:val="000000"/>
        </w:rPr>
      </w:pPr>
      <w:r>
        <w:rPr>
          <w:color w:val="000000"/>
        </w:rPr>
        <w:t>“</w:t>
      </w:r>
      <w:r>
        <w:rPr>
          <w:rFonts w:ascii="Times New Roman" w:hAnsi="Times New Roman"/>
          <w:color w:val="000000"/>
          <w:sz w:val="18"/>
        </w:rPr>
        <w:t xml:space="preserve">long-acting INVEGA products”: INVEGA SUSTENNA/XEPLION (paliperidone palmitate), INVEGA TRINZA/TREVICTA (paliperidone palmitate) and INVEGA HAFYERA/BYANNLI (paliperidone palmitate).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August 2024, the Company’s royalty on U.S. net sales of INVEGA SUSTENNA expired. Accordingly, the Company expects royalty revenues from net sales of the long-acting INVEGA products to continue to be lower in 2025, as the royalty revenues related to U.S. net sales of INVEGA SUSTENNA comprised a significant portion of the overall royalty revenues from the long-acting INVEGA products.</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Contract Assets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Contract assets include unbilled amounts related to the manufacture of a product that, once complete, will be sold under certain of the Company’s manufacturing contracts. The amounts included in the contract assets table below are classified as “Current assets” in the accompanying condensed consolidated balance sheets, as they relate to manufacturing processes that are completed in ten days to eight weeks.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Total contract assets at March 31, 2025 were as follows:</w:t>
      </w:r>
    </w:p>
    <w:p>
      <w:pPr>
        <w:pStyle w:val="TextBody"/>
        <w:bidi w:val="0"/>
        <w:jc w:val="left"/>
        <w:rPr/>
      </w:pPr>
      <w:r>
        <w:rPr/>
        <w:t> </w:t>
      </w:r>
    </w:p>
    <w:tbl>
      <w:tblPr>
        <w:tblW w:w="4933" w:type="dxa"/>
        <w:jc w:val="left"/>
        <w:tblInd w:w="0" w:type="dxa"/>
        <w:tblLayout w:type="fixed"/>
        <w:tblCellMar>
          <w:top w:w="28" w:type="dxa"/>
          <w:left w:w="28" w:type="dxa"/>
          <w:bottom w:w="28" w:type="dxa"/>
          <w:right w:w="28" w:type="dxa"/>
        </w:tblCellMar>
      </w:tblPr>
      <w:tblGrid>
        <w:gridCol w:w="3151"/>
        <w:gridCol w:w="146"/>
        <w:gridCol w:w="312"/>
        <w:gridCol w:w="933"/>
        <w:gridCol w:w="391"/>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 Assets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Transferred to receivables,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Contract Liabilities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Contract liabilities consist of contractual obligations related to deferred revenue. At March 31, 2025 and December 31, 2024, $1.6 million and $1.2 million of the contract liabilities, respectively, were classified as “Contract liabilities–short-term” in the accompanying condensed consolidated balance sheets and none of the contract liabilities were classified as “Other long-term liabilities” in the accompanying condensed consolidated balance sheets.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Total contract liabilities at March 31, 2025 were as follows:</w:t>
      </w:r>
    </w:p>
    <w:p>
      <w:pPr>
        <w:pStyle w:val="TextBody"/>
        <w:bidi w:val="0"/>
        <w:jc w:val="left"/>
        <w:rPr/>
      </w:pPr>
      <w:r>
        <w:rPr/>
        <w:t> </w:t>
      </w:r>
    </w:p>
    <w:tbl>
      <w:tblPr>
        <w:tblW w:w="5518" w:type="dxa"/>
        <w:jc w:val="left"/>
        <w:tblInd w:w="0" w:type="dxa"/>
        <w:tblLayout w:type="fixed"/>
        <w:tblCellMar>
          <w:top w:w="28" w:type="dxa"/>
          <w:left w:w="28" w:type="dxa"/>
          <w:bottom w:w="28" w:type="dxa"/>
          <w:right w:w="28" w:type="dxa"/>
        </w:tblCellMar>
      </w:tblPr>
      <w:tblGrid>
        <w:gridCol w:w="3466"/>
        <w:gridCol w:w="146"/>
        <w:gridCol w:w="407"/>
        <w:gridCol w:w="1108"/>
        <w:gridCol w:w="39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 Liabilities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Amounts recognized into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(Unaudited) (Continued)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5. INVESTMENTS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Investments consist of the following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44"/>
        <w:gridCol w:w="146"/>
        <w:gridCol w:w="211"/>
        <w:gridCol w:w="781"/>
        <w:gridCol w:w="146"/>
        <w:gridCol w:w="146"/>
        <w:gridCol w:w="211"/>
        <w:gridCol w:w="571"/>
        <w:gridCol w:w="146"/>
        <w:gridCol w:w="146"/>
        <w:gridCol w:w="223"/>
        <w:gridCol w:w="509"/>
        <w:gridCol w:w="166"/>
        <w:gridCol w:w="146"/>
        <w:gridCol w:w="279"/>
        <w:gridCol w:w="638"/>
        <w:gridCol w:w="166"/>
        <w:gridCol w:w="146"/>
        <w:gridCol w:w="211"/>
        <w:gridCol w:w="781"/>
        <w:gridCol w:w="592"/>
      </w:tblGrid>
      <w:tr>
        <w:trPr/>
        <w:tc>
          <w:tcPr>
            <w:tcW w:w="38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38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Gross Unrealized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Less than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Greater than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Estimated</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One Year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One Year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Fair Value</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84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U.S. government and agency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254,645</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84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228,654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229,566</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8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20"/>
              </w:rPr>
              <w:t>Total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482,354</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2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0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7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3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484,211</w:t>
            </w:r>
          </w:p>
        </w:tc>
        <w:tc>
          <w:tcPr>
            <w:tcW w:w="59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3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84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U.S. government and agency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23,481</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84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8,563</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84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32,160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2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0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7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3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32,044</w:t>
            </w:r>
          </w:p>
        </w:tc>
        <w:tc>
          <w:tcPr>
            <w:tcW w:w="59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ind w:left="0" w:right="0" w:firstLine="200"/>
              <w:jc w:val="left"/>
              <w:rPr/>
            </w:pPr>
            <w:r>
              <w:rPr/>
              <w:t> </w:t>
            </w:r>
          </w:p>
        </w:tc>
      </w:tr>
      <w:tr>
        <w:trPr/>
        <w:tc>
          <w:tcPr>
            <w:tcW w:w="38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Held-to-maturity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84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8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32,305</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2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0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7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3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32,189</w:t>
            </w:r>
          </w:p>
        </w:tc>
        <w:tc>
          <w:tcPr>
            <w:tcW w:w="59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3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514,659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516,400</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84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U.S. government and agency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266,506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267,205</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84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193,317</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8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20"/>
              </w:rPr>
              <w:t>Total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459,123</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2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0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7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3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460,522</w:t>
            </w:r>
          </w:p>
        </w:tc>
        <w:tc>
          <w:tcPr>
            <w:tcW w:w="59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3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84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U.S. government and agency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48,677</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84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24,326</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73,340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2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0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7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3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73,003</w:t>
            </w:r>
          </w:p>
        </w:tc>
        <w:tc>
          <w:tcPr>
            <w:tcW w:w="59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ind w:left="0" w:right="0" w:firstLine="200"/>
              <w:jc w:val="left"/>
              <w:rPr/>
            </w:pPr>
            <w:r>
              <w:rPr/>
              <w:t> </w:t>
            </w:r>
          </w:p>
        </w:tc>
      </w:tr>
      <w:tr>
        <w:trPr/>
        <w:tc>
          <w:tcPr>
            <w:tcW w:w="38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Held-to-maturity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84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8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73,485</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2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0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7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3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73,148</w:t>
            </w:r>
          </w:p>
        </w:tc>
        <w:tc>
          <w:tcPr>
            <w:tcW w:w="59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3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532,608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533,670</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At March 31, 2025, the Company’s investments in corporate debt securities had a minimum rating of A2 (Moody’s)/A (Standard and Poor’s), and 44 of the Company’s 325 investment securities were in an unrealized loss position with an aggregate estimated fair value of $67.3 million. The primary reason these securities were in an unrealized loss position is that they are fixed-rate securities that were acquired in a rising interest rate environment. In making the determination whether the decline in fair value of these securities was temporary, the Company evaluated whether it intended to sell the security and whether it was more likely than not that the Company would be required to sell the security before recovering its amortized cost basis. The Company has the intent and ability to hold these investments until recovery, which may be at maturity.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(Unaudited) (Continued)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Realized gains and losses on the sales and maturities of investments, which were identified using the specific identification method, were as follows:</w:t>
      </w:r>
    </w:p>
    <w:p>
      <w:pPr>
        <w:pStyle w:val="TextBody"/>
        <w:bidi w:val="0"/>
        <w:jc w:val="left"/>
        <w:rPr/>
      </w:pPr>
      <w:r>
        <w:rPr/>
        <w:t> </w:t>
      </w:r>
    </w:p>
    <w:tbl>
      <w:tblPr>
        <w:tblW w:w="7161" w:type="dxa"/>
        <w:jc w:val="left"/>
        <w:tblInd w:w="0" w:type="dxa"/>
        <w:tblLayout w:type="fixed"/>
        <w:tblCellMar>
          <w:top w:w="28" w:type="dxa"/>
          <w:left w:w="28" w:type="dxa"/>
          <w:bottom w:w="28" w:type="dxa"/>
          <w:right w:w="28" w:type="dxa"/>
        </w:tblCellMar>
      </w:tblPr>
      <w:tblGrid>
        <w:gridCol w:w="4426"/>
        <w:gridCol w:w="146"/>
        <w:gridCol w:w="233"/>
        <w:gridCol w:w="863"/>
        <w:gridCol w:w="161"/>
        <w:gridCol w:w="161"/>
        <w:gridCol w:w="233"/>
        <w:gridCol w:w="747"/>
        <w:gridCol w:w="19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the sales and maturities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113,487</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Realized gains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Realized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available-for-sale and held-to-maturity securities at March 31, 2025 had contractual maturities in the following periods:</w:t>
      </w:r>
    </w:p>
    <w:p>
      <w:pPr>
        <w:pStyle w:val="TextBody"/>
        <w:bidi w:val="0"/>
        <w:jc w:val="left"/>
        <w:rPr/>
      </w:pPr>
      <w:r>
        <w:rPr/>
        <w:t> </w:t>
      </w:r>
    </w:p>
    <w:tbl>
      <w:tblPr>
        <w:tblW w:w="7524" w:type="dxa"/>
        <w:jc w:val="left"/>
        <w:tblInd w:w="0" w:type="dxa"/>
        <w:tblLayout w:type="fixed"/>
        <w:tblCellMar>
          <w:top w:w="28" w:type="dxa"/>
          <w:left w:w="28" w:type="dxa"/>
          <w:bottom w:w="28" w:type="dxa"/>
          <w:right w:w="28" w:type="dxa"/>
        </w:tblCellMar>
      </w:tblPr>
      <w:tblGrid>
        <w:gridCol w:w="2371"/>
        <w:gridCol w:w="146"/>
        <w:gridCol w:w="211"/>
        <w:gridCol w:w="781"/>
        <w:gridCol w:w="146"/>
        <w:gridCol w:w="146"/>
        <w:gridCol w:w="211"/>
        <w:gridCol w:w="781"/>
        <w:gridCol w:w="146"/>
        <w:gridCol w:w="146"/>
        <w:gridCol w:w="290"/>
        <w:gridCol w:w="581"/>
        <w:gridCol w:w="146"/>
        <w:gridCol w:w="146"/>
        <w:gridCol w:w="294"/>
        <w:gridCol w:w="591"/>
        <w:gridCol w:w="391"/>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Available-for-sale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Held-to-maturity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Within 1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After 1 year through 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235,792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236,880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514,514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516,255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February 2025, the Company entered into an agreement whereby it is committed to provide up to €10.0 million to a partnership, Fountain Healthcare Partners Fund IV, L.P. (“Fountain”), which was created to carry on the business of investing exclusively in companies and businesses engaged in the healthcare, pharmaceutical and life sciences sectors. The Company’s commitment represents approximately 9.2% of the partnership’s total funding, and the Company is accounting for its investment in Fountain under the equity method. As of March 31, 2025, the Company had made payments of, and its investment is equal to, $0.5 million (€0.5 million), which is included within “Other assets” in the accompanying condensed consolidated balance sheets.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6. FAIR VALUE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following table presents information about the Company’s assets and liabilities that are measured at fair value on a recurring basis and indicates the fair value hierarchy and the valuation techniques that the Company utilized to determine such fair value:</w:t>
      </w:r>
    </w:p>
    <w:p>
      <w:pPr>
        <w:pStyle w:val="TextBody"/>
        <w:bidi w:val="0"/>
        <w:jc w:val="left"/>
        <w:rPr/>
      </w:pPr>
      <w:r>
        <w:rPr/>
        <w:t> </w:t>
      </w:r>
    </w:p>
    <w:tbl>
      <w:tblPr>
        <w:tblW w:w="8982" w:type="dxa"/>
        <w:jc w:val="left"/>
        <w:tblInd w:w="0" w:type="dxa"/>
        <w:tblLayout w:type="fixed"/>
        <w:tblCellMar>
          <w:top w:w="28" w:type="dxa"/>
          <w:left w:w="28" w:type="dxa"/>
          <w:bottom w:w="28" w:type="dxa"/>
          <w:right w:w="28" w:type="dxa"/>
        </w:tblCellMar>
      </w:tblPr>
      <w:tblGrid>
        <w:gridCol w:w="3861"/>
        <w:gridCol w:w="146"/>
        <w:gridCol w:w="211"/>
        <w:gridCol w:w="781"/>
        <w:gridCol w:w="146"/>
        <w:gridCol w:w="146"/>
        <w:gridCol w:w="211"/>
        <w:gridCol w:w="781"/>
        <w:gridCol w:w="146"/>
        <w:gridCol w:w="146"/>
        <w:gridCol w:w="211"/>
        <w:gridCol w:w="781"/>
        <w:gridCol w:w="146"/>
        <w:gridCol w:w="146"/>
        <w:gridCol w:w="211"/>
        <w:gridCol w:w="421"/>
        <w:gridCol w:w="491"/>
      </w:tblGrid>
      <w:tr>
        <w:trPr/>
        <w:tc>
          <w:tcPr>
            <w:tcW w:w="3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and agency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86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546,500</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264,818</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281,182</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4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083" w:type="dxa"/>
        <w:jc w:val="left"/>
        <w:tblInd w:w="0" w:type="dxa"/>
        <w:tblLayout w:type="fixed"/>
        <w:tblCellMar>
          <w:top w:w="28" w:type="dxa"/>
          <w:left w:w="28" w:type="dxa"/>
          <w:bottom w:w="28" w:type="dxa"/>
          <w:right w:w="28" w:type="dxa"/>
        </w:tblCellMar>
      </w:tblPr>
      <w:tblGrid>
        <w:gridCol w:w="3861"/>
        <w:gridCol w:w="146"/>
        <w:gridCol w:w="233"/>
        <w:gridCol w:w="862"/>
        <w:gridCol w:w="146"/>
        <w:gridCol w:w="146"/>
        <w:gridCol w:w="211"/>
        <w:gridCol w:w="781"/>
        <w:gridCol w:w="146"/>
        <w:gridCol w:w="146"/>
        <w:gridCol w:w="211"/>
        <w:gridCol w:w="781"/>
        <w:gridCol w:w="146"/>
        <w:gridCol w:w="146"/>
        <w:gridCol w:w="239"/>
        <w:gridCol w:w="391"/>
        <w:gridCol w:w="491"/>
      </w:tblGrid>
      <w:tr>
        <w:trPr/>
        <w:tc>
          <w:tcPr>
            <w:tcW w:w="3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and agency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315,882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86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541,913</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273,478</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268,435</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transfers its financial assets and liabilities, measured at fair value on a recurring basis, between the fair value hierarchies at the end of each reporting period.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(Unaudited) (Continued)</w:t>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There were no transfers of any securities between levels during the three months ended March 31, 2025. The following table is a rollforward of the fair value of the Company’s assets with fair values that were determined using Level 3 inputs at March 31, 2025: </w:t>
      </w:r>
    </w:p>
    <w:p>
      <w:pPr>
        <w:pStyle w:val="TextBody"/>
        <w:bidi w:val="0"/>
        <w:jc w:val="left"/>
        <w:rPr/>
      </w:pPr>
      <w:r>
        <w:rPr/>
        <w:t> </w:t>
      </w:r>
    </w:p>
    <w:tbl>
      <w:tblPr>
        <w:tblW w:w="4578" w:type="dxa"/>
        <w:jc w:val="left"/>
        <w:tblInd w:w="0" w:type="dxa"/>
        <w:tblLayout w:type="fixed"/>
        <w:tblCellMar>
          <w:top w:w="28" w:type="dxa"/>
          <w:left w:w="28" w:type="dxa"/>
          <w:bottom w:w="28" w:type="dxa"/>
          <w:right w:w="28" w:type="dxa"/>
        </w:tblCellMar>
      </w:tblPr>
      <w:tblGrid>
        <w:gridCol w:w="3156"/>
        <w:gridCol w:w="146"/>
        <w:gridCol w:w="295"/>
        <w:gridCol w:w="590"/>
        <w:gridCol w:w="391"/>
      </w:tblGrid>
      <w:tr>
        <w:trPr/>
        <w:tc>
          <w:tcPr>
            <w:tcW w:w="3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corporate debt security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3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investments classified as Level 2 within the fair value hierarchy were initially valued at the transaction price and subsequently valued, at the end of each reporting period, utilizing market-observable data. The market-observable data included reportable trades, benchmark yields, credit spreads, broker/dealer quotes, bids, offers, current spot rates and other industry and economic events. The Company validated the prices developed using the market-observable data by obtaining market values from other pricing sources, analyzing pricing data in certain instances and confirming that the relevant markets are active.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carrying amounts reflected in the accompanying condensed consolidated balance sheets for cash and cash equivalents, accounts receivable, contract assets, other current assets, accounts payable and accrued expenses, sales discounts, allowances and reserves approximate fair value due to their short-term nature.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7. INVENTORY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Inventory is stated at the lower of cost and net realizable value. Cost is determined using the first-in, first-out method. Inventory consists of the following:</w:t>
      </w:r>
    </w:p>
    <w:p>
      <w:pPr>
        <w:pStyle w:val="TextBody"/>
        <w:bidi w:val="0"/>
        <w:jc w:val="left"/>
        <w:rPr/>
      </w:pPr>
      <w:r>
        <w:rPr/>
        <w:t> </w:t>
      </w:r>
    </w:p>
    <w:tbl>
      <w:tblPr>
        <w:tblW w:w="4512" w:type="dxa"/>
        <w:jc w:val="left"/>
        <w:tblInd w:w="0" w:type="dxa"/>
        <w:tblLayout w:type="fixed"/>
        <w:tblCellMar>
          <w:top w:w="28" w:type="dxa"/>
          <w:left w:w="28" w:type="dxa"/>
          <w:bottom w:w="28" w:type="dxa"/>
          <w:right w:w="28" w:type="dxa"/>
        </w:tblCellMar>
      </w:tblPr>
      <w:tblGrid>
        <w:gridCol w:w="1596"/>
        <w:gridCol w:w="146"/>
        <w:gridCol w:w="211"/>
        <w:gridCol w:w="781"/>
        <w:gridCol w:w="146"/>
        <w:gridCol w:w="146"/>
        <w:gridCol w:w="233"/>
        <w:gridCol w:w="862"/>
        <w:gridCol w:w="391"/>
      </w:tblGrid>
      <w:tr>
        <w:trPr/>
        <w:tc>
          <w:tcPr>
            <w:tcW w:w="1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72,139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79,871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Finished goods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182,887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8" w:space="1" w:color="000000"/>
        </w:pBdr>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rFonts w:ascii="Times New Roman" w:hAnsi="Times New Roman"/>
          <w:sz w:val="20"/>
        </w:rPr>
      </w:pPr>
      <w:r>
        <w:rPr>
          <w:rFonts w:ascii="Times New Roman" w:hAnsi="Times New Roman"/>
          <w:color w:val="000000"/>
          <w:sz w:val="16"/>
        </w:rPr>
        <w:t>At March 31, 2025 and December 31, 2024, the Company had $27.5</w:t>
      </w:r>
      <w:r>
        <w:rPr>
          <w:rFonts w:ascii="Times New Roman" w:hAnsi="Times New Roman"/>
          <w:color w:val="000000"/>
          <w:sz w:val="20"/>
        </w:rPr>
        <w:t xml:space="preserve"> </w:t>
      </w:r>
      <w:r>
        <w:rPr>
          <w:rFonts w:ascii="Times New Roman" w:hAnsi="Times New Roman"/>
          <w:color w:val="000000"/>
          <w:sz w:val="16"/>
        </w:rPr>
        <w:t>million and $22.7</w:t>
      </w:r>
      <w:r>
        <w:rPr>
          <w:rFonts w:ascii="Times New Roman" w:hAnsi="Times New Roman"/>
          <w:color w:val="000000"/>
          <w:sz w:val="20"/>
        </w:rPr>
        <w:t xml:space="preserve"> </w:t>
      </w:r>
      <w:r>
        <w:rPr>
          <w:rFonts w:ascii="Times New Roman" w:hAnsi="Times New Roman"/>
          <w:color w:val="000000"/>
          <w:sz w:val="16"/>
        </w:rPr>
        <w:t>million, respectively, of finished goods inventory located at its third-party warehouse and shipping service provider.</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8. PROPERTY, PLANT AND EQUIPMENT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Property, plant and equipment consist of the following:</w:t>
      </w:r>
    </w:p>
    <w:p>
      <w:pPr>
        <w:pStyle w:val="TextBody"/>
        <w:bidi w:val="0"/>
        <w:jc w:val="left"/>
        <w:rPr/>
      </w:pPr>
      <w:r>
        <w:rPr/>
        <w:t> </w:t>
      </w:r>
    </w:p>
    <w:tbl>
      <w:tblPr>
        <w:tblW w:w="6622" w:type="dxa"/>
        <w:jc w:val="left"/>
        <w:tblInd w:w="0" w:type="dxa"/>
        <w:tblLayout w:type="fixed"/>
        <w:tblCellMar>
          <w:top w:w="28" w:type="dxa"/>
          <w:left w:w="28" w:type="dxa"/>
          <w:bottom w:w="28" w:type="dxa"/>
          <w:right w:w="28" w:type="dxa"/>
        </w:tblCellMar>
      </w:tblPr>
      <w:tblGrid>
        <w:gridCol w:w="3606"/>
        <w:gridCol w:w="146"/>
        <w:gridCol w:w="211"/>
        <w:gridCol w:w="841"/>
        <w:gridCol w:w="166"/>
        <w:gridCol w:w="146"/>
        <w:gridCol w:w="219"/>
        <w:gridCol w:w="876"/>
        <w:gridCol w:w="411"/>
      </w:tblGrid>
      <w:tr>
        <w:trPr/>
        <w:tc>
          <w:tcPr>
            <w:tcW w:w="3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 and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134,699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fixtures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255,868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244,113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42,416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58,391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480,576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(260,414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(253,012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233,920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227,564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(Unaudited) (Continued)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9. LEASES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Future lease payments under non-cancelable leases at March 31, 2025 consist of the following:</w:t>
      </w:r>
    </w:p>
    <w:p>
      <w:pPr>
        <w:pStyle w:val="TextBody"/>
        <w:bidi w:val="0"/>
        <w:jc w:val="left"/>
        <w:rPr/>
      </w:pPr>
      <w:r>
        <w:rPr/>
        <w:t> </w:t>
      </w:r>
    </w:p>
    <w:tbl>
      <w:tblPr>
        <w:tblW w:w="4940" w:type="dxa"/>
        <w:jc w:val="left"/>
        <w:tblInd w:w="0" w:type="dxa"/>
        <w:tblLayout w:type="fixed"/>
        <w:tblCellMar>
          <w:top w:w="28" w:type="dxa"/>
          <w:left w:w="28" w:type="dxa"/>
          <w:bottom w:w="28" w:type="dxa"/>
          <w:right w:w="28" w:type="dxa"/>
        </w:tblCellMar>
      </w:tblPr>
      <w:tblGrid>
        <w:gridCol w:w="3056"/>
        <w:gridCol w:w="146"/>
        <w:gridCol w:w="211"/>
        <w:gridCol w:w="736"/>
        <w:gridCol w:w="791"/>
      </w:tblGrid>
      <w:tr>
        <w:trPr/>
        <w:tc>
          <w:tcPr>
            <w:tcW w:w="3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59,695</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96,754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05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(22,652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74,102</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March 31, 2025, the weighted average incremental borrowing rate and the weighted average remaining lease term for all operating leases held by the Company were 3.9% and 6.8 years, respectively. Cash paid for lease liabilities was $2.5 million during each of the three months ended March 31, 2025 and 2024. The Company recorded operating lease expense from continuing operations of $1.8 million during each of the three months ended March 31, 2025 and 2024.</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10. ACCOUNTS PAYABLE AND ACCRUED EXPENSES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Accounts payable and accrued expenses consist of the following: </w:t>
      </w:r>
    </w:p>
    <w:p>
      <w:pPr>
        <w:pStyle w:val="TextBody"/>
        <w:bidi w:val="0"/>
        <w:jc w:val="left"/>
        <w:rPr/>
      </w:pPr>
      <w:r>
        <w:rPr/>
        <w:t> </w:t>
      </w:r>
    </w:p>
    <w:tbl>
      <w:tblPr>
        <w:tblW w:w="6927" w:type="dxa"/>
        <w:jc w:val="left"/>
        <w:tblInd w:w="0" w:type="dxa"/>
        <w:tblLayout w:type="fixed"/>
        <w:tblCellMar>
          <w:top w:w="28" w:type="dxa"/>
          <w:left w:w="28" w:type="dxa"/>
          <w:bottom w:w="28" w:type="dxa"/>
          <w:right w:w="28" w:type="dxa"/>
        </w:tblCellMar>
      </w:tblPr>
      <w:tblGrid>
        <w:gridCol w:w="4011"/>
        <w:gridCol w:w="146"/>
        <w:gridCol w:w="211"/>
        <w:gridCol w:w="781"/>
        <w:gridCol w:w="146"/>
        <w:gridCol w:w="146"/>
        <w:gridCol w:w="233"/>
        <w:gridCol w:w="862"/>
        <w:gridCol w:w="391"/>
      </w:tblGrid>
      <w:tr>
        <w:trPr/>
        <w:tc>
          <w:tcPr>
            <w:tcW w:w="4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45,630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70,960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68,742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185,332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summary of the Company’s current provision for sales discounts, allowances and reserves was as follows:</w:t>
      </w:r>
    </w:p>
    <w:p>
      <w:pPr>
        <w:pStyle w:val="TextBody"/>
        <w:bidi w:val="0"/>
        <w:jc w:val="left"/>
        <w:rPr/>
      </w:pPr>
      <w:r>
        <w:rPr/>
        <w:t> </w:t>
      </w:r>
    </w:p>
    <w:tbl>
      <w:tblPr>
        <w:tblW w:w="7632" w:type="dxa"/>
        <w:jc w:val="left"/>
        <w:tblInd w:w="0" w:type="dxa"/>
        <w:tblLayout w:type="fixed"/>
        <w:tblCellMar>
          <w:top w:w="28" w:type="dxa"/>
          <w:left w:w="28" w:type="dxa"/>
          <w:bottom w:w="28" w:type="dxa"/>
          <w:right w:w="28" w:type="dxa"/>
        </w:tblCellMar>
      </w:tblPr>
      <w:tblGrid>
        <w:gridCol w:w="4716"/>
        <w:gridCol w:w="146"/>
        <w:gridCol w:w="211"/>
        <w:gridCol w:w="781"/>
        <w:gridCol w:w="146"/>
        <w:gridCol w:w="146"/>
        <w:gridCol w:w="233"/>
        <w:gridCol w:w="862"/>
        <w:gridCol w:w="391"/>
      </w:tblGrid>
      <w:tr>
        <w:trPr/>
        <w:tc>
          <w:tcPr>
            <w:tcW w:w="4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Medicaid rebates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202,044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discounts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Medicare Part 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sales discounts, allowances and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249,795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272,452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Included in accounts payable was approximately $19.9 million and $11.4 million of amounts payable related to state U.S. Medicaid rebates as of March 31, 2025 and December 31, 2024, respectively.</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11. SHAREHOLDERS’ EQUITY</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In February 2024, the Company announced approval by its board of directors of a share repurchase program authorizing the Company to repurchase its ordinary shares in an aggregate amount of up to $400.0 million (exclusive of any fees, commissions or other expenses related to such repurchases) from time to time (the “Repurchase Program”), with the specific timing and amounts of repurchases under the Repurchase Program dependent on a variety of factors, including but not limited to ongoing assessments of the Company’s needs, alternative investment opportunities, the market price of its ordinary shares and general market conditions. The Repurchase Program has no set expiration date and may be suspended or discontinued at any time. During the three months ended March 31, 2025, the Company did not repurchase any of its ordinary shares under the Repurchase Program. As of March 31, 2025, the remaining amount authorized under the Repurchase Program was $200.0 million.</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(Unaudited) (Continued)</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12. SHARE-BASED COMPENSATION</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The following table presents share-based compensation expense included in the accompanying condensed consolidated statements of operations and comprehensive income:</w:t>
      </w:r>
    </w:p>
    <w:p>
      <w:pPr>
        <w:pStyle w:val="TextBody"/>
        <w:bidi w:val="0"/>
        <w:jc w:val="left"/>
        <w:rPr/>
      </w:pPr>
      <w:r>
        <w:rPr/>
        <w:t> </w:t>
      </w:r>
    </w:p>
    <w:tbl>
      <w:tblPr>
        <w:tblW w:w="5839" w:type="dxa"/>
        <w:jc w:val="left"/>
        <w:tblInd w:w="0" w:type="dxa"/>
        <w:tblLayout w:type="fixed"/>
        <w:tblCellMar>
          <w:top w:w="28" w:type="dxa"/>
          <w:left w:w="28" w:type="dxa"/>
          <w:bottom w:w="28" w:type="dxa"/>
          <w:right w:w="28" w:type="dxa"/>
        </w:tblCellMar>
      </w:tblPr>
      <w:tblGrid>
        <w:gridCol w:w="3436"/>
        <w:gridCol w:w="146"/>
        <w:gridCol w:w="211"/>
        <w:gridCol w:w="676"/>
        <w:gridCol w:w="146"/>
        <w:gridCol w:w="146"/>
        <w:gridCol w:w="211"/>
        <w:gridCol w:w="676"/>
        <w:gridCol w:w="19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manufactured and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March 31, 2025 and December 31, 2024, $3.2 million and $3.1 million, respectively, of share-based compensation expense was capitalized and recorded as “Inventory” in the accompanying condensed consolidated balance sheets.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During the three months ended March 31, 2024, the Company recognized share-based compensation expense related to certain performance-based restricted stock unit awards that were granted during 2021. As of December 2023, the financial performance criteria for these awards were deemed not probable of being achieved; however, in February 2024, the compensation committee of the Company’s board of directors determined that the Company partially achieved the financial performance criteria. This was considered an accounting modification in accordance with FASB ASC 718, </w:t>
      </w:r>
      <w:r>
        <w:rPr>
          <w:rFonts w:ascii="Times New Roman" w:hAnsi="Times New Roman"/>
          <w:i/>
          <w:color w:val="000000"/>
          <w:sz w:val="20"/>
        </w:rPr>
        <w:t xml:space="preserve">Compensation—Stock Compensation </w:t>
      </w:r>
      <w:r>
        <w:rPr>
          <w:rFonts w:ascii="Times New Roman" w:hAnsi="Times New Roman"/>
          <w:color w:val="000000"/>
          <w:sz w:val="20"/>
        </w:rPr>
        <w:t xml:space="preserve">and resulted in a modification charge of approximately $6.8 million. In February 2024, the compensation committee of the Company’s board of directors also determined that the Company achieved the pipeline performance criteria for these awards, resulting in a $2.6 million incremental share-based compensation expense, as it was deemed such pipeline performance criteria had been met.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13. EARNINGS (LOSS) PER ORDINARY SHARE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Basic earnings per ordinary share from continuing operations is calculated based upon net income from continuing operations available to holders of ordinary shares divided by the weighted average number of ordinary shares outstanding. Basic loss per ordinary share from discontinued operations is calculated based upon net loss from discontinued operations available to holders of ordinary shares, divided by the weighted average number of ordinary shares outstanding. For the calculation of diluted earnings (loss) per ordinary share from continuing operations and discontinuing operations, the Company utilizes the treasury stock method and adjusts the weighted average number of ordinary shares outstanding for the potential dilutive effect of outstanding ordinary share equivalents such as stock options and restricted stock unit awards.</w:t>
      </w:r>
    </w:p>
    <w:p>
      <w:pPr>
        <w:pStyle w:val="TextBody"/>
        <w:bidi w:val="0"/>
        <w:jc w:val="left"/>
        <w:rPr/>
      </w:pPr>
      <w:r>
        <w:rPr/>
        <w:t> </w:t>
      </w:r>
    </w:p>
    <w:tbl>
      <w:tblPr>
        <w:tblW w:w="8614" w:type="dxa"/>
        <w:jc w:val="left"/>
        <w:tblInd w:w="0" w:type="dxa"/>
        <w:tblLayout w:type="fixed"/>
        <w:tblCellMar>
          <w:top w:w="28" w:type="dxa"/>
          <w:left w:w="28" w:type="dxa"/>
          <w:bottom w:w="28" w:type="dxa"/>
          <w:right w:w="28" w:type="dxa"/>
        </w:tblCellMar>
      </w:tblPr>
      <w:tblGrid>
        <w:gridCol w:w="5101"/>
        <w:gridCol w:w="146"/>
        <w:gridCol w:w="211"/>
        <w:gridCol w:w="781"/>
        <w:gridCol w:w="446"/>
        <w:gridCol w:w="446"/>
        <w:gridCol w:w="211"/>
        <w:gridCol w:w="781"/>
        <w:gridCol w:w="491"/>
      </w:tblGrid>
      <w:tr>
        <w:trPr/>
        <w:tc>
          <w:tcPr>
            <w:tcW w:w="5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22,464</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38,948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from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22,464</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36,828</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ordinary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163,407</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167,984</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dilutive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stock unit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2,937</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3,263</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Dilutive ordinary share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5,330</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4,997</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used in calculating diluted earnings per ordinary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168,737</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172,981</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(Unaudited) (Continued)</w:t>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following potential ordinary share equivalents were not included in the net earnings (loss) per ordinary share calculation because the effect would have been anti-dilutive:</w:t>
      </w:r>
    </w:p>
    <w:p>
      <w:pPr>
        <w:pStyle w:val="TextBody"/>
        <w:bidi w:val="0"/>
        <w:jc w:val="left"/>
        <w:rPr/>
      </w:pPr>
      <w:r>
        <w:rPr/>
        <w:t> </w:t>
      </w:r>
    </w:p>
    <w:tbl>
      <w:tblPr>
        <w:tblW w:w="4769" w:type="dxa"/>
        <w:jc w:val="left"/>
        <w:tblInd w:w="0" w:type="dxa"/>
        <w:tblLayout w:type="fixed"/>
        <w:tblCellMar>
          <w:top w:w="28" w:type="dxa"/>
          <w:left w:w="28" w:type="dxa"/>
          <w:bottom w:w="28" w:type="dxa"/>
          <w:right w:w="28" w:type="dxa"/>
        </w:tblCellMar>
      </w:tblPr>
      <w:tblGrid>
        <w:gridCol w:w="2401"/>
        <w:gridCol w:w="146"/>
        <w:gridCol w:w="146"/>
        <w:gridCol w:w="571"/>
        <w:gridCol w:w="146"/>
        <w:gridCol w:w="146"/>
        <w:gridCol w:w="146"/>
        <w:gridCol w:w="676"/>
        <w:gridCol w:w="39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14. INCOME TAXES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recognizes income taxes under the asset and liability method. Deferred income taxes are recognized for differences between the financial reporting and tax bases of assets and liabilities at enacted statutory tax rates in effect for the years in which the differences are expected to reverse. The effect on deferred taxes of a change in tax rates is recognized in income in the period that includes the enactment date. In determining future taxable income, the Company is responsible for assumptions that it utilizes, including the amount of Irish and non-Irish pre-tax operating income, the reversal of temporary differences and the implementation of feasible and prudent tax planning strategies. These assumptions require significant judgment about the forecasts of future taxable income and are consistent with the plans and estimates that the Company uses to manage the underlying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recorded income tax provisions of $3.0 million and $8.0 million during the three months ended March 31, 2025 and 2024, respectively. The income tax provisions during these periods were primarily attributable to taxes on income earned in Ireland.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effective tax rate during the three months ended March 31, 2025 and 2024 was 11.9% and 17.0%, respectively. The decrease in the effective tax rate was primarily due to an increase in windfall benefits from employee equity activity. The effective tax rate during the three months ended March 31, 2024 exceeded the Irish statutory tax rate of 12.5%, primarily due to non-deductible expenses relating to share-based compensation and income that was taxable at rates higher than the Irish statutory tax rate.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15. SEGMENT REPORTING</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Following the adoption of ASU 2023-07, the Company is required to disclose significant segment expenses that are regularly provided to the CODM. The Company’s CODM is periodically provided R&amp;D expenses, selling and marketing expenses, and general and administrative expenses. Other external R&amp;D expenses are composed of general research and development expenses and other external projects. Other internal R&amp;D expenses include allocation expenses, travel expenses, and fees, taxes and dues.</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(Unaudited) (Continued)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significant segment expenses are as follows:</w:t>
      </w:r>
    </w:p>
    <w:tbl>
      <w:tblPr>
        <w:tblW w:w="10205" w:type="dxa"/>
        <w:jc w:val="left"/>
        <w:tblInd w:w="0" w:type="dxa"/>
        <w:tblLayout w:type="fixed"/>
        <w:tblCellMar>
          <w:top w:w="28" w:type="dxa"/>
          <w:left w:w="28" w:type="dxa"/>
          <w:bottom w:w="28" w:type="dxa"/>
          <w:right w:w="28" w:type="dxa"/>
        </w:tblCellMar>
      </w:tblPr>
      <w:tblGrid>
        <w:gridCol w:w="4992"/>
        <w:gridCol w:w="1146"/>
        <w:gridCol w:w="211"/>
        <w:gridCol w:w="781"/>
        <w:gridCol w:w="446"/>
        <w:gridCol w:w="446"/>
        <w:gridCol w:w="211"/>
        <w:gridCol w:w="781"/>
        <w:gridCol w:w="1191"/>
      </w:tblGrid>
      <w:tr>
        <w:trPr/>
        <w:tc>
          <w:tcPr>
            <w:tcW w:w="499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r>
      <w:tr>
        <w:trPr/>
        <w:tc>
          <w:tcPr>
            <w:tcW w:w="49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center"/>
              <w:rPr/>
            </w:pPr>
            <w:r>
              <w:rPr/>
              <w:t> </w:t>
            </w:r>
          </w:p>
        </w:tc>
      </w:tr>
      <w:tr>
        <w:trPr/>
        <w:tc>
          <w:tcPr>
            <w:tcW w:w="499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revenue</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306,510</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350,372</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99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Cost of goods manufactured and sold (exclusive of amortization of acquired intangible assets shown below)</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49,197</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58,644</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99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External R&amp;D expenses:</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499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Development programs:</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right"/>
              <w:rPr/>
            </w:pPr>
            <w:r>
              <w:rPr/>
              <w:t> </w:t>
            </w:r>
          </w:p>
        </w:tc>
      </w:tr>
      <w:tr>
        <w:trPr/>
        <w:tc>
          <w:tcPr>
            <w:tcW w:w="4992"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ALKS 2680</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17,854</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10,456</w:t>
            </w:r>
          </w:p>
        </w:tc>
        <w:tc>
          <w:tcPr>
            <w:tcW w:w="1191"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4992"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LYBALVI</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3,852</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5,041</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4992"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Other external R&amp;D expenses</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10,973</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8,789</w:t>
            </w:r>
          </w:p>
        </w:tc>
        <w:tc>
          <w:tcPr>
            <w:tcW w:w="11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0"/>
              <w:jc w:val="left"/>
              <w:rPr/>
            </w:pPr>
            <w:r>
              <w:rPr/>
              <w:t> </w:t>
            </w:r>
          </w:p>
        </w:tc>
      </w:tr>
      <w:tr>
        <w:trPr/>
        <w:tc>
          <w:tcPr>
            <w:tcW w:w="4992"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rFonts w:ascii="Times New Roman" w:hAnsi="Times New Roman"/>
                <w:color w:val="000000"/>
                <w:sz w:val="20"/>
              </w:rPr>
            </w:pPr>
            <w:r>
              <w:rPr>
                <w:rFonts w:ascii="Times New Roman" w:hAnsi="Times New Roman"/>
                <w:color w:val="000000"/>
                <w:sz w:val="20"/>
              </w:rPr>
              <w:t>Total external R&amp;D expenses</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32,679</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24,286</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99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Internal R&amp;D expenses:</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4992"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Employee-related</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31,354</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34,545</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4992"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Occupancy</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3,148</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w:t>
            </w:r>
          </w:p>
        </w:tc>
        <w:tc>
          <w:tcPr>
            <w:tcW w:w="1191"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4992"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Depreciation</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4992"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Other internal R&amp;D expenses</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3,169</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4,304</w:t>
            </w:r>
          </w:p>
        </w:tc>
        <w:tc>
          <w:tcPr>
            <w:tcW w:w="11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0"/>
              <w:jc w:val="left"/>
              <w:rPr/>
            </w:pPr>
            <w:r>
              <w:rPr/>
              <w:t> </w:t>
            </w:r>
          </w:p>
        </w:tc>
      </w:tr>
      <w:tr>
        <w:trPr/>
        <w:tc>
          <w:tcPr>
            <w:tcW w:w="4992"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rFonts w:ascii="Times New Roman" w:hAnsi="Times New Roman"/>
                <w:color w:val="000000"/>
                <w:sz w:val="20"/>
              </w:rPr>
            </w:pPr>
            <w:r>
              <w:rPr>
                <w:rFonts w:ascii="Times New Roman" w:hAnsi="Times New Roman"/>
                <w:color w:val="000000"/>
                <w:sz w:val="20"/>
              </w:rPr>
              <w:t>Total internal R&amp;D expenses</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39,138</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43,325</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0"/>
              <w:jc w:val="left"/>
              <w:rPr/>
            </w:pPr>
            <w:r>
              <w:rPr/>
              <w:t> </w:t>
            </w:r>
          </w:p>
        </w:tc>
      </w:tr>
      <w:tr>
        <w:trPr/>
        <w:tc>
          <w:tcPr>
            <w:tcW w:w="4992"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rFonts w:ascii="Times New Roman" w:hAnsi="Times New Roman"/>
                <w:color w:val="000000"/>
                <w:sz w:val="20"/>
              </w:rPr>
            </w:pPr>
            <w:r>
              <w:rPr>
                <w:rFonts w:ascii="Times New Roman" w:hAnsi="Times New Roman"/>
                <w:color w:val="000000"/>
                <w:sz w:val="20"/>
              </w:rPr>
              <w:t>R&amp;D expenses</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71,817</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67,611</w:t>
            </w:r>
          </w:p>
        </w:tc>
        <w:tc>
          <w:tcPr>
            <w:tcW w:w="11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99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right"/>
              <w:rPr/>
            </w:pPr>
            <w:r>
              <w:rPr/>
              <w:t> </w:t>
            </w:r>
          </w:p>
        </w:tc>
      </w:tr>
      <w:tr>
        <w:trPr/>
        <w:tc>
          <w:tcPr>
            <w:tcW w:w="499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Selling and marketing expense</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122,934</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125,617</w:t>
            </w:r>
          </w:p>
        </w:tc>
        <w:tc>
          <w:tcPr>
            <w:tcW w:w="11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499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General and administrative expense</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48,770</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54,132</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0"/>
              <w:jc w:val="left"/>
              <w:rPr/>
            </w:pPr>
            <w:r>
              <w:rPr/>
              <w:t> </w:t>
            </w:r>
          </w:p>
        </w:tc>
      </w:tr>
      <w:tr>
        <w:trPr/>
        <w:tc>
          <w:tcPr>
            <w:tcW w:w="4992"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rFonts w:ascii="Times New Roman" w:hAnsi="Times New Roman"/>
                <w:color w:val="000000"/>
                <w:sz w:val="20"/>
              </w:rPr>
            </w:pPr>
            <w:r>
              <w:rPr>
                <w:rFonts w:ascii="Times New Roman" w:hAnsi="Times New Roman"/>
                <w:color w:val="000000"/>
                <w:sz w:val="20"/>
              </w:rPr>
              <w:t>Total selling, general and administrative expense</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171,704</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179,749</w:t>
            </w:r>
          </w:p>
        </w:tc>
        <w:tc>
          <w:tcPr>
            <w:tcW w:w="11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99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Other segment income (expenses)</w:t>
            </w:r>
            <w:r>
              <w:rPr>
                <w:rFonts w:ascii="Times New Roman" w:hAnsi="Times New Roman"/>
                <w:color w:val="000000"/>
                <w:sz w:val="13"/>
              </w:rPr>
              <w:t>(1)</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8,672</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(5,420</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FROM CONTINUING OPERATIONS</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22,464</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38,948</w:t>
            </w:r>
          </w:p>
        </w:tc>
        <w:tc>
          <w:tcPr>
            <w:tcW w:w="1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DISCONTINUED OPERATIONS, NET OF TAX</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22,464</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36,828</w:t>
            </w:r>
          </w:p>
        </w:tc>
        <w:tc>
          <w:tcPr>
            <w:tcW w:w="1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8" w:space="1" w:color="000000"/>
        </w:pBdr>
        <w:bidi w:val="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left"/>
        <w:rPr>
          <w:color w:val="000000"/>
        </w:rPr>
      </w:pPr>
      <w:r>
        <w:rPr>
          <w:color w:val="000000"/>
        </w:rPr>
        <w:t>“</w:t>
      </w:r>
      <w:r>
        <w:rPr>
          <w:rFonts w:ascii="Times New Roman" w:hAnsi="Times New Roman"/>
          <w:color w:val="000000"/>
          <w:sz w:val="16"/>
        </w:rPr>
        <w:t xml:space="preserve">Other segment income (expenses)” during the three months ended March 31, 2025 and 2024, includes “Amortization of acquired intangible assets”, “Other income, net” and “Income tax provision”.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16. COMMITMENTS AND CONTINGENT LIABILITIES</w:t>
      </w:r>
    </w:p>
    <w:p>
      <w:pPr>
        <w:pStyle w:val="TextBody"/>
        <w:bidi w:val="0"/>
        <w:spacing w:before="100" w:after="283"/>
        <w:jc w:val="left"/>
        <w:rPr>
          <w:rFonts w:ascii="Times New Roman" w:hAnsi="Times New Roman"/>
          <w:i/>
          <w:color w:val="000000"/>
          <w:sz w:val="20"/>
        </w:rPr>
      </w:pPr>
      <w:r>
        <w:rPr>
          <w:rFonts w:ascii="Times New Roman" w:hAnsi="Times New Roman"/>
          <w:i/>
          <w:color w:val="000000"/>
          <w:sz w:val="20"/>
        </w:rPr>
        <w:t>Litigation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From time to time, the Company may be subject to legal proceedings and claims in the ordinary course of business. On a quarterly basis, the Company reviews the status of each significant matter and assesses its potential financial exposure. If the potential loss from any claim, asserted or unasserted, or legal proceeding is considered probable and the amount can be reasonably estimated, the Company would accrue a liability for the estimated loss. Because of uncertainties related to claims and litigation, accruals are based on the Company’s best estimates, utilizing all available information. On a periodic basis, as additional information becomes available, or based on specific events such as the outcome of litigation or settlement of claims, the Company may reassess the potential liability related to these matters and may revise these estimates, which could result in material adverse adjustments to the Company’s operating results. At March 31, 2025, there were no potential material losses from claims, asserted or unasserted, or legal proceedings that the Company determined were probable of occurring.</w:t>
      </w:r>
    </w:p>
    <w:p>
      <w:pPr>
        <w:pStyle w:val="TextBody"/>
        <w:bidi w:val="0"/>
        <w:spacing w:before="160" w:after="283"/>
        <w:jc w:val="left"/>
        <w:rPr>
          <w:rFonts w:ascii="Times New Roman" w:hAnsi="Times New Roman"/>
          <w:b/>
          <w:color w:val="000000"/>
          <w:sz w:val="20"/>
          <w:u w:val="single"/>
        </w:rPr>
      </w:pPr>
      <w:r>
        <w:rPr>
          <w:rFonts w:ascii="Times New Roman" w:hAnsi="Times New Roman"/>
          <w:b/>
          <w:color w:val="000000"/>
          <w:sz w:val="20"/>
          <w:u w:val="single"/>
        </w:rPr>
        <w:t>INVEGA TRINZA ANDA Litigation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September 2020, Janssen Pharmaceutica, Janssen Pharmaceuticals, Inc., and Janssen Research &amp; Development, LLC initiated a patent infringement lawsuit in the U.S. District Court for the District of New Jersey (the “NJ District Court”) against Mylan Laboratories Limited (“Mylan Labs”) and other Mylan entities following the filing by Mylan Labs of an abbreviated new drug application (“ANDA”) seeking approval from the U.S. Food and Drug Administration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ALKERMES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 (Unaudited) (Continued)</w:t>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(“FDA”) to market a generic version of INVEGA TRINZA before the expiration of U.S. Patent No. 10,143,693 (the “’693 Patent”). Requested judicial remedies include recovery of litigation costs and injunctive relief. In May 2023, the NJ District Court issued an opinion in favor of the Janssen entities on the issues of infringement and validity of the ’693 Patent and the Mylan entities filed a notice of appeal of the decision. On March 28, 2025, the U.S. Court of Appeals for the Federal Circuit (the “Federal Circuit Court”) issued a decision affirming the NJ District Court opinion. The Company is not a party to this proceeding.</w:t>
      </w:r>
    </w:p>
    <w:p>
      <w:pPr>
        <w:pStyle w:val="TextBody"/>
        <w:bidi w:val="0"/>
        <w:spacing w:before="160" w:after="283"/>
        <w:jc w:val="left"/>
        <w:rPr>
          <w:rFonts w:ascii="Times New Roman" w:hAnsi="Times New Roman"/>
          <w:sz w:val="20"/>
        </w:rPr>
      </w:pPr>
      <w:r>
        <w:rPr>
          <w:rFonts w:ascii="Times New Roman" w:hAnsi="Times New Roman"/>
          <w:b/>
          <w:color w:val="000000"/>
          <w:sz w:val="20"/>
          <w:u w:val="single"/>
        </w:rPr>
        <w:t>VUMERITY ANDA Litigation</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July 2023, Biogen Inc., Biogen Swiss Manufacturing GmbH and Alkermes Pharma Ireland Limited filed a patent infringement lawsuit in the U.S. District Court for the District of Delaware against Zydus Worldwide DMCC, Zydus Pharmaceuticals (USA) Inc. and Zydus Lifesciences Limited (collectively, “Zydus”) following the filing by Zydus of an ANDA seeking approval from the FDA to engage in the commercial manufacture, use or sale of a generic version of VUMERITY (diroximel fumarate) delayed-release capsules for oral use, 231 mg, before expiration of the Company’s U.S. Patent Nos. 8,669,281; 9,090,558; and 10,080,733. The filing of the lawsuit triggered a stay of FDA approval of the ANDA for up to 30 months in accordance with the U.S. Drug Price Competition and Patent Term Restoration Act of 1984 (the “Hatch-Waxman Act”). A bench trial is scheduled to begin on July 28, 2025.</w:t>
      </w:r>
    </w:p>
    <w:p>
      <w:pPr>
        <w:pStyle w:val="TextBody"/>
        <w:bidi w:val="0"/>
        <w:spacing w:before="160" w:after="283"/>
        <w:jc w:val="left"/>
        <w:rPr>
          <w:rFonts w:ascii="Times New Roman" w:hAnsi="Times New Roman"/>
          <w:b/>
          <w:color w:val="000000"/>
          <w:sz w:val="20"/>
          <w:u w:val="single"/>
        </w:rPr>
      </w:pPr>
      <w:r>
        <w:rPr>
          <w:rFonts w:ascii="Times New Roman" w:hAnsi="Times New Roman"/>
          <w:b/>
          <w:color w:val="000000"/>
          <w:sz w:val="20"/>
          <w:u w:val="single"/>
        </w:rPr>
        <w:t>Government Matters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has received a subpoena and civil investigative demands from U.S. state and federal governmental authorities for documents related to VIVITROL. The Company is cooperating with the investigations.</w:t>
      </w:r>
    </w:p>
    <w:p>
      <w:pPr>
        <w:pStyle w:val="TextBody"/>
        <w:bidi w:val="0"/>
        <w:spacing w:before="160" w:after="283"/>
        <w:jc w:val="left"/>
        <w:rPr>
          <w:rFonts w:ascii="Times New Roman" w:hAnsi="Times New Roman"/>
          <w:b/>
          <w:color w:val="000000"/>
          <w:sz w:val="20"/>
          <w:u w:val="single"/>
        </w:rPr>
      </w:pPr>
      <w:r>
        <w:rPr>
          <w:rFonts w:ascii="Times New Roman" w:hAnsi="Times New Roman"/>
          <w:b/>
          <w:color w:val="000000"/>
          <w:sz w:val="20"/>
          <w:u w:val="single"/>
        </w:rPr>
        <w:t>Product Liability and Other Legal Proceedings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is involved in litigation and other legal proceedings incidental to its normal business activities, including a product liability case alleging that the FDA-approved VIVITROL labeling was inadequate and that VIVITROL caused the individual to suffer from opioid overdose and death. The Company intends to vigorously defend itself in these matters.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in January 2023, Acorda Therapeutics, Inc. (“Acorda”) filed a petition with the U.S. District Court for the Southern District of New York (the “NY Southern District Court”) asking the court to confirm in part and modify in part the final arbitral award rendered by an arbitration panel in October 2022 and, as part of the requested modification, seeking an additional approximately $66.0 million in damages. In August 2023, the NY Southern District Court confirmed the final arbitral award and declined to modify the final award to increase the damages awarded thereunder. In September 2023, Acorda filed a notice of appeal of the NY Southern District Court decision to the Federal Circuit Court, and the Company filed a motion to transfer the appeal to the U.S. Court of Appeals for the Second Circuit. In January 2024, the Federal Circuit Court denied without prejudice the Company’s motion to transfer the appeal and instructed the parties to brief the jurisdictional question as part of the merits appeal. Briefing in the Federal Circuit Court is complete, and oral argument has been scheduled for June 6, 2025.</w:t>
      </w:r>
    </w:p>
    <w:p>
      <w:pPr>
        <w:pStyle w:val="TextBody"/>
        <w:bidi w:val="0"/>
        <w:spacing w:before="160" w:after="283"/>
        <w:jc w:val="left"/>
        <w:rPr>
          <w:rFonts w:ascii="Times New Roman" w:hAnsi="Times New Roman"/>
          <w:b/>
          <w:color w:val="000000"/>
          <w:sz w:val="20"/>
          <w:u w:val="single"/>
        </w:rPr>
      </w:pPr>
      <w:r>
        <w:rPr>
          <w:rFonts w:ascii="Times New Roman" w:hAnsi="Times New Roman"/>
          <w:b/>
          <w:color w:val="000000"/>
          <w:sz w:val="20"/>
          <w:u w:val="single"/>
        </w:rPr>
        <w:t>Guarantees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connection with the Separation, the Company entered into an assignment and assumption of lease agreement (the “Assignment”) pursuant to which Alkermes, Inc., a wholly owned subsidiary of the Company, assigned to Mural Oncology, Inc. (“Mural US”), a subsidiary of Mural, an operating lease for approximately 180,000 square feet of corporate office space, administrative areas and laboratories located at 852 Winter Street in Waltham, Massachusetts (the “852 Winter Street Lease”), as described in more detail in Note 10, </w:t>
      </w:r>
      <w:r>
        <w:rPr>
          <w:rFonts w:ascii="Times New Roman" w:hAnsi="Times New Roman"/>
          <w:i/>
          <w:color w:val="000000"/>
          <w:sz w:val="20"/>
        </w:rPr>
        <w:t xml:space="preserve">Leases </w:t>
      </w:r>
      <w:r>
        <w:rPr>
          <w:rFonts w:ascii="Times New Roman" w:hAnsi="Times New Roman"/>
          <w:color w:val="000000"/>
          <w:sz w:val="20"/>
        </w:rPr>
        <w:t>in the “Notes to Consolidated Financial Statements” in the Annual Report. Although all of the rights, title and interest in, to and under the 852 Winter Street Lease were transferred to Mural US as of November 15, 2023 pursuant to the Assignment, the Company ratified and reaffirmed for the remainder of the lease term its guarantor obligations in respect of the lease under that certain Guaranty dated as of May 16, 2014. Upon completion of the Separation, the Assignment was accounted for as a termination of the original lease and the Company de-recognized the right-of-use asset and lease liability related to the 852 Winter Street Lease. At March 31, 2025, the fair value of the guarantee was not material to the Company.</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3" w:name="item2_managementsdiscussionandana_02424"/>
      <w:bookmarkEnd w:id="13"/>
      <w:r>
        <w:rPr>
          <w:rFonts w:ascii="Times New Roman" w:hAnsi="Times New Roman"/>
          <w:b/>
          <w:color w:val="000000"/>
          <w:sz w:val="20"/>
        </w:rPr>
        <w:t>Item 2. Management’s Discussion and Analysis of Financial Condition and Results of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discussion should be read in conjunction with the accompanying condensed consolidated financial statements and related notes beginning on page 5 in this Form 10-Q, and “Part II, Item 7—Management’s Discussion and Analysis of Financial Condition and Results of Operations” and the audited financial statements and notes thereto accompanying our Annual Report.</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Executive Summary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income from continuing operations was $22.5 million or $0.14 per ordinary share—basic and $0.13 per ordinary share—diluted, for the three months ended March 31, 2025, compared to net income from continuing operations of $38.9 million or $0.23 per ordinary share—basic and $0.23 per ordinary share—diluted, for the three months ended March 31, 2024.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decrease in net income from continuing operations during the three months ended March 31, 2025, as compared to the three months ended March 31, 2024, was primarily due to a decrease of $54.8 million in manufacturing and royalty revenue, partially offset by an increase of $11.0 million in product sales, net, a decrease of $14.4 million in operating expenses, an increase of $8.0 million in other income, net and a decrease of $4.9 million in income tax provision.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These items are discussed in greater detail later in the “Results of Operations” section in this “Part I, Item 2—Management’s Discussion and Analysis of Financial Condition and Results of Operations” in this Form 10-Q.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Products</w:t>
      </w:r>
    </w:p>
    <w:p>
      <w:pPr>
        <w:pStyle w:val="TextBody"/>
        <w:bidi w:val="0"/>
        <w:spacing w:before="200" w:after="283"/>
        <w:jc w:val="left"/>
        <w:rPr>
          <w:rFonts w:ascii="Times New Roman" w:hAnsi="Times New Roman"/>
          <w:color w:val="000000"/>
          <w:sz w:val="20"/>
          <w:u w:val="single"/>
        </w:rPr>
      </w:pPr>
      <w:r>
        <w:rPr>
          <w:rFonts w:ascii="Times New Roman" w:hAnsi="Times New Roman"/>
          <w:color w:val="000000"/>
          <w:sz w:val="20"/>
          <w:u w:val="single"/>
        </w:rPr>
        <w:t>Marketed Products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key marketed products discussed below have generated, or are expected to generate, significant revenues for us. See the descriptions of the marketed products below and “Part I, Item 1A—Risk Factors” in our Annual Report and “Part II, Item 1A—Risk Factors” in this Form 10-Q for important factors that could adversely affect our marketed products. See the “Patents and Proprietary Rights” section in “Part I, Item 1—Business” in our Annual Report for information with respect to the IP protection for these marketed products.</w:t>
      </w:r>
    </w:p>
    <w:p>
      <w:pPr>
        <w:pStyle w:val="TextBody"/>
        <w:bidi w:val="0"/>
        <w:spacing w:before="20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provides summary information regarding our proprietary products that we commercialize: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Proprietary Products</w:t>
      </w:r>
      <w:r>
        <w:rPr>
          <w:rFonts w:ascii="Times New Roman" w:hAnsi="Times New Roman"/>
          <w:color w:val="000000"/>
          <w:sz w:val="20"/>
        </w:rPr>
        <w:t xml:space="preserve"> </w:t>
      </w:r>
    </w:p>
    <w:p>
      <w:pPr>
        <w:pStyle w:val="TextBody"/>
        <w:bidi w:val="0"/>
        <w:jc w:val="left"/>
        <w:rPr/>
      </w:pPr>
      <w:r>
        <w:rPr/>
        <w:t> </w:t>
      </w:r>
    </w:p>
    <w:tbl>
      <w:tblPr>
        <w:tblW w:w="8731" w:type="dxa"/>
        <w:jc w:val="left"/>
        <w:tblInd w:w="0" w:type="dxa"/>
        <w:tblLayout w:type="fixed"/>
        <w:tblCellMar>
          <w:top w:w="28" w:type="dxa"/>
          <w:left w:w="28" w:type="dxa"/>
          <w:bottom w:w="28" w:type="dxa"/>
          <w:right w:w="28" w:type="dxa"/>
        </w:tblCellMar>
      </w:tblPr>
      <w:tblGrid>
        <w:gridCol w:w="4616"/>
        <w:gridCol w:w="146"/>
        <w:gridCol w:w="2701"/>
        <w:gridCol w:w="146"/>
        <w:gridCol w:w="146"/>
        <w:gridCol w:w="976"/>
      </w:tblGrid>
      <w:tr>
        <w:trPr/>
        <w:tc>
          <w:tcPr>
            <w:tcW w:w="4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46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Product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7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Indication(s)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Territory</w:t>
            </w:r>
          </w:p>
        </w:tc>
      </w:tr>
      <w:tr>
        <w:trPr/>
        <w:tc>
          <w:tcPr>
            <w:tcW w:w="4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01"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616" w:type="dxa"/>
            <w:vMerge w:val="restart"/>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390775" cy="3000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390775" cy="300037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01"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Initiation or re-initiation of </w:t>
            </w:r>
          </w:p>
          <w:p>
            <w:pPr>
              <w:pStyle w:val="TableContents"/>
              <w:bidi w:val="0"/>
              <w:jc w:val="left"/>
              <w:rPr>
                <w:rFonts w:ascii="Times New Roman" w:hAnsi="Times New Roman"/>
                <w:color w:val="000000"/>
                <w:sz w:val="20"/>
              </w:rPr>
            </w:pPr>
            <w:r>
              <w:rPr>
                <w:rFonts w:ascii="Times New Roman" w:hAnsi="Times New Roman"/>
                <w:color w:val="000000"/>
                <w:sz w:val="20"/>
              </w:rPr>
              <w:t xml:space="preserve">ARISTADA for the treatment of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Schizophrenia</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9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U.S.</w:t>
            </w:r>
          </w:p>
        </w:tc>
      </w:tr>
      <w:tr>
        <w:trPr/>
        <w:tc>
          <w:tcPr>
            <w:tcW w:w="4616"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0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Schizophrenia</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97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U.S.</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pPr>
            <w:r>
              <w:rPr/>
              <w:t> </w:t>
            </w:r>
          </w:p>
        </w:tc>
      </w:tr>
      <w:tr>
        <w:trPr/>
        <w:tc>
          <w:tcPr>
            <w:tcW w:w="4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61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2701"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r>
      <w:tr>
        <w:trPr/>
        <w:tc>
          <w:tcPr>
            <w:tcW w:w="461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438400" cy="17716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438400" cy="177165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0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Schizophrenia; </w:t>
            </w:r>
          </w:p>
          <w:p>
            <w:pPr>
              <w:pStyle w:val="TableContents"/>
              <w:bidi w:val="0"/>
              <w:jc w:val="left"/>
              <w:rPr>
                <w:rFonts w:ascii="Times New Roman" w:hAnsi="Times New Roman"/>
                <w:color w:val="000000"/>
                <w:sz w:val="20"/>
              </w:rPr>
            </w:pPr>
            <w:r>
              <w:rPr>
                <w:rFonts w:ascii="Times New Roman" w:hAnsi="Times New Roman"/>
                <w:color w:val="000000"/>
                <w:sz w:val="20"/>
              </w:rPr>
              <w:t xml:space="preserve">Bipolar I disorder </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U.S.</w:t>
            </w:r>
          </w:p>
        </w:tc>
      </w:tr>
      <w:tr>
        <w:trPr/>
        <w:tc>
          <w:tcPr>
            <w:tcW w:w="461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70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61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867025" cy="1276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867025" cy="127635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0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Alcohol dependence;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Opioid dependence</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U.S.</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provides summary information regarding certain key third-party products using our proprietary technologies under license and our key licensed product, that are commercialized by our licensees: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Key Third-Party Products Using Our Proprietary Technologies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03"/>
        <w:gridCol w:w="146"/>
        <w:gridCol w:w="1958"/>
        <w:gridCol w:w="146"/>
        <w:gridCol w:w="4422"/>
        <w:gridCol w:w="146"/>
        <w:gridCol w:w="1384"/>
      </w:tblGrid>
      <w:tr>
        <w:trPr/>
        <w:tc>
          <w:tcPr>
            <w:tcW w:w="200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5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42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384" w:type="dxa"/>
            <w:tcBorders/>
            <w:shd w:fill="FFFFFF" w:val="clear"/>
            <w:vAlign w:val="center"/>
          </w:tcPr>
          <w:p>
            <w:pPr>
              <w:pStyle w:val="TableContents"/>
              <w:bidi w:val="0"/>
              <w:spacing w:before="0" w:after="283"/>
              <w:jc w:val="left"/>
              <w:rPr>
                <w:sz w:val="4"/>
                <w:szCs w:val="4"/>
              </w:rPr>
            </w:pPr>
            <w:r>
              <w:rPr>
                <w:sz w:val="4"/>
                <w:szCs w:val="4"/>
              </w:rPr>
            </w:r>
          </w:p>
        </w:tc>
      </w:tr>
      <w:tr>
        <w:trPr/>
        <w:tc>
          <w:tcPr>
            <w:tcW w:w="200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Product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95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Indication(s)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42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Licensee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38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Licensed Territory</w:t>
            </w:r>
          </w:p>
        </w:tc>
      </w:tr>
      <w:tr>
        <w:trPr/>
        <w:tc>
          <w:tcPr>
            <w:tcW w:w="20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5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8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i/>
                <w:color w:val="70AD47"/>
                <w:sz w:val="20"/>
              </w:rPr>
            </w:pPr>
            <w:r>
              <w:rPr>
                <w:rFonts w:ascii="Times New Roman" w:hAnsi="Times New Roman"/>
                <w:b/>
                <w:i/>
                <w:color w:val="70AD47"/>
                <w:sz w:val="20"/>
              </w:rPr>
              <w:t>INVEGA SUSTENNA / XEPLION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58"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Times New Roman" w:hAnsi="Times New Roman"/>
                <w:i/>
                <w:color w:val="000000"/>
                <w:sz w:val="20"/>
              </w:rPr>
              <w:t>INVEGA SUSTENNA</w:t>
            </w:r>
            <w:r>
              <w:rPr>
                <w:rFonts w:ascii="Times New Roman" w:hAnsi="Times New Roman"/>
                <w:color w:val="000000"/>
                <w:sz w:val="20"/>
              </w:rPr>
              <w:t>:</w:t>
            </w:r>
          </w:p>
          <w:p>
            <w:pPr>
              <w:pStyle w:val="TableContents"/>
              <w:bidi w:val="0"/>
              <w:jc w:val="left"/>
              <w:rPr>
                <w:rFonts w:ascii="Times New Roman" w:hAnsi="Times New Roman"/>
                <w:color w:val="000000"/>
                <w:sz w:val="20"/>
              </w:rPr>
            </w:pPr>
            <w:r>
              <w:rPr>
                <w:rFonts w:ascii="Times New Roman" w:hAnsi="Times New Roman"/>
                <w:color w:val="000000"/>
                <w:sz w:val="20"/>
              </w:rPr>
              <w:t xml:space="preserve">Schizophrenia; Schizoaffective </w:t>
            </w:r>
          </w:p>
          <w:p>
            <w:pPr>
              <w:pStyle w:val="TableContents"/>
              <w:bidi w:val="0"/>
              <w:jc w:val="left"/>
              <w:rPr>
                <w:rFonts w:ascii="Times New Roman" w:hAnsi="Times New Roman"/>
                <w:color w:val="000000"/>
                <w:sz w:val="20"/>
              </w:rPr>
            </w:pPr>
            <w:r>
              <w:rPr>
                <w:rFonts w:ascii="Times New Roman" w:hAnsi="Times New Roman"/>
                <w:color w:val="000000"/>
                <w:sz w:val="20"/>
              </w:rPr>
              <w:t>disorder</w:t>
            </w:r>
          </w:p>
          <w:p>
            <w:pPr>
              <w:pStyle w:val="TableContents"/>
              <w:bidi w:val="0"/>
              <w:jc w:val="left"/>
              <w:rPr/>
            </w:pPr>
            <w:r>
              <w:rPr/>
              <w:t> </w:t>
            </w:r>
          </w:p>
          <w:p>
            <w:pPr>
              <w:pStyle w:val="TableContents"/>
              <w:bidi w:val="0"/>
              <w:jc w:val="left"/>
              <w:rPr>
                <w:rFonts w:ascii="Times New Roman" w:hAnsi="Times New Roman"/>
                <w:sz w:val="20"/>
              </w:rPr>
            </w:pPr>
            <w:r>
              <w:rPr>
                <w:rFonts w:ascii="Times New Roman" w:hAnsi="Times New Roman"/>
                <w:i/>
                <w:color w:val="000000"/>
                <w:sz w:val="20"/>
              </w:rPr>
              <w:t>XEPLION</w:t>
            </w:r>
            <w:r>
              <w:rPr>
                <w:rFonts w:ascii="Times New Roman" w:hAnsi="Times New Roman"/>
                <w:color w:val="000000"/>
                <w:sz w:val="20"/>
              </w:rPr>
              <w:t>:</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Schizophrenia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2"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Janssen Pharmaceutica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(together with Janssen Pharmaceuticals, Inc., Janssen International and their affiliates “Janssen”)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Worldwide</w:t>
            </w:r>
          </w:p>
        </w:tc>
      </w:tr>
      <w:tr>
        <w:trPr/>
        <w:tc>
          <w:tcPr>
            <w:tcW w:w="2003"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b/>
                <w:i/>
                <w:color w:val="70AD47"/>
                <w:sz w:val="20"/>
              </w:rPr>
            </w:pPr>
            <w:r>
              <w:rPr>
                <w:rFonts w:ascii="Times New Roman" w:hAnsi="Times New Roman"/>
                <w:b/>
                <w:i/>
                <w:color w:val="70AD47"/>
                <w:sz w:val="20"/>
              </w:rPr>
              <w:t>INVEGA TRINZA / TREVICTA</w:t>
            </w:r>
          </w:p>
        </w:tc>
        <w:tc>
          <w:tcPr>
            <w:tcW w:w="146" w:type="dxa"/>
            <w:tcBorders/>
            <w:tcMar>
              <w:top w:w="0" w:type="dxa"/>
              <w:left w:w="0" w:type="dxa"/>
              <w:bottom w:w="0" w:type="dxa"/>
              <w:right w:w="0" w:type="dxa"/>
            </w:tcMar>
            <w:vAlign w:val="center"/>
          </w:tcPr>
          <w:p>
            <w:pPr>
              <w:pStyle w:val="TableContents"/>
              <w:bidi w:val="0"/>
              <w:spacing w:before="200" w:after="283"/>
              <w:jc w:val="center"/>
              <w:rPr/>
            </w:pPr>
            <w:r>
              <w:rPr/>
              <w:t> </w:t>
            </w:r>
          </w:p>
        </w:tc>
        <w:tc>
          <w:tcPr>
            <w:tcW w:w="1958"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Schizophrenia</w:t>
            </w:r>
          </w:p>
        </w:tc>
        <w:tc>
          <w:tcPr>
            <w:tcW w:w="146" w:type="dxa"/>
            <w:tcBorders/>
            <w:tcMar>
              <w:top w:w="0" w:type="dxa"/>
              <w:left w:w="0" w:type="dxa"/>
              <w:bottom w:w="0" w:type="dxa"/>
              <w:right w:w="0" w:type="dxa"/>
            </w:tcMar>
            <w:vAlign w:val="center"/>
          </w:tcPr>
          <w:p>
            <w:pPr>
              <w:pStyle w:val="TableContents"/>
              <w:bidi w:val="0"/>
              <w:spacing w:before="200" w:after="283"/>
              <w:jc w:val="left"/>
              <w:rPr/>
            </w:pPr>
            <w:r>
              <w:rPr/>
              <w:t> </w:t>
            </w:r>
          </w:p>
        </w:tc>
        <w:tc>
          <w:tcPr>
            <w:tcW w:w="4422"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Janssen</w:t>
            </w:r>
          </w:p>
        </w:tc>
        <w:tc>
          <w:tcPr>
            <w:tcW w:w="146" w:type="dxa"/>
            <w:tcBorders/>
            <w:tcMar>
              <w:top w:w="0" w:type="dxa"/>
              <w:left w:w="0" w:type="dxa"/>
              <w:bottom w:w="0" w:type="dxa"/>
              <w:right w:w="0" w:type="dxa"/>
            </w:tcMar>
            <w:vAlign w:val="center"/>
          </w:tcPr>
          <w:p>
            <w:pPr>
              <w:pStyle w:val="TableContents"/>
              <w:bidi w:val="0"/>
              <w:spacing w:before="200" w:after="283"/>
              <w:jc w:val="left"/>
              <w:rPr/>
            </w:pPr>
            <w:r>
              <w:rPr/>
              <w:t> </w:t>
            </w:r>
          </w:p>
        </w:tc>
        <w:tc>
          <w:tcPr>
            <w:tcW w:w="1384"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Worldwide</w:t>
            </w:r>
          </w:p>
        </w:tc>
      </w:tr>
      <w:tr>
        <w:trPr/>
        <w:tc>
          <w:tcPr>
            <w:tcW w:w="2003"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b/>
                <w:i/>
                <w:color w:val="70AD47"/>
                <w:sz w:val="20"/>
              </w:rPr>
            </w:pPr>
            <w:r>
              <w:rPr>
                <w:rFonts w:ascii="Times New Roman" w:hAnsi="Times New Roman"/>
                <w:b/>
                <w:i/>
                <w:color w:val="70AD47"/>
                <w:sz w:val="20"/>
              </w:rPr>
              <w:t>INVEGA HAFYERA / BYANNLI</w:t>
            </w:r>
          </w:p>
        </w:tc>
        <w:tc>
          <w:tcPr>
            <w:tcW w:w="146" w:type="dxa"/>
            <w:tcBorders/>
            <w:tcMar>
              <w:top w:w="0" w:type="dxa"/>
              <w:left w:w="0" w:type="dxa"/>
              <w:bottom w:w="0" w:type="dxa"/>
              <w:right w:w="0" w:type="dxa"/>
            </w:tcMar>
            <w:vAlign w:val="center"/>
          </w:tcPr>
          <w:p>
            <w:pPr>
              <w:pStyle w:val="TableContents"/>
              <w:bidi w:val="0"/>
              <w:spacing w:before="200" w:after="283"/>
              <w:jc w:val="center"/>
              <w:rPr/>
            </w:pPr>
            <w:r>
              <w:rPr/>
              <w:t> </w:t>
            </w:r>
          </w:p>
        </w:tc>
        <w:tc>
          <w:tcPr>
            <w:tcW w:w="1958"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Schizophrenia</w:t>
            </w:r>
          </w:p>
        </w:tc>
        <w:tc>
          <w:tcPr>
            <w:tcW w:w="146" w:type="dxa"/>
            <w:tcBorders/>
            <w:tcMar>
              <w:top w:w="0" w:type="dxa"/>
              <w:left w:w="0" w:type="dxa"/>
              <w:bottom w:w="0" w:type="dxa"/>
              <w:right w:w="0" w:type="dxa"/>
            </w:tcMar>
            <w:vAlign w:val="center"/>
          </w:tcPr>
          <w:p>
            <w:pPr>
              <w:pStyle w:val="TableContents"/>
              <w:bidi w:val="0"/>
              <w:spacing w:before="200" w:after="283"/>
              <w:jc w:val="left"/>
              <w:rPr/>
            </w:pPr>
            <w:r>
              <w:rPr/>
              <w:t> </w:t>
            </w:r>
          </w:p>
        </w:tc>
        <w:tc>
          <w:tcPr>
            <w:tcW w:w="4422"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Janssen</w:t>
            </w:r>
          </w:p>
        </w:tc>
        <w:tc>
          <w:tcPr>
            <w:tcW w:w="146" w:type="dxa"/>
            <w:tcBorders/>
            <w:tcMar>
              <w:top w:w="0" w:type="dxa"/>
              <w:left w:w="0" w:type="dxa"/>
              <w:bottom w:w="0" w:type="dxa"/>
              <w:right w:w="0" w:type="dxa"/>
            </w:tcMar>
            <w:vAlign w:val="center"/>
          </w:tcPr>
          <w:p>
            <w:pPr>
              <w:pStyle w:val="TableContents"/>
              <w:bidi w:val="0"/>
              <w:spacing w:before="200" w:after="283"/>
              <w:jc w:val="left"/>
              <w:rPr/>
            </w:pPr>
            <w:r>
              <w:rPr/>
              <w:t> </w:t>
            </w:r>
          </w:p>
        </w:tc>
        <w:tc>
          <w:tcPr>
            <w:tcW w:w="1384"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Worldwide</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Key Licensed Product</w:t>
      </w:r>
    </w:p>
    <w:p>
      <w:pPr>
        <w:pStyle w:val="TextBody"/>
        <w:bidi w:val="0"/>
        <w:jc w:val="left"/>
        <w:rPr/>
      </w:pPr>
      <w:r>
        <w:rPr/>
        <w:t> </w:t>
      </w:r>
    </w:p>
    <w:tbl>
      <w:tblPr>
        <w:tblW w:w="5767" w:type="dxa"/>
        <w:jc w:val="left"/>
        <w:tblInd w:w="0" w:type="dxa"/>
        <w:tblLayout w:type="fixed"/>
        <w:tblCellMar>
          <w:top w:w="28" w:type="dxa"/>
          <w:left w:w="28" w:type="dxa"/>
          <w:bottom w:w="28" w:type="dxa"/>
          <w:right w:w="28" w:type="dxa"/>
        </w:tblCellMar>
      </w:tblPr>
      <w:tblGrid>
        <w:gridCol w:w="1156"/>
        <w:gridCol w:w="146"/>
        <w:gridCol w:w="1561"/>
        <w:gridCol w:w="146"/>
        <w:gridCol w:w="841"/>
        <w:gridCol w:w="146"/>
        <w:gridCol w:w="1771"/>
      </w:tblGrid>
      <w:tr>
        <w:trPr/>
        <w:tc>
          <w:tcPr>
            <w:tcW w:w="11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5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771" w:type="dxa"/>
            <w:tcBorders/>
            <w:shd w:fill="FFFFFF" w:val="clear"/>
            <w:vAlign w:val="center"/>
          </w:tcPr>
          <w:p>
            <w:pPr>
              <w:pStyle w:val="TableContents"/>
              <w:bidi w:val="0"/>
              <w:spacing w:before="0" w:after="283"/>
              <w:jc w:val="left"/>
              <w:rPr>
                <w:sz w:val="4"/>
                <w:szCs w:val="4"/>
              </w:rPr>
            </w:pPr>
            <w:r>
              <w:rPr>
                <w:sz w:val="4"/>
                <w:szCs w:val="4"/>
              </w:rPr>
            </w:r>
          </w:p>
        </w:tc>
      </w:tr>
      <w:tr>
        <w:trPr/>
        <w:tc>
          <w:tcPr>
            <w:tcW w:w="11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Product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Indication(s)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Licensee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7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Licensed Territory</w:t>
            </w:r>
          </w:p>
        </w:tc>
      </w:tr>
      <w:tr>
        <w:trPr/>
        <w:tc>
          <w:tcPr>
            <w:tcW w:w="11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i/>
                <w:color w:val="70AD47"/>
                <w:sz w:val="20"/>
              </w:rPr>
            </w:pPr>
            <w:r>
              <w:rPr>
                <w:rFonts w:ascii="Times New Roman" w:hAnsi="Times New Roman"/>
                <w:b/>
                <w:i/>
                <w:color w:val="70AD47"/>
                <w:sz w:val="20"/>
              </w:rPr>
              <w:t>VUMERITY</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Multiple sclerosis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Biogen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Worldwide</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Proprietary Products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developed and now commercialize products designed to help address the unmet needs of people living with opioid dependence, alcohol dependence, schizophrenia and bipolar I disorder. See the “Patents and Proprietary Rights” section in “Part I, Item 1—Business” in our Annual Report for information with respect to the IP protection for our proprietary products.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ARISTADA and ARISTADA INITIO</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ARISTADA (aripiprazole lauroxil) is an extended-release intramuscular injectable suspension approved in the U.S. for the treatment of schizophrenia. ARISTADA utilizes our proprietary LinkeRx technology. ARISTADA is a prodrug; once in the body, ARISTADA is likely converted by enzyme-mediated hydrolysis to N-hydroxymethyl aripiprazole, which is then hydrolyzed to aripiprazole. ARISTADA is available in four dose strengths with once-monthly dosing options (441 mg, 662 mg and 882 mg), a six-week dosing option (882 mg) and a two-month dosing option (1064 mg). ARISTADA is packaged in a ready-to-use, pre-filled syringe product format. We exclusively manufacture and commercialize ARISTADA in the U.S.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ARISTADA INITIO (aripiprazole lauroxil) leverages our proprietary LinkeRx and NanoCrystal technologies and provides an extended-release formulation of aripiprazole lauroxil in a smaller particle size compared to ARISTADA, thereby enabling faster dissolution and more rapid achievement of relevant levels of aripiprazole in the body. ARISTADA INITIO, combined with a single 30 mg dose of oral aripiprazole, is indicated for the initiation of ARISTADA when used for the treatment of schizophrenia in adults. The first ARISTADA dose may be administered on the same day as the ARISTADA INITIO regimen or up to 10 days thereafter. We exclusively manufacture and commercialize ARISTADA INITIO in the U.S.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March 2025, U.S. Patent No. 12,251,381 relating to ARISTADA and ARISTADA INITIO was granted. The patent has claims to a method of treating schizophrenia and expires in 2039.</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LYBALVI</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LYBALVI (olanzapine and samidorphan) is a once-daily, oral atypical antipsychotic drug approved in the U.S. for the treatment of adults with schizophrenia and for the treatment of adults with bipolar I disorder, as a maintenance monotherapy or for the acute treatment of manic or mixed episodes, as monotherapy or an adjunct to lithium or valproate. LYBALVI is a combination of olanzapine, an atypical antipsychotic, and samidorphan, an opioid antagonist, in a single bilayer tablet. LYBALVI is available in fixed dosage strengths composed of 10 mg of samidorphan and 5 mg, 10 mg, 15 mg or 20 mg of olanzapine. We exclusively manufacture and commercialize LYBALVI in the U.S.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VIVITROL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VIVITROL (naltrexone for extended-release injectable suspension) is a once-monthly, non-narcotic, injectable medication approved in the U.S. for the treatment of alcohol dependence in patients able to abstain from alcohol in an outpatient setting prior to initiation of treatment with VIVITROL and for the prevention of relapse to opioid dependence, following opioid detoxification. VIVITROL uses our polymer-based microsphere injectable extended-release technology to deliver and maintain therapeutic medication levels in the body through one intramuscular injection every four weeks. We exclusively manufacture and commercialize VIVITROL in the U.S.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Products Using Our Proprietary Technologies and Licensed Product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licensed products to third parties for commercialization and have licensed our proprietary technologies to third parties to enable them to develop, commercialize and/or manufacture products. See the “Proprietary Technology Platforms” and “Patents and Proprietary Rights” sections in “Part I, Item 1—Business” in our Annual Report for information with respect to our proprietary technologies and the IP protection for these products. We receive royalties and/or manufacturing and other revenues from the commercialization of these products under our collaborative arrangements with these third parties. Such arrangements, among others, include the following: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Products Using Our Proprietary Technologies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INVEGA SUSTENNA/XEPLION, INVEGA TRINZA/TREVICTA and INVEGA HAFYERA/BYANNLI</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long-acting INVEGA products are long-acting atypical antipsychotics owned and commercialized worldwide by Janssen. We believe that these products incorporate our technologies.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INVEGA SUSTENNA is approved in the U.S. for the treatment of schizophrenia and for the treatment of schizoaffective disorder as either a monotherapy or adjunctive therapy. Paliperidone palmitate extended-release injectable suspension is approved in the European Union (“EU”) and other countries outside of the U.S. for the treatment of schizophrenia and is marketed and sold under the trade name XEPLION. INVEGA SUSTENNA/XEPLION is manufactured by Janssen.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INVEGA TRINZA is approved in the U.S. for the treatment of schizophrenia in patients who have been adequately treated with INVEGA SUSTENNA for at least four months. TREVICTA is approved in the EU for the maintenance treatment of schizophrenia in adult patients who are clinically stable on XEPLION. INVEGA TRINZA/TREVICTA is manufactured by Janssen.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INVEGA HAFYERA is approved in the U.S. for the treatment of schizophrenia in patients who have been adequately treated with INVEGA SUSTENNA for at least four months or INVEGA TRINZA for at least three months. BYANNLI is approved in the EU for the maintenance treatment of schizophrenia in adult patients who are clinically stable on XEPLION or TREVICTA. INVEGA HAFYERA/BYANNLI is manufactured by Janssen.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For a discussion of legal proceedings related to certain of the patents covering INVEGA TRINZA, see Note 16, </w:t>
      </w:r>
      <w:r>
        <w:rPr>
          <w:rFonts w:ascii="Times New Roman" w:hAnsi="Times New Roman"/>
          <w:i/>
          <w:color w:val="000000"/>
          <w:sz w:val="20"/>
        </w:rPr>
        <w:t>Commitments and Contingent Liabilities</w:t>
      </w:r>
      <w:r>
        <w:rPr>
          <w:rFonts w:ascii="Times New Roman" w:hAnsi="Times New Roman"/>
          <w:color w:val="000000"/>
          <w:sz w:val="20"/>
        </w:rPr>
        <w:t xml:space="preserve"> in the “Notes to Condensed Consolidated Financial Statements” in this Form 10-Q and for information about risks relating to such legal proceedings, see “Part I, Item 1A—Risk Factors” in our Annual Report and specifically the section entitled “Uncertainty over IP in the biopharmaceutical industry has been the source of litigation and other legal proceedings, and we or our licensees may face claims against IP rights covering our products and competition from generic drug manufacturers.”</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Licensed Product</w:t>
      </w:r>
    </w:p>
    <w:p>
      <w:pPr>
        <w:pStyle w:val="TextBody"/>
        <w:bidi w:val="0"/>
        <w:spacing w:before="160" w:after="283"/>
        <w:jc w:val="left"/>
        <w:rPr>
          <w:rFonts w:ascii="Times New Roman" w:hAnsi="Times New Roman"/>
          <w:sz w:val="20"/>
        </w:rPr>
      </w:pPr>
      <w:r>
        <w:rPr>
          <w:rFonts w:ascii="Times New Roman" w:hAnsi="Times New Roman"/>
          <w:b/>
          <w:i/>
          <w:color w:val="000000"/>
          <w:sz w:val="20"/>
        </w:rPr>
        <w:t>VUMERITY</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VUMERITY (diroximel fumarate) is a novel, oral fumarate with a distinct chemical structure that is approved in the U.S., the EU and several other countries for the treatment of relapsing forms of multiple sclerosis in adults, including clinically isolated syndrome, relapsing-remitting disease and active secondary progressive disease.</w:t>
      </w:r>
    </w:p>
    <w:p>
      <w:pPr>
        <w:pStyle w:val="TextBody"/>
        <w:bidi w:val="0"/>
        <w:spacing w:before="160" w:after="283"/>
        <w:jc w:val="left"/>
        <w:rPr>
          <w:rFonts w:ascii="Times New Roman" w:hAnsi="Times New Roman"/>
          <w:sz w:val="20"/>
        </w:rPr>
      </w:pPr>
      <w:r>
        <w:rPr>
          <w:rFonts w:ascii="Times New Roman" w:hAnsi="Times New Roman"/>
          <w:color w:val="000000"/>
          <w:sz w:val="20"/>
        </w:rPr>
        <w:t xml:space="preserve">Under our license and collaboration agreement with Biogen, Biogen holds the exclusive, worldwide license to develop and commercialize VUMERITY. For more information about the license and collaboration agreement with Biogen, see the “Collaborative Arrangements—Biogen” section in “Part I, Item 1—Business” in our Annual Report. For a discussion of legal proceedings related to certain of the patents covering VUMERITY, see Note 16, </w:t>
      </w:r>
      <w:r>
        <w:rPr>
          <w:rFonts w:ascii="Times New Roman" w:hAnsi="Times New Roman"/>
          <w:i/>
          <w:color w:val="000000"/>
          <w:sz w:val="20"/>
        </w:rPr>
        <w:t xml:space="preserve">Commitments and Contingent Liabilities </w:t>
      </w:r>
      <w:r>
        <w:rPr>
          <w:rFonts w:ascii="Times New Roman" w:hAnsi="Times New Roman"/>
          <w:color w:val="000000"/>
          <w:sz w:val="20"/>
        </w:rPr>
        <w:t>in the “Notes to Condensed Consolidated Financial Statements” in this Form 10-Q, and for information about risks relating to such legal proceedings, see “Part I, Item 1A—Risk Factors” in our Annual Report and specifically the section entitled “Uncertainty over IP in the biopharmaceutical industry has been the source of litigation and other legal proceedings, and we or our licensees may face claims against IP rights covering our products and competition from generic drug manufacturers.”</w:t>
      </w:r>
    </w:p>
    <w:p>
      <w:pPr>
        <w:pStyle w:val="TextBody"/>
        <w:bidi w:val="0"/>
        <w:spacing w:before="160" w:after="283"/>
        <w:jc w:val="left"/>
        <w:rPr>
          <w:rFonts w:ascii="Times New Roman" w:hAnsi="Times New Roman"/>
          <w:color w:val="000000"/>
          <w:sz w:val="20"/>
          <w:u w:val="single"/>
        </w:rPr>
      </w:pPr>
      <w:r>
        <w:rPr>
          <w:rFonts w:ascii="Times New Roman" w:hAnsi="Times New Roman"/>
          <w:color w:val="000000"/>
          <w:sz w:val="20"/>
          <w:u w:val="single"/>
        </w:rPr>
        <w:t>Key Development Program</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R&amp;D is focused on the development of innovative medicines in the field of neuroscience that are designed to address unmet patient needs. As part of our ongoing R&amp;D efforts, we have devoted, and will continue to devote, significant resources to conducting preclinical work and clinical studies to advance the development of new pharmaceutical products. The discussion below highlights our current key development program. Drug development involves a high degree of risk and investment, and the status, timing and scope of our development programs are subject to change. Important factors that could adversely affect our drug development efforts are discussed in “Part I, Item 1A—Risk Factors” in our Annual Report and “Part II, Item 1A—Risk Factors” in this Form 10-Q. See the “Patents and Proprietary Rights” section in “Part I, Item 1—Business” in our Annual Report for information with respect to the IP protection for our key development program.</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ALKS 2680</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ALKS 2680 is a novel, investigational, oral, selective orexin 2 receptor agonist in development as a once-daily treatment for narcolepsy type 1 (“NT1”), narcolepsy type 2 (“NT2”) and idiopathic hypersomnia (“IH”). Orexin, a neuropeptide produced in the lateral hypothalamus, is considered to be the master regulator of wakefulness due to its activation of multiple, downstream wake-promoting pathways that project widely throughout the brain. Targeting the orexin system may address excessive daytime sleepiness across hypersomnolence disorders, whether or not deficient orexin signaling is the underlying cause of disease. Once-daily oral administration of ALKS 2680 was previously evaluated in a phase 1 study in healthy volunteers and patients with NT1, NT2 and IH and is currently being evaluated in the phase 2 Vibrance-1, Vibrance-2 and Vibrance-3 studies in patients with NT1, NT2 and IH, respectively.</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Product Sales, Net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product sales, net, consist of sales of VIVITROL, ARISTADA and ARISTADA INITIO, and LYBALVI, primarily to wholesalers, specialty distributors and pharmacies. The following table presents the adjustments deducted from product sales, gross to arrive at product sales, net, for sales of VIVITROL, ARISTADA and ARISTADA INITIO, and LYBALVI during the three months ended March 31, 2025 and 2024:</w:t>
      </w:r>
    </w:p>
    <w:p>
      <w:pPr>
        <w:pStyle w:val="TextBody"/>
        <w:bidi w:val="0"/>
        <w:jc w:val="left"/>
        <w:rPr/>
      </w:pPr>
      <w:r>
        <w:rPr/>
        <w:t> </w:t>
      </w:r>
    </w:p>
    <w:tbl>
      <w:tblPr>
        <w:tblW w:w="8064" w:type="dxa"/>
        <w:jc w:val="left"/>
        <w:tblInd w:w="0" w:type="dxa"/>
        <w:tblLayout w:type="fixed"/>
        <w:tblCellMar>
          <w:top w:w="28" w:type="dxa"/>
          <w:left w:w="28" w:type="dxa"/>
          <w:bottom w:w="28" w:type="dxa"/>
          <w:right w:w="28" w:type="dxa"/>
        </w:tblCellMar>
      </w:tblPr>
      <w:tblGrid>
        <w:gridCol w:w="2901"/>
        <w:gridCol w:w="196"/>
        <w:gridCol w:w="571"/>
        <w:gridCol w:w="166"/>
        <w:gridCol w:w="146"/>
        <w:gridCol w:w="163"/>
        <w:gridCol w:w="572"/>
        <w:gridCol w:w="166"/>
        <w:gridCol w:w="256"/>
        <w:gridCol w:w="146"/>
        <w:gridCol w:w="196"/>
        <w:gridCol w:w="571"/>
        <w:gridCol w:w="166"/>
        <w:gridCol w:w="146"/>
        <w:gridCol w:w="163"/>
        <w:gridCol w:w="572"/>
        <w:gridCol w:w="166"/>
        <w:gridCol w:w="801"/>
      </w:tblGrid>
      <w:tr>
        <w:trPr/>
        <w:tc>
          <w:tcPr>
            <w:tcW w:w="29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6"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6"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 millions, except for % of Sales)</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of Sales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of Sales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Product sales, gross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Adjustments to product sales, gross:</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Medicaid rebates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Chargebacks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Product discounts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Medicare Part 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Other</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adjustments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Product sales, net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increase in product sales, gross was due to a 21% increase in the number of LYBALVI units sold and a 3% price increase for each of our proprietary products that went into effect on January 1, 2025. These increases were partially offset by 5% and 9% decreases in the number of units sold for VIVITROL and ARISTADA/ARISTADA INITIO, respectively.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decrease in Medicaid rebates, as a percentage of sales, was primarily due to actual Medicaid utilization rebates related to VIVITROL, which were lower than original estimates by approximately $8.7 million.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compares product sales, net earned during the three months ended March 31, 2025 and 2024:</w:t>
      </w:r>
    </w:p>
    <w:p>
      <w:pPr>
        <w:pStyle w:val="TextBody"/>
        <w:bidi w:val="0"/>
        <w:jc w:val="left"/>
        <w:rPr/>
      </w:pPr>
      <w:r>
        <w:rPr/>
        <w:t> </w:t>
      </w:r>
    </w:p>
    <w:tbl>
      <w:tblPr>
        <w:tblW w:w="6562" w:type="dxa"/>
        <w:jc w:val="left"/>
        <w:tblInd w:w="0" w:type="dxa"/>
        <w:tblLayout w:type="fixed"/>
        <w:tblCellMar>
          <w:top w:w="28" w:type="dxa"/>
          <w:left w:w="28" w:type="dxa"/>
          <w:bottom w:w="28" w:type="dxa"/>
          <w:right w:w="28" w:type="dxa"/>
        </w:tblCellMar>
      </w:tblPr>
      <w:tblGrid>
        <w:gridCol w:w="3246"/>
        <w:gridCol w:w="211"/>
        <w:gridCol w:w="571"/>
        <w:gridCol w:w="146"/>
        <w:gridCol w:w="146"/>
        <w:gridCol w:w="211"/>
        <w:gridCol w:w="571"/>
        <w:gridCol w:w="146"/>
        <w:gridCol w:w="146"/>
        <w:gridCol w:w="211"/>
        <w:gridCol w:w="466"/>
        <w:gridCol w:w="491"/>
      </w:tblGrid>
      <w:tr>
        <w:trPr/>
        <w:tc>
          <w:tcPr>
            <w:tcW w:w="3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VIVITROL</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ARISTADA and ARISTADA INITIO</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LYBALVI</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Product sales, net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Manufacturing and Royalty Revenues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following table compares manufacturing and royalty revenues earned during the three months ended March 31, 2025 and 2024: </w:t>
      </w:r>
    </w:p>
    <w:p>
      <w:pPr>
        <w:pStyle w:val="TextBody"/>
        <w:bidi w:val="0"/>
        <w:jc w:val="left"/>
        <w:rPr/>
      </w:pPr>
      <w:r>
        <w:rPr/>
        <w:t> </w:t>
      </w:r>
    </w:p>
    <w:tbl>
      <w:tblPr>
        <w:tblW w:w="7467" w:type="dxa"/>
        <w:jc w:val="left"/>
        <w:tblInd w:w="0" w:type="dxa"/>
        <w:tblLayout w:type="fixed"/>
        <w:tblCellMar>
          <w:top w:w="28" w:type="dxa"/>
          <w:left w:w="28" w:type="dxa"/>
          <w:bottom w:w="28" w:type="dxa"/>
          <w:right w:w="28" w:type="dxa"/>
        </w:tblCellMar>
      </w:tblPr>
      <w:tblGrid>
        <w:gridCol w:w="3376"/>
        <w:gridCol w:w="211"/>
        <w:gridCol w:w="466"/>
        <w:gridCol w:w="346"/>
        <w:gridCol w:w="346"/>
        <w:gridCol w:w="211"/>
        <w:gridCol w:w="571"/>
        <w:gridCol w:w="346"/>
        <w:gridCol w:w="346"/>
        <w:gridCol w:w="211"/>
        <w:gridCol w:w="526"/>
        <w:gridCol w:w="511"/>
      </w:tblGrid>
      <w:tr>
        <w:trPr/>
        <w:tc>
          <w:tcPr>
            <w:tcW w:w="3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and royalty revenues:</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Long-acting INVEGA products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VUMERITY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RISPERDAL CONSTA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Manufacturing and royalty revenues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decrease in royalty revenues related to the long-acting INVEGA products was primarily due to the expiration of our royalty on net sales of INVEGA SUSTENNA in the U.S. in August 2024. We expect royalty revenues from net sales of the long-acting INVEGA products to continue to be lower in 2025, as the royalty revenues related to net sales of INVEGA SUSTENNA in the U.S. comprised a significant portion of the overall royalty revenues for the long-acting INVEGA products. In addition, each of INVEGA SUSTENNA and INVEGA TRINZA is currently subject to Paragraph IV litigation in response to companies seeking to market generic versions of such product. Increased competition from new products or generic versions of any one or more of the long-acting INVEGA products may lead to reduced unit sales of the long-acting INVEGA products, including those not yet genericized, and increased pricing pressure. For a discussion of the legal proceedings related to INVEGA TRINZA, see Note 16, </w:t>
      </w:r>
      <w:r>
        <w:rPr>
          <w:rFonts w:ascii="Times New Roman" w:hAnsi="Times New Roman"/>
          <w:i/>
          <w:color w:val="000000"/>
          <w:sz w:val="20"/>
        </w:rPr>
        <w:t>Commitments and Contingent Liabilities</w:t>
      </w:r>
      <w:r>
        <w:rPr>
          <w:rFonts w:ascii="Times New Roman" w:hAnsi="Times New Roman"/>
          <w:color w:val="000000"/>
          <w:sz w:val="20"/>
        </w:rPr>
        <w:t xml:space="preserve"> in the “Notes to Condensed Consolidated Financial Statements” in this Form 10-Q, and for information about risks relating to these legal proceedings, see “Part I, Item 1A—Risk Factors” in our Annual Report, and specifically the section entitled “Uncertainty over IP in the biopharmaceutical industry has been the source of litigation and other legal proceedings, and we or our licensees may face claims against IP rights covering our products and competition from generic drug manufacturers.”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decrease in VUMERITY revenue was due to a $6.2 million decrease in manufacturing revenue, offset by a $2.7 million increase in royalty revenue. The decrease in VUMERITY manufacturing revenue was primarily due to a reduction in the number of batches manufactured for sale to Biogen, and the increase in VUMERITY royalty revenue was due to an increase in the end-market sales of the product. The increase in RISPERDAL CONSTA revenue was due to a $6.5 million increase in manufacturing revenue, primarily due to an increase in the number of batches made available to Janssen for sale in the U.S., which has a higher selling price than product sold outside of the U.S. The decrease in Other manufacturing and royalty revenue was primarily due to a $10.5 million decrease in revenue from FAMPYRA, as our manufacturing obligations for FAMPYRA concluded on December 31, 2024.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Costs and 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Cost of Goods Manufactured and Sold</w:t>
      </w:r>
    </w:p>
    <w:p>
      <w:pPr>
        <w:pStyle w:val="TextBody"/>
        <w:bidi w:val="0"/>
        <w:jc w:val="left"/>
        <w:rPr/>
      </w:pPr>
      <w:r>
        <w:rPr/>
        <w:t> </w:t>
      </w:r>
    </w:p>
    <w:tbl>
      <w:tblPr>
        <w:tblW w:w="5946" w:type="dxa"/>
        <w:jc w:val="left"/>
        <w:tblInd w:w="0" w:type="dxa"/>
        <w:tblLayout w:type="fixed"/>
        <w:tblCellMar>
          <w:top w:w="28" w:type="dxa"/>
          <w:left w:w="28" w:type="dxa"/>
          <w:bottom w:w="28" w:type="dxa"/>
          <w:right w:w="28" w:type="dxa"/>
        </w:tblCellMar>
      </w:tblPr>
      <w:tblGrid>
        <w:gridCol w:w="3136"/>
        <w:gridCol w:w="211"/>
        <w:gridCol w:w="466"/>
        <w:gridCol w:w="146"/>
        <w:gridCol w:w="146"/>
        <w:gridCol w:w="211"/>
        <w:gridCol w:w="466"/>
        <w:gridCol w:w="146"/>
        <w:gridCol w:w="146"/>
        <w:gridCol w:w="220"/>
        <w:gridCol w:w="441"/>
        <w:gridCol w:w="211"/>
      </w:tblGrid>
      <w:tr>
        <w:trPr/>
        <w:tc>
          <w:tcPr>
            <w:tcW w:w="31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manufactured and sold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decrease in the cost of goods manufactured and sold was primarily related to decreases in the cost of goods sold for VIVITROL and ARISTADA and ARISTADA INITIO due to decreases in the number of units sold, as discussed above, and decreases in costs related to out-of-specification batches and investigations. In addition, following the sale of the Athlone Facility in May 2024, the cost of goods manufactured for certain legacy products that are manufactured at the Athlone Facility decreased. These decreases were partially offset by an increase in the cost of goods sold for LYBALVI due to an increase in the number of units sold, as discussed above.</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For each of our R&amp;D programs, we incur both external and internal expenses. External R&amp;D expenses include fees for clinical and preclinical activities performed by contract research organizations, consulting fees, and costs related to laboratory services, the purchase of drug product materials and third-party manufacturing development activities. Internal R&amp;D expenses include employee-related expenses, occupancy costs, depreciation and general overhead. We track external R&amp;D expenses for each of our development programs; however, internal R&amp;D expenses are not tracked by individual program as they can benefit multiple development programs or our products or technologies in general.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following table sets forth our external R&amp;D expenses for the three months ended March 31, 2025 and 2024 relating to our then-current development programs and our internal R&amp;D expenses, listed by the nature of such expenses:</w:t>
      </w:r>
    </w:p>
    <w:p>
      <w:pPr>
        <w:pStyle w:val="TextBody"/>
        <w:bidi w:val="0"/>
        <w:jc w:val="left"/>
        <w:rPr/>
      </w:pPr>
      <w:r>
        <w:rPr/>
        <w:t> </w:t>
      </w:r>
    </w:p>
    <w:tbl>
      <w:tblPr>
        <w:tblW w:w="7247" w:type="dxa"/>
        <w:jc w:val="left"/>
        <w:tblInd w:w="0" w:type="dxa"/>
        <w:tblLayout w:type="fixed"/>
        <w:tblCellMar>
          <w:top w:w="28" w:type="dxa"/>
          <w:left w:w="28" w:type="dxa"/>
          <w:bottom w:w="28" w:type="dxa"/>
          <w:right w:w="28" w:type="dxa"/>
        </w:tblCellMar>
      </w:tblPr>
      <w:tblGrid>
        <w:gridCol w:w="3691"/>
        <w:gridCol w:w="146"/>
        <w:gridCol w:w="211"/>
        <w:gridCol w:w="466"/>
        <w:gridCol w:w="146"/>
        <w:gridCol w:w="146"/>
        <w:gridCol w:w="211"/>
        <w:gridCol w:w="466"/>
        <w:gridCol w:w="146"/>
        <w:gridCol w:w="146"/>
        <w:gridCol w:w="220"/>
        <w:gridCol w:w="441"/>
        <w:gridCol w:w="81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R&amp;D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Development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ALKS 2680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LYBALVI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external R&amp;D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external R&amp;D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R&amp;D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Employee-related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Occupancy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internal R&amp;D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These amounts are not necessarily predictive of future R&amp;D expenses. In an effort to allocate our spending most effectively, we continually evaluate our products under development based on the performance of such products in preclinical and/or clinical trials, our expectations regarding the likelihood of their regulatory approval and our view of their future potential commercial viability, among other factors.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increase in expenses related to ALKS 2680 was primarily due to increased spend related to the advancement of the development program for the product, including initiation of our Vibrance-3 phase 2 clinical study and costs related to our long-term extension study for the product, partially offset by the completion of our first-in-human phase 1 clinical study for the product in the first half of 2024. The decrease in expenses related to LYBALVI was primarily due to the timing of spend on our pediatric studies for the product. The increase in other external R&amp;D expenses was primarily due to activities associated with our preclinical development programs. The decrease in employee-related expenses was primarily due to a decrease in labor and benefits expense related to a 9% decrease in R&amp;D-related headcount following the completion of the sale of the Athlone Facility in May 2024.</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Selling, General and Administrative Expense</w:t>
      </w:r>
    </w:p>
    <w:p>
      <w:pPr>
        <w:pStyle w:val="TextBody"/>
        <w:bidi w:val="0"/>
        <w:jc w:val="left"/>
        <w:rPr/>
      </w:pPr>
      <w:r>
        <w:rPr/>
        <w:t> </w:t>
      </w:r>
    </w:p>
    <w:tbl>
      <w:tblPr>
        <w:tblW w:w="7227" w:type="dxa"/>
        <w:jc w:val="left"/>
        <w:tblInd w:w="0" w:type="dxa"/>
        <w:tblLayout w:type="fixed"/>
        <w:tblCellMar>
          <w:top w:w="28" w:type="dxa"/>
          <w:left w:w="28" w:type="dxa"/>
          <w:bottom w:w="28" w:type="dxa"/>
          <w:right w:w="28" w:type="dxa"/>
        </w:tblCellMar>
      </w:tblPr>
      <w:tblGrid>
        <w:gridCol w:w="3861"/>
        <w:gridCol w:w="146"/>
        <w:gridCol w:w="211"/>
        <w:gridCol w:w="571"/>
        <w:gridCol w:w="146"/>
        <w:gridCol w:w="146"/>
        <w:gridCol w:w="211"/>
        <w:gridCol w:w="571"/>
        <w:gridCol w:w="146"/>
        <w:gridCol w:w="146"/>
        <w:gridCol w:w="220"/>
        <w:gridCol w:w="441"/>
        <w:gridCol w:w="411"/>
      </w:tblGrid>
      <w:tr>
        <w:trPr/>
        <w:tc>
          <w:tcPr>
            <w:tcW w:w="3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decrease in selling and marketing expense was primarily due to a decrease of $9.2 million in media spend for our proprietary products, partially offset by a $4.2 million increase in sales and marketing-related materials and training and a $1.7 million increase in employee-related expenses, primarily due to a 14% increase in sales and marketing-related headcount.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decrease in general and administrative expense was primarily due to decreases of $2.2 million and $2.1 million in professional service fees and employee-related expenses, respectively. The decrease in professional service fees is primarily related to a decrease in legal expenses. The decrease in employee-related expenses is primarily related to a decrease in share-based compensation expense.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Other Income, Net</w:t>
      </w:r>
    </w:p>
    <w:p>
      <w:pPr>
        <w:pStyle w:val="TextBody"/>
        <w:bidi w:val="0"/>
        <w:jc w:val="left"/>
        <w:rPr/>
      </w:pPr>
      <w:r>
        <w:rPr/>
        <w:t> </w:t>
      </w:r>
    </w:p>
    <w:tbl>
      <w:tblPr>
        <w:tblW w:w="5324" w:type="dxa"/>
        <w:jc w:val="left"/>
        <w:tblInd w:w="0" w:type="dxa"/>
        <w:tblLayout w:type="fixed"/>
        <w:tblCellMar>
          <w:top w:w="28" w:type="dxa"/>
          <w:left w:w="28" w:type="dxa"/>
          <w:bottom w:w="28" w:type="dxa"/>
          <w:right w:w="28" w:type="dxa"/>
        </w:tblCellMar>
      </w:tblPr>
      <w:tblGrid>
        <w:gridCol w:w="2211"/>
        <w:gridCol w:w="146"/>
        <w:gridCol w:w="211"/>
        <w:gridCol w:w="467"/>
        <w:gridCol w:w="146"/>
        <w:gridCol w:w="146"/>
        <w:gridCol w:w="211"/>
        <w:gridCol w:w="422"/>
        <w:gridCol w:w="166"/>
        <w:gridCol w:w="146"/>
        <w:gridCol w:w="243"/>
        <w:gridCol w:w="418"/>
        <w:gridCol w:w="391"/>
      </w:tblGrid>
      <w:tr>
        <w:trPr/>
        <w:tc>
          <w:tcPr>
            <w:tcW w:w="2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Interest income consists of interest earned on our cash and available-for-sale investments. Interest expense consists of interest incurred on our previously outstanding term loans (the “Former Term Loans”) that were scheduled to become due in 2026 under our former amended and restated credit agreement, which we prepaid in full and terminated in December 2024. See Note 12, </w:t>
      </w:r>
      <w:r>
        <w:rPr>
          <w:rFonts w:ascii="Times New Roman" w:hAnsi="Times New Roman"/>
          <w:i/>
          <w:color w:val="000000"/>
          <w:sz w:val="20"/>
        </w:rPr>
        <w:t xml:space="preserve">Long-Term Debt </w:t>
      </w:r>
      <w:r>
        <w:rPr>
          <w:rFonts w:ascii="Times New Roman" w:hAnsi="Times New Roman"/>
          <w:color w:val="000000"/>
          <w:sz w:val="20"/>
        </w:rPr>
        <w:t>in the “Notes to Consolidated Financial Statements” accompanying our Annual Report for additional information regarding our Former Term Loans.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Income Tax Provision</w:t>
      </w:r>
    </w:p>
    <w:p>
      <w:pPr>
        <w:pStyle w:val="TextBody"/>
        <w:bidi w:val="0"/>
        <w:jc w:val="left"/>
        <w:rPr/>
      </w:pPr>
      <w:r>
        <w:rPr/>
        <w:t> </w:t>
      </w:r>
    </w:p>
    <w:tbl>
      <w:tblPr>
        <w:tblW w:w="4758" w:type="dxa"/>
        <w:jc w:val="left"/>
        <w:tblInd w:w="0" w:type="dxa"/>
        <w:tblLayout w:type="fixed"/>
        <w:tblCellMar>
          <w:top w:w="28" w:type="dxa"/>
          <w:left w:w="28" w:type="dxa"/>
          <w:bottom w:w="28" w:type="dxa"/>
          <w:right w:w="28" w:type="dxa"/>
        </w:tblCellMar>
      </w:tblPr>
      <w:tblGrid>
        <w:gridCol w:w="1846"/>
        <w:gridCol w:w="146"/>
        <w:gridCol w:w="179"/>
        <w:gridCol w:w="443"/>
        <w:gridCol w:w="179"/>
        <w:gridCol w:w="179"/>
        <w:gridCol w:w="179"/>
        <w:gridCol w:w="443"/>
        <w:gridCol w:w="146"/>
        <w:gridCol w:w="146"/>
        <w:gridCol w:w="220"/>
        <w:gridCol w:w="441"/>
        <w:gridCol w:w="21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income tax provisions in the three months ended March 31, 2025 and 2024 were primarily attributable to taxes on income earned in Ireland.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Liquidity and Financial Condition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financial condition is summarized as follows:</w:t>
      </w:r>
    </w:p>
    <w:p>
      <w:pPr>
        <w:pStyle w:val="TextBody"/>
        <w:bidi w:val="0"/>
        <w:jc w:val="left"/>
        <w:rPr/>
      </w:pPr>
      <w:r>
        <w:rPr/>
        <w:t> </w:t>
      </w:r>
    </w:p>
    <w:tbl>
      <w:tblPr>
        <w:tblW w:w="8815" w:type="dxa"/>
        <w:jc w:val="left"/>
        <w:tblInd w:w="0" w:type="dxa"/>
        <w:tblLayout w:type="fixed"/>
        <w:tblCellMar>
          <w:top w:w="28" w:type="dxa"/>
          <w:left w:w="28" w:type="dxa"/>
          <w:bottom w:w="28" w:type="dxa"/>
          <w:right w:w="28" w:type="dxa"/>
        </w:tblCellMar>
      </w:tblPr>
      <w:tblGrid>
        <w:gridCol w:w="2326"/>
        <w:gridCol w:w="146"/>
        <w:gridCol w:w="211"/>
        <w:gridCol w:w="571"/>
        <w:gridCol w:w="146"/>
        <w:gridCol w:w="146"/>
        <w:gridCol w:w="211"/>
        <w:gridCol w:w="571"/>
        <w:gridCol w:w="146"/>
        <w:gridCol w:w="146"/>
        <w:gridCol w:w="211"/>
        <w:gridCol w:w="571"/>
        <w:gridCol w:w="146"/>
        <w:gridCol w:w="146"/>
        <w:gridCol w:w="211"/>
        <w:gridCol w:w="571"/>
        <w:gridCol w:w="146"/>
        <w:gridCol w:w="146"/>
        <w:gridCol w:w="211"/>
        <w:gridCol w:w="571"/>
        <w:gridCol w:w="146"/>
        <w:gridCol w:w="146"/>
        <w:gridCol w:w="211"/>
        <w:gridCol w:w="571"/>
        <w:gridCol w:w="19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Ireland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Ireland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Investments—short-term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and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March 31, 2025 our investments consisted of the following:</w:t>
      </w:r>
    </w:p>
    <w:p>
      <w:pPr>
        <w:pStyle w:val="TextBody"/>
        <w:bidi w:val="0"/>
        <w:jc w:val="left"/>
        <w:rPr/>
      </w:pPr>
      <w:r>
        <w:rPr/>
        <w:t> </w:t>
      </w:r>
    </w:p>
    <w:tbl>
      <w:tblPr>
        <w:tblW w:w="9181" w:type="dxa"/>
        <w:jc w:val="left"/>
        <w:tblInd w:w="0" w:type="dxa"/>
        <w:tblLayout w:type="fixed"/>
        <w:tblCellMar>
          <w:top w:w="28" w:type="dxa"/>
          <w:left w:w="28" w:type="dxa"/>
          <w:bottom w:w="28" w:type="dxa"/>
          <w:right w:w="28" w:type="dxa"/>
        </w:tblCellMar>
      </w:tblPr>
      <w:tblGrid>
        <w:gridCol w:w="3571"/>
        <w:gridCol w:w="146"/>
        <w:gridCol w:w="235"/>
        <w:gridCol w:w="636"/>
        <w:gridCol w:w="146"/>
        <w:gridCol w:w="146"/>
        <w:gridCol w:w="211"/>
        <w:gridCol w:w="361"/>
        <w:gridCol w:w="146"/>
        <w:gridCol w:w="146"/>
        <w:gridCol w:w="211"/>
        <w:gridCol w:w="421"/>
        <w:gridCol w:w="166"/>
        <w:gridCol w:w="146"/>
        <w:gridCol w:w="426"/>
        <w:gridCol w:w="699"/>
        <w:gridCol w:w="146"/>
        <w:gridCol w:w="146"/>
        <w:gridCol w:w="238"/>
        <w:gridCol w:w="647"/>
        <w:gridCol w:w="191"/>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Credit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Investments—short-term available-for-sale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Investments—long-term available-for-sale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Investments—long-term held-to-maturity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Sources and Uses of Cash</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generated $98.8 million and $21.1 million of cash from operating activities during the three months ended March 31, 2025 and 2024, respectively. We expect that our existing cash, cash equivalents and investments will be sufficient to finance our anticipated working capital and other cash requirements, including capital expenditures, for not less than twelve months following the date from which our financial statements were issued. Subject to market conditions, interest rates and other factors, we may pursue opportunities to obtain financing in the future, including debt and equity offerings, corporate collaborations, bank borrowings, arrangements relating to assets or other financing methods or structures.</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investment objectives are, first, to preserve liquidity and conserve capital and, second, to generate investment income. We mitigate credit risk in our cash reserves by maintaining a well-diversified portfolio that limits the amount of investment exposure as to institution, maturity and investment type. Our available-for-sale investments consist primarily of short and long-term U.S. government and agency debt securities and corporate debt securities. Our held-to-maturity investments consist of investments that are held as collateral under certain letters of credit related to certain of our lease agreements.</w:t>
      </w:r>
    </w:p>
    <w:p>
      <w:pPr>
        <w:pStyle w:val="TextBody"/>
        <w:bidi w:val="0"/>
        <w:jc w:val="left"/>
        <w:rPr>
          <w:rFonts w:ascii="Times New Roman" w:hAnsi="Times New Roman"/>
          <w:color w:val="000000"/>
          <w:sz w:val="20"/>
        </w:rPr>
      </w:pPr>
      <w:r>
        <w:rPr>
          <w:rFonts w:ascii="Times New Roman" w:hAnsi="Times New Roman"/>
          <w:color w:val="000000"/>
          <w:sz w:val="20"/>
        </w:rPr>
        <w:t xml:space="preserve">We classify available-for-sale investments in an unrealized loss position that do not mature within 12 months as long-term investments. We have the intent and ability to hold these investments until recovery, which may be at maturity, and it is more-likely-than-not that we would not be required to sell these securities before recovery of their amortized cost.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no off-balance sheet arrangements that are reasonably likely to have a material effect on our financial condition, changes in financial condition, revenues or expenses, results of operations, liquidity, capital expenditures, or capital resources in the next 12 months.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Information about our cash flows, by category, is presented in the accompanying condensed consolidated statements of cash flows. The discussion of our cash flows that follows does not include the impact of any adjustments to remove discontinued operations and is stated on a total company consolidated basis. The following table summarizes our cash flows for the three months ended March 31, 2025 and 2024:</w:t>
      </w:r>
    </w:p>
    <w:p>
      <w:pPr>
        <w:pStyle w:val="TextBody"/>
        <w:bidi w:val="0"/>
        <w:jc w:val="left"/>
        <w:rPr/>
      </w:pPr>
      <w:r>
        <w:rPr/>
        <w:t> </w:t>
      </w:r>
    </w:p>
    <w:tbl>
      <w:tblPr>
        <w:tblW w:w="7024" w:type="dxa"/>
        <w:jc w:val="left"/>
        <w:tblInd w:w="0" w:type="dxa"/>
        <w:tblLayout w:type="fixed"/>
        <w:tblCellMar>
          <w:top w:w="28" w:type="dxa"/>
          <w:left w:w="28" w:type="dxa"/>
          <w:bottom w:w="28" w:type="dxa"/>
          <w:right w:w="28" w:type="dxa"/>
        </w:tblCellMar>
      </w:tblPr>
      <w:tblGrid>
        <w:gridCol w:w="4611"/>
        <w:gridCol w:w="146"/>
        <w:gridCol w:w="211"/>
        <w:gridCol w:w="571"/>
        <w:gridCol w:w="146"/>
        <w:gridCol w:w="146"/>
        <w:gridCol w:w="211"/>
        <w:gridCol w:w="571"/>
        <w:gridCol w:w="411"/>
      </w:tblGrid>
      <w:tr>
        <w:trPr/>
        <w:tc>
          <w:tcPr>
            <w:tcW w:w="4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flows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flows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flows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flows provided by operating activities represent the cash receipts and disbursements related to all of our activities other than investing and financing activities. Operating cash flow is derived by adjusting our net income for non-cash operating items such as depreciation, amortization and share-based compensation and changes in operating assets and liabilities, which reflect timing differences between the receipt and payment of cash associated with transactions and when they are recognized in our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flows provided by operating activities for the three months ended March 31, 2025 were $98.8 million and primarily consisted of net income of $22.5 million, adjusted for non-cash items, including share-based compensation of $22.8 million, depreciation and amortization of $7.4 million, deferred income taxes of $2.5 million and changes in working capital of $43.3 million.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flows provided by operating activities for the three months ended March 31, 2024 were $21.1 million and primarily consisted of a net income of $38.9 million adjusted for non-cash items, including share-based compensation of $32.8 million, depreciation and amortization of $8.1 million and deferred income taxes of $7.5 million, partially offset by changes in working capital of $66.3 million.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flows provided by investing activities for the three months ended March 31, 2025 were primarily due to $17.5 million in net sales of investments, partially offset by the purchase of $10.1 million of property, plant and equipment. Cash flows used in investing activities for the three months ended March 31, 2024 were primarily due to $32.0 million in net purchase of investments and the purchase of $8.3 million of property, plant and equipment.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flows provided by financing activities for the three months ended March 31, 2025 were primarily due to $29.5 million of cash that we received upon exercises of employee stock options, partially offset by $28.8 million of employee taxes paid related to the net share settlement of equity awards. Cash flows used in financing activities for the three months ended March 31, 2024 primarily related to $28.3 million of employee taxes paid related to the net share settlement of equity awards, partially offset by $11.2 million of cash that we received upon exercises of employee stock options.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Critical Accounting Estimates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discussion and analysis of our financial condition and results of operations is based on our financial statements, which have been prepared in accordance with GAAP. The preparation of these financial statements requires us to make estimates and assumptions that affect the reported amounts of assets and liabilities and the disclosure of contingent assets and liabilities at the date of our financial statements, and the reported amounts of revenues and expenses during the reporting period. Actual results may differ from these estimates under different conditions or using different assumptions.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See the “Critical Accounting Estimates” section in “Part II, Item 7—Management’s Discussion and Analysis of Financial Condition and Results of Operations” in our Annual Report for a discussion of our critical accounting estimates.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New Accounting Standards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See the “New Accounting Pronouncements” section in Note 2, </w:t>
      </w:r>
      <w:r>
        <w:rPr>
          <w:rFonts w:ascii="Times New Roman" w:hAnsi="Times New Roman"/>
          <w:i/>
          <w:color w:val="000000"/>
          <w:sz w:val="20"/>
        </w:rPr>
        <w:t xml:space="preserve">Summary of Significant Accounting Policies </w:t>
      </w:r>
      <w:r>
        <w:rPr>
          <w:rFonts w:ascii="Times New Roman" w:hAnsi="Times New Roman"/>
          <w:color w:val="000000"/>
          <w:sz w:val="20"/>
        </w:rPr>
        <w:t xml:space="preserve">in the “Notes to Condensed Consolidated Financial Statements” in this Form 10-Q for discussion of certain recent accounting standards applicable to us. </w:t>
      </w:r>
    </w:p>
    <w:p>
      <w:pPr>
        <w:pStyle w:val="TextBody"/>
        <w:bidi w:val="0"/>
        <w:spacing w:before="200" w:after="283"/>
        <w:jc w:val="left"/>
        <w:rPr>
          <w:rFonts w:ascii="Times New Roman" w:hAnsi="Times New Roman"/>
          <w:sz w:val="20"/>
        </w:rPr>
      </w:pPr>
      <w:bookmarkStart w:id="14" w:name="item_3_quantitative_qualitative_disclosu"/>
      <w:bookmarkEnd w:id="14"/>
      <w:r>
        <w:rPr>
          <w:rFonts w:ascii="Times New Roman" w:hAnsi="Times New Roman"/>
          <w:b/>
          <w:color w:val="000000"/>
          <w:sz w:val="20"/>
        </w:rPr>
        <w:t xml:space="preserve">Item 3. </w:t>
      </w:r>
      <w:r>
        <w:rPr>
          <w:rFonts w:ascii="Times New Roman" w:hAnsi="Times New Roman"/>
          <w:b/>
          <w:i/>
          <w:color w:val="000000"/>
          <w:sz w:val="20"/>
        </w:rPr>
        <w:t>Quantitative and Qualitative Disclosures About Market Risk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Market risks related to our investment portfolio, and the ways we manage such risks, are summarized in “Part II, Item 7A—Quantitative and Qualitative Disclosures About Market Risk” in our Annual Report. We regularly review our marketable securities holdings and shift our investment holdings to those that best meet our investment objectives, which are to preserve capital, provide sufficient liquidity to satisfy operating requirements and generate investment income. Apart from such adjustments to our investment portfolio, there have been no material changes to our market risks since December 31, 2024, and we do not anticipate any near-term changes in the nature of our market risk exposures or in our management’s objectives and strategies with respect to managing such exposures.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exposed to non-U.S. currency exchange risk related to manufacturing and royalty revenues that we receive on certain of our products, partially offset by certain operating costs arising from expenses and payables in connection with our Irish operations that are settled predominantly in Euro. These non-U.S. currency exchange rate risks are summarized in “Part II, Item 7A—Quantitative and Qualitative Disclosures About Market Risk” in our Annual Report. There has been no material change in our assessment of our sensitivity to non-U.S. currency exchange rate risk since December 31, 2024.</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bookmarkStart w:id="15" w:name="item_4_controls_procedures"/>
      <w:bookmarkEnd w:id="15"/>
      <w:r>
        <w:rPr>
          <w:rFonts w:ascii="Times New Roman" w:hAnsi="Times New Roman"/>
          <w:b/>
          <w:color w:val="000000"/>
          <w:sz w:val="20"/>
        </w:rPr>
        <w:t xml:space="preserve">Item 4. </w:t>
      </w:r>
      <w:r>
        <w:rPr>
          <w:rFonts w:ascii="Times New Roman" w:hAnsi="Times New Roman"/>
          <w:b/>
          <w:i/>
          <w:color w:val="000000"/>
          <w:sz w:val="20"/>
        </w:rPr>
        <w:t>Controls</w:t>
      </w:r>
      <w:r>
        <w:rPr>
          <w:rFonts w:ascii="Times New Roman" w:hAnsi="Times New Roman"/>
          <w:color w:val="000000"/>
          <w:sz w:val="20"/>
        </w:rPr>
        <w:t xml:space="preserve"> </w:t>
      </w:r>
      <w:r>
        <w:rPr>
          <w:rFonts w:ascii="Times New Roman" w:hAnsi="Times New Roman"/>
          <w:b/>
          <w:i/>
          <w:color w:val="000000"/>
          <w:sz w:val="20"/>
        </w:rPr>
        <w:t>and Procedures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a) Evaluation of Disclosure Controls and Procedures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management has evaluated, with the participation of our principal executive officer and interim principal financial officer, the effectiveness of our disclosure controls and procedures (as defined in Rules 13a-15(e) and 15d-15(e) under the Exchange Act) as of March 31, 2025. Based upon that evaluation, our principal executive officer and interim principal financial officer each concluded that, as of the end of the period covered by this report, our disclosure controls and procedures were effective to provide reasonable assurance that (a) the information required to be disclosed by us in the reports that we file or submit under the Exchange Act is recorded, processed, summarized and reported within the time periods specified in the SEC’s rules and forms, and (b) such information is accumulated and communicated to our management, including our principal executive officer and interim principal financial officer, as appropriate, to allow timely decisions regarding required disclosure. 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b) Change in Internal Control Over Financial Reporting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During the three months ended March 31, 2025, there have been no changes in our internal control over financial reporting that have materially affected, or are reasonably likely to materially affect, our internal control over financial reporting.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6" w:name="part_ii_or_information"/>
      <w:bookmarkEnd w:id="16"/>
      <w:r>
        <w:rPr>
          <w:rFonts w:ascii="Times New Roman" w:hAnsi="Times New Roman"/>
          <w:b/>
          <w:color w:val="000000"/>
          <w:sz w:val="20"/>
        </w:rPr>
        <w:t>PART II.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00" w:after="283"/>
        <w:jc w:val="left"/>
        <w:rPr>
          <w:rFonts w:ascii="Times New Roman" w:hAnsi="Times New Roman"/>
          <w:sz w:val="20"/>
        </w:rPr>
      </w:pPr>
      <w:bookmarkStart w:id="17" w:name="item_1_legal_proceedings"/>
      <w:bookmarkEnd w:id="17"/>
      <w:r>
        <w:rPr>
          <w:rFonts w:ascii="Times New Roman" w:hAnsi="Times New Roman"/>
          <w:b/>
          <w:color w:val="000000"/>
          <w:sz w:val="20"/>
        </w:rPr>
        <w:t>Item 1.</w:t>
      </w:r>
      <w:r>
        <w:rPr>
          <w:rFonts w:ascii="Times New Roman" w:hAnsi="Times New Roman"/>
          <w:color w:val="000000"/>
          <w:sz w:val="20"/>
        </w:rPr>
        <w:t xml:space="preserve"> </w:t>
      </w:r>
      <w:r>
        <w:rPr>
          <w:rFonts w:ascii="Times New Roman" w:hAnsi="Times New Roman"/>
          <w:b/>
          <w:i/>
          <w:color w:val="000000"/>
          <w:sz w:val="20"/>
        </w:rPr>
        <w:t>Legal</w:t>
      </w:r>
      <w:r>
        <w:rPr>
          <w:rFonts w:ascii="Times New Roman" w:hAnsi="Times New Roman"/>
          <w:color w:val="000000"/>
          <w:sz w:val="20"/>
        </w:rPr>
        <w:t xml:space="preserve"> </w:t>
      </w:r>
      <w:r>
        <w:rPr>
          <w:rFonts w:ascii="Times New Roman" w:hAnsi="Times New Roman"/>
          <w:b/>
          <w:i/>
          <w:color w:val="000000"/>
          <w:sz w:val="20"/>
        </w:rPr>
        <w:t>Proceedings</w:t>
      </w:r>
    </w:p>
    <w:p>
      <w:pPr>
        <w:pStyle w:val="TextBody"/>
        <w:bidi w:val="0"/>
        <w:spacing w:before="160" w:after="283"/>
        <w:jc w:val="left"/>
        <w:rPr>
          <w:rFonts w:ascii="Times New Roman" w:hAnsi="Times New Roman"/>
          <w:sz w:val="20"/>
        </w:rPr>
      </w:pPr>
      <w:r>
        <w:rPr>
          <w:rFonts w:ascii="Times New Roman" w:hAnsi="Times New Roman"/>
          <w:color w:val="000000"/>
          <w:sz w:val="20"/>
        </w:rPr>
        <w:t xml:space="preserve">For information regarding legal proceedings, see the discussion of legal proceedings in Note 16, </w:t>
      </w:r>
      <w:r>
        <w:rPr>
          <w:rFonts w:ascii="Times New Roman" w:hAnsi="Times New Roman"/>
          <w:i/>
          <w:color w:val="000000"/>
          <w:sz w:val="20"/>
        </w:rPr>
        <w:t>Commitments and Contingent Liabilities</w:t>
      </w:r>
      <w:r>
        <w:rPr>
          <w:rFonts w:ascii="Times New Roman" w:hAnsi="Times New Roman"/>
          <w:color w:val="000000"/>
          <w:sz w:val="20"/>
        </w:rPr>
        <w:t xml:space="preserve"> in the “Notes to Condensed Consolidated Financial Statements” in this Form 10-Q, which discussion is incorporated into this Part II, Item 1 by reference.</w:t>
      </w:r>
    </w:p>
    <w:p>
      <w:pPr>
        <w:pStyle w:val="TextBody"/>
        <w:bidi w:val="0"/>
        <w:spacing w:before="160" w:after="283"/>
        <w:jc w:val="left"/>
        <w:rPr>
          <w:rFonts w:ascii="Times New Roman" w:hAnsi="Times New Roman"/>
          <w:sz w:val="20"/>
        </w:rPr>
      </w:pPr>
      <w:bookmarkStart w:id="18" w:name="item_1a_risk_factors"/>
      <w:bookmarkEnd w:id="18"/>
      <w:r>
        <w:rPr>
          <w:rFonts w:ascii="Times New Roman" w:hAnsi="Times New Roman"/>
          <w:b/>
          <w:color w:val="000000"/>
          <w:sz w:val="20"/>
        </w:rPr>
        <w:t>Item 1A.</w:t>
      </w:r>
      <w:r>
        <w:rPr>
          <w:rFonts w:ascii="Times New Roman" w:hAnsi="Times New Roman"/>
          <w:color w:val="000000"/>
          <w:sz w:val="20"/>
        </w:rPr>
        <w:t xml:space="preserve"> </w:t>
      </w:r>
      <w:r>
        <w:rPr>
          <w:rFonts w:ascii="Times New Roman" w:hAnsi="Times New Roman"/>
          <w:b/>
          <w:i/>
          <w:color w:val="000000"/>
          <w:sz w:val="20"/>
        </w:rPr>
        <w:t>Risk Factors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Changes in global trade or other policies, including tariffs or other restrictions imposed by the U.S. government or governments of other nations, could have an adverse effect on our business, results of operations, or financial condition.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 a global biopharmaceutical company, changes in and uncertainties from global trade or other policies, including tariffs or other restrictions imposed by the U.S. government or governments of other nations, may have an adverse effect on us. For example, in April 2025, the U.S. government announced the imposition of a baseline 10% tariff on imports from virtually all countries and additional customized tariffs on certain imports (including country-specific and product-specific tariffs), following its imposition of a 25% tariff on certain imports from Mexico and Canada earlier in 2025. In response, certain countries have imposed, or announced intentions to impose, tariffs on U.S. imports. Although some of these tariffs are temporarily paused, their impact has already been seen, and we expect will continue to be seen, in global markets. Our proprietary products are manufactured at our manufacturing facility in the U.S. and are sold exclusively in the U.S.; however, certain materials in our supply chain are sourced internationally and certain of the third-party products from which we derive revenue are manufactured outside the U.S. Our related costs, revenues and/or profits may be impacted to varying degrees by recent or future changes in global trade or other policies. In addition, the recent changes, tensions and uncertainties related to global trade policies have caused, and may continue to cause, significant volatility in global markets, including the market for our ordinary shares. The price of our ordinary shares has fluctuated significantly, and may continue to fluctuate, as a result of these and similar developments. The U.S. government has also indicated that it may impose a supplemental tariff on all pharmaceutical imports or take additional actions in respect of pharmaceutical companies incorporated outside of the U.S., which has caused, and may continue to cause, uncertainty as to the extent of the impacts of changes in global trade on the pharmaceutical industry as a whole and on our business. Additional changes to the policies of the U.S. or other nations that affect the geopolitical landscape or global trade, economic or market conditions, and other direct or indirect impacts of such policies, are uncertain and unpredictable, and could, in the future, have a material adverse effect on our business, results of operations, or financial condition and the market price of our ordinary shares.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above risk factor should be read in conjunction with the risk factors disclosed in “Part I, Item 1A—Risk Factors” of our Annual Report.</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bookmarkStart w:id="19" w:name="item_2_unregistered_sales_equity_securit"/>
      <w:bookmarkEnd w:id="19"/>
      <w:r>
        <w:rPr>
          <w:rFonts w:ascii="Times New Roman" w:hAnsi="Times New Roman"/>
          <w:b/>
          <w:color w:val="000000"/>
          <w:sz w:val="20"/>
        </w:rPr>
        <w:t>Item 2.</w:t>
      </w:r>
      <w:r>
        <w:rPr>
          <w:rFonts w:ascii="Times New Roman" w:hAnsi="Times New Roman"/>
          <w:color w:val="000000"/>
          <w:sz w:val="20"/>
        </w:rPr>
        <w:t xml:space="preserve"> </w:t>
      </w:r>
      <w:r>
        <w:rPr>
          <w:rFonts w:ascii="Times New Roman" w:hAnsi="Times New Roman"/>
          <w:b/>
          <w:i/>
          <w:color w:val="000000"/>
          <w:sz w:val="20"/>
        </w:rPr>
        <w:t>Unregistered Sales of Equity Securities and Use of Proceeds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following table summarizes purchases of our ordinary shares made by or on behalf of us or any of our affiliated purchasers, as defined in Rule 10b-18(a)(3) under the Exchange Act, during the three months ended March 31,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65"/>
        <w:gridCol w:w="146"/>
        <w:gridCol w:w="223"/>
        <w:gridCol w:w="1197"/>
        <w:gridCol w:w="146"/>
        <w:gridCol w:w="146"/>
        <w:gridCol w:w="333"/>
        <w:gridCol w:w="907"/>
        <w:gridCol w:w="146"/>
        <w:gridCol w:w="146"/>
        <w:gridCol w:w="594"/>
        <w:gridCol w:w="1414"/>
        <w:gridCol w:w="146"/>
        <w:gridCol w:w="146"/>
        <w:gridCol w:w="661"/>
        <w:gridCol w:w="1794"/>
        <w:gridCol w:w="595"/>
      </w:tblGrid>
      <w:tr>
        <w:trPr/>
        <w:tc>
          <w:tcPr>
            <w:tcW w:w="14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1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6"/>
              </w:rPr>
              <w:t>Total Number of Ordinary Shares Purchased</w:t>
              <w:br/>
              <w:t>(a)</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 Paid per Ordinary Share</w:t>
              <w:b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6"/>
              </w:rPr>
              <w:t>Total Number of Ordinary Shares Purchased as Part of Publicly Announced Program</w:t>
              <w:br/>
              <w:t>(c)</w:t>
            </w:r>
            <w:r>
              <w:rPr>
                <w:rFonts w:ascii="Times New Roman" w:hAnsi="Times New Roman"/>
                <w:b/>
                <w:color w:val="000000"/>
                <w:sz w:val="13"/>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6"/>
              </w:rPr>
              <w:t xml:space="preserve">Approximate Dollar Value (in millions) of Ordinary Shares that May Yet Be Purchased Under the Program </w:t>
              <w:br/>
              <w:t>(d)</w:t>
            </w:r>
            <w:r>
              <w:rPr>
                <w:rFonts w:ascii="Times New Roman" w:hAnsi="Times New Roman"/>
                <w:b/>
                <w:color w:val="000000"/>
                <w:sz w:val="13"/>
              </w:rPr>
              <w:t>(2)</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 2025 – January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 2025 – February 28,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832,359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 2025 –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46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19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834,590</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3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59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1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8" w:space="1" w:color="000000"/>
        </w:pBdr>
        <w:bidi w:val="0"/>
        <w:jc w:val="left"/>
        <w:rPr/>
      </w:pPr>
      <w:r>
        <w:rPr/>
        <w:t>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Consists of ordinary shares acquired during the three months ended March 31, 2025 to satisfy tax withholding obligations related to the vesting of equity awards.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In February 2024, we announced approval by our board of directors of the Repurchase Program, which authorized the repurchase of our ordinary shares in an aggregate amount of up to $400.0 million (exclusive of any fees, commissions or other expenses related to such repurchases) from time to time. The specific timing and amounts of repurchases under the Repurchase Program will depend on a variety of factors, including but not limited to ongoing assessments of our needs, alternative investment opportunities, the market price of our ordinary shares and general market conditions. The Repurchase Program has no set expiration date and may be suspended or discontinued at any time. </w:t>
      </w:r>
    </w:p>
    <w:p>
      <w:pPr>
        <w:pStyle w:val="TextBody"/>
        <w:bidi w:val="0"/>
        <w:spacing w:before="160" w:after="283"/>
        <w:jc w:val="left"/>
        <w:rPr>
          <w:rFonts w:ascii="Times New Roman" w:hAnsi="Times New Roman"/>
          <w:sz w:val="20"/>
        </w:rPr>
      </w:pPr>
      <w:bookmarkStart w:id="20" w:name="item_5_or_information"/>
      <w:bookmarkEnd w:id="20"/>
      <w:r>
        <w:rPr>
          <w:rFonts w:ascii="Times New Roman" w:hAnsi="Times New Roman"/>
          <w:b/>
          <w:color w:val="000000"/>
          <w:sz w:val="20"/>
        </w:rPr>
        <w:t>Item 5.</w:t>
      </w:r>
      <w:r>
        <w:rPr>
          <w:rFonts w:ascii="Times New Roman" w:hAnsi="Times New Roman"/>
          <w:color w:val="000000"/>
          <w:sz w:val="20"/>
        </w:rPr>
        <w:t xml:space="preserve"> </w:t>
      </w:r>
      <w:r>
        <w:rPr>
          <w:rFonts w:ascii="Times New Roman" w:hAnsi="Times New Roman"/>
          <w:b/>
          <w:i/>
          <w:color w:val="000000"/>
          <w:sz w:val="20"/>
        </w:rPr>
        <w:t>Other</w:t>
      </w:r>
      <w:r>
        <w:rPr>
          <w:rFonts w:ascii="Times New Roman" w:hAnsi="Times New Roman"/>
          <w:color w:val="000000"/>
          <w:sz w:val="20"/>
        </w:rPr>
        <w:t xml:space="preserve"> </w:t>
      </w:r>
      <w:r>
        <w:rPr>
          <w:rFonts w:ascii="Times New Roman" w:hAnsi="Times New Roman"/>
          <w:b/>
          <w:i/>
          <w:color w:val="000000"/>
          <w:sz w:val="20"/>
        </w:rPr>
        <w:t>Information</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During the three months ended March 31, 2025, the following officers (as defined in Rule 16a-1(f) under the Exchange Act) and directors of the Company adopted or terminated contracts, instructions or written plans for the purchase or sale of the Company’s securities that are or were intended to satisfy the affirmative defense conditions of Rule 10b5-1(c) under the Exchange Act (each, a “Rule 10b5-1 plan”) as follows: (i) on February 14, 2025, Craig Hopkinson, M.D., our Executive Vice President, Research and Development and Chief Medical Officer, terminated a Rule 10b5-1 plan that provided for the sale of up to 820,467 ordinary shares of the Company and was scheduled to expire on July 31, 2025; (ii) on February 27, 2025, Shane Cooke, a director, adopted a Rule 10b5-1 plan providing for the sale of up to 61,200 ordinary shares of the Company that may be obtained from the exercise of vested stock options; this plan is scheduled to expire on February 27, 2026; (iii) on March 10, 2025, Christian Todd Nichols, our Senior Vice President Chief Commercial Officer, adopted a Rule 10b5-1 plan providing for the sale of up to 6,667 ordinary shares of the Company; this plan is scheduled to expire on December 9, 2025; and (iv) on March 14, 2025, Craig Hopkinson, M.D., our Executive Vice President, Research and Development and Chief Medical Officer, adopted a Rule 10b5-1 plan providing for the sale of up to 108,000 ordinary shares of the Company (including shares that may be obtained from the exercise of vested stock options); this plan is scheduled to expire on September 30, 2026. During the three months ended March 31, 2025, no other officers or directors of the Company adopted, modified or terminated a Rule 10b5-1 plan or a trading plan not intended to satisfy the affirmative defense conditions of Rule 10b5-1(c) under the Exchange Act.</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1" w:name="item_6_exhibits"/>
      <w:bookmarkEnd w:id="21"/>
      <w:r>
        <w:rPr>
          <w:rFonts w:ascii="Times New Roman" w:hAnsi="Times New Roman"/>
          <w:b/>
          <w:color w:val="000000"/>
          <w:sz w:val="20"/>
        </w:rPr>
        <w:t>Item 6.</w:t>
      </w:r>
      <w:r>
        <w:rPr>
          <w:rFonts w:ascii="Times New Roman" w:hAnsi="Times New Roman"/>
          <w:color w:val="000000"/>
          <w:sz w:val="20"/>
        </w:rPr>
        <w:t xml:space="preserve"> </w:t>
      </w:r>
      <w:r>
        <w:rPr>
          <w:rFonts w:ascii="Times New Roman" w:hAnsi="Times New Roman"/>
          <w:b/>
          <w:i/>
          <w:color w:val="000000"/>
          <w:sz w:val="20"/>
        </w:rPr>
        <w:t>Exhibits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exhibits are filed or furnished as part of this Form 10-Q:</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38"/>
        <w:gridCol w:w="290"/>
        <w:gridCol w:w="8877"/>
      </w:tblGrid>
      <w:tr>
        <w:trPr/>
        <w:tc>
          <w:tcPr>
            <w:tcW w:w="10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877" w:type="dxa"/>
            <w:tcBorders/>
            <w:vAlign w:val="center"/>
          </w:tcPr>
          <w:p>
            <w:pPr>
              <w:pStyle w:val="TableContents"/>
              <w:bidi w:val="0"/>
              <w:spacing w:before="0" w:after="283"/>
              <w:jc w:val="left"/>
              <w:rPr>
                <w:sz w:val="4"/>
                <w:szCs w:val="4"/>
              </w:rPr>
            </w:pPr>
            <w:r>
              <w:rPr>
                <w:sz w:val="4"/>
                <w:szCs w:val="4"/>
              </w:rPr>
            </w:r>
          </w:p>
        </w:tc>
      </w:tr>
      <w:tr>
        <w:trPr/>
        <w:tc>
          <w:tcPr>
            <w:tcW w:w="1038"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No.</w:t>
            </w:r>
          </w:p>
        </w:tc>
        <w:tc>
          <w:tcPr>
            <w:tcW w:w="290"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8877"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 of Exhibit</w:t>
            </w:r>
          </w:p>
        </w:tc>
      </w:tr>
      <w:tr>
        <w:trPr/>
        <w:tc>
          <w:tcPr>
            <w:tcW w:w="103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7"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alks-ex31_1.htm">
              <w:r>
                <w:rPr>
                  <w:rStyle w:val="InternetLink"/>
                  <w:rFonts w:ascii="Times New Roman" w:hAnsi="Times New Roman"/>
                  <w:color w:val="0000FF"/>
                  <w:sz w:val="20"/>
                  <w:u w:val="single"/>
                </w:rPr>
                <w:t>Rule 13a-14(a)/15d-14(a) Certification.</w:t>
              </w:r>
            </w:hyperlink>
          </w:p>
        </w:tc>
      </w:tr>
      <w:tr>
        <w:trPr/>
        <w:tc>
          <w:tcPr>
            <w:tcW w:w="103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31.2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8877"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alks-ex31_2.htm">
              <w:r>
                <w:rPr>
                  <w:rStyle w:val="InternetLink"/>
                  <w:rFonts w:ascii="Times New Roman" w:hAnsi="Times New Roman"/>
                  <w:color w:val="0000FF"/>
                  <w:sz w:val="20"/>
                  <w:u w:val="single"/>
                </w:rPr>
                <w:t>Rule 13a-14(a)/15d-14(a) Certification.</w:t>
              </w:r>
            </w:hyperlink>
          </w:p>
        </w:tc>
      </w:tr>
      <w:tr>
        <w:trPr/>
        <w:tc>
          <w:tcPr>
            <w:tcW w:w="103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32.1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7"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alks-ex32_1.htm">
              <w:r>
                <w:rPr>
                  <w:rStyle w:val="InternetLink"/>
                  <w:rFonts w:ascii="Times New Roman" w:hAnsi="Times New Roman"/>
                  <w:color w:val="0000FF"/>
                  <w:sz w:val="20"/>
                  <w:u w:val="single"/>
                </w:rPr>
                <w:t>Certification pursuant to 18 U.S.C. Section 1350, as adopted pursuant to Section 906 of the Sarbanes-Oxley Act of 2002.</w:t>
              </w:r>
            </w:hyperlink>
          </w:p>
        </w:tc>
      </w:tr>
      <w:tr>
        <w:trPr/>
        <w:tc>
          <w:tcPr>
            <w:tcW w:w="103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101.SCH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8877"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Inline XBRL Taxonomy Extension Schema Document with Embedded Linkbase Documents.</w:t>
            </w:r>
          </w:p>
        </w:tc>
      </w:tr>
      <w:tr>
        <w:trPr/>
        <w:tc>
          <w:tcPr>
            <w:tcW w:w="103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with applicable taxonomy extension information contained in Exhibit 101)</w:t>
            </w:r>
          </w:p>
        </w:tc>
      </w:tr>
    </w:tbl>
    <w:p>
      <w:pPr>
        <w:pStyle w:val="TextBody"/>
        <w:pBdr>
          <w:bottom w:val="single" w:sz="4"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Furnished herewith.</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7022" w:type="dxa"/>
        <w:jc w:val="left"/>
        <w:tblInd w:w="0" w:type="dxa"/>
        <w:tblLayout w:type="fixed"/>
        <w:tblCellMar>
          <w:top w:w="28" w:type="dxa"/>
          <w:left w:w="28" w:type="dxa"/>
          <w:bottom w:w="28" w:type="dxa"/>
          <w:right w:w="28" w:type="dxa"/>
        </w:tblCellMar>
      </w:tblPr>
      <w:tblGrid>
        <w:gridCol w:w="1636"/>
        <w:gridCol w:w="622"/>
        <w:gridCol w:w="4357"/>
        <w:gridCol w:w="407"/>
      </w:tblGrid>
      <w:tr>
        <w:trPr/>
        <w:tc>
          <w:tcPr>
            <w:tcW w:w="163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435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79"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ALKERMES PLC</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pPr>
            <w:r>
              <w:rPr/>
              <w:t> </w:t>
            </w:r>
          </w:p>
        </w:tc>
        <w:tc>
          <w:tcPr>
            <w:tcW w:w="435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79"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pPr>
            <w:r>
              <w:rPr/>
              <w:t> </w:t>
            </w:r>
          </w:p>
        </w:tc>
        <w:tc>
          <w:tcPr>
            <w:tcW w:w="435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pPr>
            <w:r>
              <w:rPr/>
              <w:t> </w:t>
            </w:r>
          </w:p>
        </w:tc>
        <w:tc>
          <w:tcPr>
            <w:tcW w:w="435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By:</w:t>
            </w:r>
          </w:p>
        </w:tc>
        <w:tc>
          <w:tcPr>
            <w:tcW w:w="4357" w:type="dxa"/>
            <w:tcBorders>
              <w:bottom w:val="single" w:sz="6" w:space="0" w:color="000000"/>
            </w:tcBorders>
            <w:shd w:fill="FFFFFF" w:val="clear"/>
            <w:tcMar>
              <w:top w:w="0" w:type="dxa"/>
              <w:left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/s/ Richard F. Pops</w:t>
            </w:r>
          </w:p>
        </w:tc>
        <w:tc>
          <w:tcPr>
            <w:tcW w:w="407"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pPr>
            <w:r>
              <w:rPr/>
              <w:t> </w:t>
            </w:r>
          </w:p>
        </w:tc>
        <w:tc>
          <w:tcPr>
            <w:tcW w:w="435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Richard F. Pops</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pPr>
            <w:r>
              <w:rPr/>
              <w:t> </w:t>
            </w:r>
          </w:p>
        </w:tc>
        <w:tc>
          <w:tcPr>
            <w:tcW w:w="435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Chairman and Chief Executive Officer</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pPr>
            <w:r>
              <w:rPr/>
              <w:t> </w:t>
            </w:r>
          </w:p>
        </w:tc>
        <w:tc>
          <w:tcPr>
            <w:tcW w:w="435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(Principal Executive Officer)</w:t>
            </w:r>
          </w:p>
        </w:tc>
        <w:tc>
          <w:tcPr>
            <w:tcW w:w="40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pPr>
            <w:r>
              <w:rPr/>
              <w:t> </w:t>
            </w:r>
          </w:p>
        </w:tc>
      </w:tr>
      <w:tr>
        <w:trPr/>
        <w:tc>
          <w:tcPr>
            <w:tcW w:w="7022" w:type="dxa"/>
            <w:gridSpan w:val="4"/>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pPr>
            <w:r>
              <w:rPr/>
              <w:t> </w:t>
            </w:r>
          </w:p>
        </w:tc>
        <w:tc>
          <w:tcPr>
            <w:tcW w:w="4979"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By:</w:t>
            </w:r>
          </w:p>
        </w:tc>
        <w:tc>
          <w:tcPr>
            <w:tcW w:w="4357" w:type="dxa"/>
            <w:tcBorders>
              <w:bottom w:val="single" w:sz="6" w:space="0" w:color="000000"/>
            </w:tcBorders>
            <w:shd w:fill="FFFFFF" w:val="clear"/>
            <w:tcMar>
              <w:top w:w="0" w:type="dxa"/>
              <w:left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/s/ Blair C. Jackson</w:t>
            </w:r>
          </w:p>
        </w:tc>
        <w:tc>
          <w:tcPr>
            <w:tcW w:w="407"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pPr>
            <w:r>
              <w:rPr/>
              <w:t> </w:t>
            </w:r>
          </w:p>
        </w:tc>
        <w:tc>
          <w:tcPr>
            <w:tcW w:w="435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Blair C. Jackson</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pPr>
            <w:r>
              <w:rPr/>
              <w:t> </w:t>
            </w:r>
          </w:p>
        </w:tc>
        <w:tc>
          <w:tcPr>
            <w:tcW w:w="435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Executive Vice President, Chief Operating Officer</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pPr>
            <w:r>
              <w:rPr/>
              <w:t> </w:t>
            </w:r>
          </w:p>
        </w:tc>
        <w:tc>
          <w:tcPr>
            <w:tcW w:w="435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(Interim Principal Financial Officer)</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Date: May 1, 2025</w:t>
            </w:r>
          </w:p>
        </w:tc>
        <w:tc>
          <w:tcPr>
            <w:tcW w:w="622"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right"/>
              <w:rPr/>
            </w:pPr>
            <w:r>
              <w:rPr/>
              <w:t> </w:t>
            </w:r>
          </w:p>
        </w:tc>
        <w:tc>
          <w:tcPr>
            <w:tcW w:w="4357"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alks-ex31_1.htm"/>
      <w:bookmarkStart w:id="24" w:name="ksalksex31_1"/>
      <w:bookmarkEnd w:id="23"/>
      <w:bookmarkEnd w:id="24"/>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Richard F. Pops,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Alkermes plc;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pPr>
      <w:r>
        <w:rPr/>
        <w:t> </w:t>
      </w:r>
    </w:p>
    <w:tbl>
      <w:tblPr>
        <w:tblW w:w="5184" w:type="dxa"/>
        <w:jc w:val="left"/>
        <w:tblInd w:w="0" w:type="dxa"/>
        <w:tblLayout w:type="fixed"/>
        <w:tblCellMar>
          <w:top w:w="28" w:type="dxa"/>
          <w:left w:w="28" w:type="dxa"/>
          <w:bottom w:w="28" w:type="dxa"/>
          <w:right w:w="28" w:type="dxa"/>
        </w:tblCellMar>
      </w:tblPr>
      <w:tblGrid>
        <w:gridCol w:w="161"/>
        <w:gridCol w:w="1621"/>
        <w:gridCol w:w="146"/>
        <w:gridCol w:w="3256"/>
      </w:tblGrid>
      <w:tr>
        <w:trPr/>
        <w:tc>
          <w:tcPr>
            <w:tcW w:w="16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Richard F. Pops</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F. Pops</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and Chief Executive Officer</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alks-ex31_2.htm"/>
      <w:bookmarkStart w:id="26" w:name="ksalksex31_2"/>
      <w:bookmarkEnd w:id="25"/>
      <w:bookmarkEnd w:id="26"/>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Blair C. Jackson,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Alkermes plc;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pPr>
      <w:r>
        <w:rPr/>
        <w:t> </w:t>
      </w:r>
    </w:p>
    <w:tbl>
      <w:tblPr>
        <w:tblW w:w="6114" w:type="dxa"/>
        <w:jc w:val="left"/>
        <w:tblInd w:w="0" w:type="dxa"/>
        <w:tblLayout w:type="fixed"/>
        <w:tblCellMar>
          <w:top w:w="28" w:type="dxa"/>
          <w:left w:w="28" w:type="dxa"/>
          <w:bottom w:w="28" w:type="dxa"/>
          <w:right w:w="28" w:type="dxa"/>
        </w:tblCellMar>
      </w:tblPr>
      <w:tblGrid>
        <w:gridCol w:w="161"/>
        <w:gridCol w:w="1621"/>
        <w:gridCol w:w="146"/>
        <w:gridCol w:w="4186"/>
      </w:tblGrid>
      <w:tr>
        <w:trPr/>
        <w:tc>
          <w:tcPr>
            <w:tcW w:w="16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Blair C. Jackson</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Blair C. Jackson</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Operating Officer</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(Interim 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alks-ex32_1.htm"/>
      <w:bookmarkStart w:id="28" w:name="ksalksex32_1"/>
      <w:bookmarkEnd w:id="27"/>
      <w:bookmarkEnd w:id="28"/>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Alkermes plc (the “Company”) for the period ended March 31, 2025 as filed with the Securities and Exchange Commission on the date hereof (the “Report”), we, Richard F. Pops, Chairman and Chief Executive Officer of the Company, and Blair C. Jackson, Executive Vice President, Chief Operating Officer and Interim Principal Financial Officer of the Company, certify, pursuant to 18 U.S.C. Section 1350, as adopted pursuant to Section 906 of the Sarbanes-Oxley Act of 2002, that to our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6385" w:type="dxa"/>
        <w:jc w:val="left"/>
        <w:tblInd w:w="0" w:type="dxa"/>
        <w:tblLayout w:type="fixed"/>
        <w:tblCellMar>
          <w:top w:w="28" w:type="dxa"/>
          <w:left w:w="28" w:type="dxa"/>
          <w:bottom w:w="28" w:type="dxa"/>
          <w:right w:w="28" w:type="dxa"/>
        </w:tblCellMar>
      </w:tblPr>
      <w:tblGrid>
        <w:gridCol w:w="432"/>
        <w:gridCol w:w="1621"/>
        <w:gridCol w:w="146"/>
        <w:gridCol w:w="4186"/>
      </w:tblGrid>
      <w:tr>
        <w:trPr/>
        <w:tc>
          <w:tcPr>
            <w:tcW w:w="432"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rPr/>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Richard F. Pops</w:t>
            </w:r>
          </w:p>
        </w:tc>
      </w:tr>
      <w:tr>
        <w:trPr/>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F. Pops</w:t>
            </w:r>
          </w:p>
        </w:tc>
      </w:tr>
      <w:tr>
        <w:trPr/>
        <w:tc>
          <w:tcPr>
            <w:tcW w:w="4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and Chief Executive Officer</w:t>
            </w:r>
          </w:p>
        </w:tc>
      </w:tr>
      <w:tr>
        <w:trPr/>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432" w:type="dxa"/>
            <w:tcBorders/>
            <w:shd w:fill="FFFFFF" w:val="clear"/>
            <w:tcMar>
              <w:top w:w="0" w:type="dxa"/>
              <w:left w:w="0" w:type="dxa"/>
              <w:bottom w:w="0" w:type="dxa"/>
              <w:right w:w="0" w:type="dxa"/>
            </w:tcMar>
            <w:vAlign w:val="center"/>
          </w:tcPr>
          <w:p>
            <w:pPr>
              <w:pStyle w:val="TableContents"/>
              <w:bidi w:val="0"/>
              <w:spacing w:before="0" w:after="283"/>
              <w:ind w:left="0" w:right="0" w:firstLine="271"/>
              <w:jc w:val="center"/>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ind w:left="0" w:right="0" w:firstLine="271"/>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 w:type="dxa"/>
            <w:tcBorders/>
            <w:shd w:fill="FFFFFF" w:val="clear"/>
            <w:tcMar>
              <w:top w:w="0" w:type="dxa"/>
              <w:left w:w="0" w:type="dxa"/>
              <w:bottom w:w="0" w:type="dxa"/>
              <w:right w:w="0" w:type="dxa"/>
            </w:tcMar>
            <w:vAlign w:val="center"/>
          </w:tcPr>
          <w:p>
            <w:pPr>
              <w:pStyle w:val="TableContents"/>
              <w:bidi w:val="0"/>
              <w:spacing w:before="0" w:after="283"/>
              <w:ind w:left="0" w:right="0" w:firstLine="271"/>
              <w:jc w:val="center"/>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ind w:left="0" w:right="0" w:firstLine="271"/>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Blair C. Jackson</w:t>
            </w:r>
          </w:p>
        </w:tc>
      </w:tr>
      <w:tr>
        <w:trPr/>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Blair C. Jackson</w:t>
            </w:r>
          </w:p>
        </w:tc>
      </w:tr>
      <w:tr>
        <w:trPr/>
        <w:tc>
          <w:tcPr>
            <w:tcW w:w="4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Operating Officer</w:t>
            </w:r>
          </w:p>
        </w:tc>
      </w:tr>
      <w:tr>
        <w:trPr/>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(Interim Principal Financial Officer)</w:t>
            </w:r>
          </w:p>
        </w:tc>
      </w:tr>
      <w:tr>
        <w:trPr/>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16259</Words>
  <Characters>92486</Characters>
  <CharactersWithSpaces>110087</CharactersWithSpaces>
  <Paragraphs>5932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