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SECURITIES AND EXCHANGE COMMISSION</w:t>
      </w:r>
    </w:p>
    <w:p>
      <w:pPr>
        <w:ind w:left="4760"/>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SCHEDULE 14A</w:t>
      </w:r>
    </w:p>
    <w:p>
      <w:pPr>
        <w:spacing w:after="0" w:line="152"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6" w:lineRule="exact"/>
        <w:rPr>
          <w:sz w:val="24"/>
          <w:szCs w:val="24"/>
          <w:color w:val="auto"/>
        </w:rPr>
      </w:pPr>
    </w:p>
    <w:p>
      <w:pPr>
        <w:jc w:val="center"/>
        <w:ind w:right="-1100"/>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x</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o</w:t>
      </w: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46" w:lineRule="exact"/>
        <w:rPr>
          <w:sz w:val="24"/>
          <w:szCs w:val="24"/>
          <w:color w:val="auto"/>
        </w:rPr>
      </w:pPr>
    </w:p>
    <w:p>
      <w:pPr>
        <w:ind w:left="600" w:hanging="599"/>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41" w:lineRule="exact"/>
        <w:rPr>
          <w:rFonts w:ascii="Arial" w:cs="Arial" w:eastAsia="Arial" w:hAnsi="Arial"/>
          <w:sz w:val="16"/>
          <w:szCs w:val="16"/>
          <w:color w:val="auto"/>
        </w:rPr>
      </w:pPr>
    </w:p>
    <w:p>
      <w:pPr>
        <w:ind w:left="600" w:hanging="599"/>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9" w:lineRule="exact"/>
        <w:rPr>
          <w:rFonts w:ascii="Arial" w:cs="Arial" w:eastAsia="Arial" w:hAnsi="Arial"/>
          <w:sz w:val="16"/>
          <w:szCs w:val="16"/>
          <w:color w:val="auto"/>
        </w:rPr>
      </w:pPr>
    </w:p>
    <w:p>
      <w:pPr>
        <w:ind w:left="600" w:hanging="599"/>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46" w:lineRule="exact"/>
        <w:rPr>
          <w:sz w:val="24"/>
          <w:szCs w:val="24"/>
          <w:color w:val="auto"/>
        </w:rPr>
      </w:pPr>
    </w:p>
    <w:p>
      <w:pPr>
        <w:ind w:left="600" w:hanging="599"/>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46" w:lineRule="exact"/>
        <w:rPr>
          <w:sz w:val="24"/>
          <w:szCs w:val="24"/>
          <w:color w:val="auto"/>
        </w:rPr>
      </w:pPr>
    </w:p>
    <w:p>
      <w:pPr>
        <w:ind w:left="600" w:hanging="599"/>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3"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ALKERMES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4"/>
          <w:szCs w:val="24"/>
          <w:color w:val="auto"/>
        </w:rPr>
      </w:pPr>
    </w:p>
    <w:p>
      <w:pPr>
        <w:jc w:val="right"/>
        <w:ind w:right="21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46" w:lineRule="exact"/>
        <w:rPr>
          <w:sz w:val="24"/>
          <w:szCs w:val="24"/>
          <w:color w:val="auto"/>
        </w:rPr>
      </w:pPr>
    </w:p>
    <w:p>
      <w:pPr>
        <w:ind w:left="600" w:hanging="599"/>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46" w:lineRule="exact"/>
        <w:rPr>
          <w:sz w:val="24"/>
          <w:szCs w:val="24"/>
          <w:color w:val="auto"/>
        </w:rPr>
      </w:pPr>
    </w:p>
    <w:p>
      <w:pPr>
        <w:ind w:left="600" w:hanging="599"/>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45" w:lineRule="exact"/>
        <w:rPr>
          <w:rFonts w:ascii="Arial" w:cs="Arial" w:eastAsia="Arial" w:hAnsi="Arial"/>
          <w:sz w:val="16"/>
          <w:szCs w:val="16"/>
          <w:color w:val="auto"/>
        </w:rPr>
      </w:pPr>
    </w:p>
    <w:p>
      <w:pPr>
        <w:ind w:left="600" w:hanging="599"/>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785495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20"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0"/>
        </w:trPr>
        <w:tc>
          <w:tcPr>
            <w:tcW w:w="2040" w:type="dxa"/>
            <w:vAlign w:val="bottom"/>
            <w:tcBorders>
              <w:top w:val="single" w:sz="8" w:color="auto"/>
              <w:left w:val="single" w:sz="8" w:color="auto"/>
              <w:right w:val="single" w:sz="8" w:color="auto"/>
            </w:tcBorders>
            <w:shd w:val="clear" w:color="auto" w:fill="D9E2F3"/>
          </w:tcPr>
          <w:p>
            <w:pPr>
              <w:ind w:left="120"/>
              <w:spacing w:after="0"/>
              <w:rPr>
                <w:sz w:val="20"/>
                <w:szCs w:val="20"/>
                <w:color w:val="auto"/>
              </w:rPr>
            </w:pPr>
            <w:r>
              <w:rPr>
                <w:rFonts w:ascii="Arial" w:cs="Arial" w:eastAsia="Arial" w:hAnsi="Arial"/>
                <w:sz w:val="22"/>
                <w:szCs w:val="22"/>
                <w:b w:val="1"/>
                <w:bCs w:val="1"/>
                <w:color w:val="auto"/>
              </w:rPr>
              <w:t>Sarissa Myths</w:t>
            </w:r>
          </w:p>
        </w:tc>
        <w:tc>
          <w:tcPr>
            <w:tcW w:w="9200" w:type="dxa"/>
            <w:vAlign w:val="bottom"/>
            <w:tcBorders>
              <w:top w:val="single" w:sz="8" w:color="auto"/>
            </w:tcBorders>
            <w:gridSpan w:val="5"/>
            <w:shd w:val="clear" w:color="auto" w:fill="D9E2F3"/>
          </w:tcPr>
          <w:p>
            <w:pPr>
              <w:ind w:left="120"/>
              <w:spacing w:after="0"/>
              <w:rPr>
                <w:sz w:val="20"/>
                <w:szCs w:val="20"/>
                <w:color w:val="auto"/>
              </w:rPr>
            </w:pPr>
            <w:r>
              <w:rPr>
                <w:rFonts w:ascii="Arial" w:cs="Arial" w:eastAsia="Arial" w:hAnsi="Arial"/>
                <w:sz w:val="22"/>
                <w:szCs w:val="22"/>
                <w:b w:val="1"/>
                <w:bCs w:val="1"/>
                <w:color w:val="auto"/>
              </w:rPr>
              <w:t>Alkermes Facts</w:t>
            </w:r>
          </w:p>
        </w:tc>
        <w:tc>
          <w:tcPr>
            <w:tcW w:w="0" w:type="dxa"/>
            <w:vAlign w:val="bottom"/>
          </w:tcPr>
          <w:p>
            <w:pPr>
              <w:spacing w:after="0"/>
              <w:rPr>
                <w:sz w:val="1"/>
                <w:szCs w:val="1"/>
                <w:color w:val="auto"/>
              </w:rPr>
            </w:pPr>
          </w:p>
        </w:tc>
      </w:tr>
      <w:tr>
        <w:trPr>
          <w:trHeight w:val="125"/>
        </w:trPr>
        <w:tc>
          <w:tcPr>
            <w:tcW w:w="2040" w:type="dxa"/>
            <w:vAlign w:val="bottom"/>
            <w:tcBorders>
              <w:left w:val="single" w:sz="8" w:color="auto"/>
              <w:bottom w:val="single" w:sz="8" w:color="auto"/>
              <w:right w:val="single" w:sz="8" w:color="auto"/>
            </w:tcBorders>
            <w:shd w:val="clear" w:color="auto" w:fill="D9E2F3"/>
          </w:tcPr>
          <w:p>
            <w:pPr>
              <w:spacing w:after="0"/>
              <w:rPr>
                <w:sz w:val="10"/>
                <w:szCs w:val="10"/>
                <w:color w:val="auto"/>
              </w:rPr>
            </w:pPr>
          </w:p>
        </w:tc>
        <w:tc>
          <w:tcPr>
            <w:tcW w:w="3400" w:type="dxa"/>
            <w:vAlign w:val="bottom"/>
            <w:tcBorders>
              <w:bottom w:val="single" w:sz="8" w:color="auto"/>
            </w:tcBorders>
            <w:shd w:val="clear" w:color="auto" w:fill="D9E2F3"/>
          </w:tcPr>
          <w:p>
            <w:pPr>
              <w:spacing w:after="0"/>
              <w:rPr>
                <w:sz w:val="10"/>
                <w:szCs w:val="10"/>
                <w:color w:val="auto"/>
              </w:rPr>
            </w:pPr>
          </w:p>
        </w:tc>
        <w:tc>
          <w:tcPr>
            <w:tcW w:w="300" w:type="dxa"/>
            <w:vAlign w:val="bottom"/>
            <w:tcBorders>
              <w:bottom w:val="single" w:sz="8" w:color="auto"/>
            </w:tcBorders>
            <w:shd w:val="clear" w:color="auto" w:fill="D9E2F3"/>
          </w:tcPr>
          <w:p>
            <w:pPr>
              <w:spacing w:after="0"/>
              <w:rPr>
                <w:sz w:val="10"/>
                <w:szCs w:val="10"/>
                <w:color w:val="auto"/>
              </w:rPr>
            </w:pPr>
          </w:p>
        </w:tc>
        <w:tc>
          <w:tcPr>
            <w:tcW w:w="3780" w:type="dxa"/>
            <w:vAlign w:val="bottom"/>
            <w:tcBorders>
              <w:bottom w:val="single" w:sz="8" w:color="auto"/>
            </w:tcBorders>
            <w:shd w:val="clear" w:color="auto" w:fill="D9E2F3"/>
          </w:tcPr>
          <w:p>
            <w:pPr>
              <w:spacing w:after="0"/>
              <w:rPr>
                <w:sz w:val="10"/>
                <w:szCs w:val="10"/>
                <w:color w:val="auto"/>
              </w:rPr>
            </w:pPr>
          </w:p>
        </w:tc>
        <w:tc>
          <w:tcPr>
            <w:tcW w:w="320" w:type="dxa"/>
            <w:vAlign w:val="bottom"/>
            <w:tcBorders>
              <w:bottom w:val="single" w:sz="8" w:color="auto"/>
            </w:tcBorders>
            <w:shd w:val="clear" w:color="auto" w:fill="D9E2F3"/>
          </w:tcPr>
          <w:p>
            <w:pPr>
              <w:spacing w:after="0"/>
              <w:rPr>
                <w:sz w:val="10"/>
                <w:szCs w:val="10"/>
                <w:color w:val="auto"/>
              </w:rPr>
            </w:pPr>
          </w:p>
        </w:tc>
        <w:tc>
          <w:tcPr>
            <w:tcW w:w="1400" w:type="dxa"/>
            <w:vAlign w:val="bottom"/>
            <w:tcBorders>
              <w:bottom w:val="single" w:sz="8" w:color="auto"/>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40" w:type="dxa"/>
            <w:vAlign w:val="bottom"/>
          </w:tcPr>
          <w:p>
            <w:pPr>
              <w:ind w:left="120"/>
              <w:spacing w:after="0" w:line="247" w:lineRule="exact"/>
              <w:rPr>
                <w:sz w:val="20"/>
                <w:szCs w:val="20"/>
                <w:color w:val="auto"/>
              </w:rPr>
            </w:pPr>
            <w:r>
              <w:rPr>
                <w:rFonts w:ascii="Arial" w:cs="Arial" w:eastAsia="Arial" w:hAnsi="Arial"/>
                <w:sz w:val="22"/>
                <w:szCs w:val="22"/>
                <w:color w:val="auto"/>
              </w:rPr>
              <w:t>Sarissa claims that</w:t>
            </w:r>
          </w:p>
        </w:tc>
        <w:tc>
          <w:tcPr>
            <w:tcW w:w="9200" w:type="dxa"/>
            <w:vAlign w:val="bottom"/>
            <w:gridSpan w:val="5"/>
          </w:tcPr>
          <w:p>
            <w:pPr>
              <w:ind w:left="120"/>
              <w:spacing w:after="0" w:line="247" w:lineRule="exact"/>
              <w:rPr>
                <w:sz w:val="20"/>
                <w:szCs w:val="20"/>
                <w:color w:val="auto"/>
              </w:rPr>
            </w:pPr>
            <w:r>
              <w:rPr>
                <w:rFonts w:ascii="Arial" w:cs="Arial" w:eastAsia="Arial" w:hAnsi="Arial"/>
                <w:sz w:val="22"/>
                <w:szCs w:val="22"/>
                <w:b w:val="1"/>
                <w:bCs w:val="1"/>
                <w:color w:val="auto"/>
                <w:w w:val="93"/>
              </w:rPr>
              <w:t>Alkermes’ independent directors offered Sarissa two meetings per year with the full Board to</w:t>
            </w:r>
          </w:p>
        </w:tc>
        <w:tc>
          <w:tcPr>
            <w:tcW w:w="0" w:type="dxa"/>
            <w:vAlign w:val="bottom"/>
          </w:tcPr>
          <w:p>
            <w:pPr>
              <w:spacing w:after="0"/>
              <w:rPr>
                <w:sz w:val="1"/>
                <w:szCs w:val="1"/>
                <w:color w:val="auto"/>
              </w:rPr>
            </w:pPr>
          </w:p>
        </w:tc>
      </w:tr>
      <w:tr>
        <w:trPr>
          <w:trHeight w:val="242"/>
        </w:trPr>
        <w:tc>
          <w:tcPr>
            <w:tcW w:w="2040" w:type="dxa"/>
            <w:vAlign w:val="bottom"/>
          </w:tcPr>
          <w:p>
            <w:pPr>
              <w:ind w:left="120"/>
              <w:spacing w:after="0" w:line="242" w:lineRule="exact"/>
              <w:rPr>
                <w:sz w:val="20"/>
                <w:szCs w:val="20"/>
                <w:color w:val="auto"/>
              </w:rPr>
            </w:pPr>
            <w:r>
              <w:rPr>
                <w:rFonts w:ascii="Arial" w:cs="Arial" w:eastAsia="Arial" w:hAnsi="Arial"/>
                <w:sz w:val="22"/>
                <w:szCs w:val="22"/>
                <w:color w:val="auto"/>
              </w:rPr>
              <w:t>Alkermes’</w:t>
            </w:r>
          </w:p>
        </w:tc>
        <w:tc>
          <w:tcPr>
            <w:tcW w:w="7480" w:type="dxa"/>
            <w:vAlign w:val="bottom"/>
            <w:gridSpan w:val="3"/>
          </w:tcPr>
          <w:p>
            <w:pPr>
              <w:ind w:left="120"/>
              <w:spacing w:after="0" w:line="242" w:lineRule="exact"/>
              <w:rPr>
                <w:sz w:val="20"/>
                <w:szCs w:val="20"/>
                <w:color w:val="auto"/>
              </w:rPr>
            </w:pPr>
            <w:r>
              <w:rPr>
                <w:rFonts w:ascii="Arial" w:cs="Arial" w:eastAsia="Arial" w:hAnsi="Arial"/>
                <w:sz w:val="22"/>
                <w:szCs w:val="22"/>
                <w:b w:val="1"/>
                <w:bCs w:val="1"/>
                <w:color w:val="auto"/>
              </w:rPr>
              <w:t>allow Sarissa to present its views</w:t>
            </w:r>
          </w:p>
        </w:tc>
        <w:tc>
          <w:tcPr>
            <w:tcW w:w="320" w:type="dxa"/>
            <w:vAlign w:val="bottom"/>
            <w:tcBorders>
              <w:top w:val="single" w:sz="8" w:color="auto"/>
            </w:tcBorders>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20"/>
              <w:spacing w:after="0" w:line="243" w:lineRule="exact"/>
              <w:rPr>
                <w:sz w:val="20"/>
                <w:szCs w:val="20"/>
                <w:color w:val="auto"/>
              </w:rPr>
            </w:pPr>
            <w:r>
              <w:rPr>
                <w:rFonts w:ascii="Arial" w:cs="Arial" w:eastAsia="Arial" w:hAnsi="Arial"/>
                <w:sz w:val="22"/>
                <w:szCs w:val="22"/>
                <w:color w:val="auto"/>
                <w:w w:val="96"/>
              </w:rPr>
              <w:t>settlement offer had</w:t>
            </w:r>
          </w:p>
        </w:tc>
        <w:tc>
          <w:tcPr>
            <w:tcW w:w="9200" w:type="dxa"/>
            <w:vAlign w:val="bottom"/>
            <w:gridSpan w:val="5"/>
            <w:vMerge w:val="restart"/>
          </w:tcPr>
          <w:p>
            <w:pPr>
              <w:ind w:left="560"/>
              <w:spacing w:after="0" w:line="253" w:lineRule="exact"/>
              <w:rPr>
                <w:sz w:val="20"/>
                <w:szCs w:val="20"/>
                <w:color w:val="auto"/>
              </w:rPr>
            </w:pP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It is not commonplace for a full board to regularly meet with and receive presentations from a</w:t>
            </w:r>
          </w:p>
        </w:tc>
        <w:tc>
          <w:tcPr>
            <w:tcW w:w="0" w:type="dxa"/>
            <w:vAlign w:val="bottom"/>
          </w:tcPr>
          <w:p>
            <w:pPr>
              <w:spacing w:after="0"/>
              <w:rPr>
                <w:sz w:val="1"/>
                <w:szCs w:val="1"/>
                <w:color w:val="auto"/>
              </w:rPr>
            </w:pPr>
          </w:p>
        </w:tc>
      </w:tr>
      <w:tr>
        <w:trPr>
          <w:trHeight w:val="102"/>
        </w:trPr>
        <w:tc>
          <w:tcPr>
            <w:tcW w:w="20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no utility because</w:t>
            </w:r>
          </w:p>
        </w:tc>
        <w:tc>
          <w:tcPr>
            <w:tcW w:w="9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vMerge w:val="continu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9200" w:type="dxa"/>
            <w:vAlign w:val="bottom"/>
            <w:gridSpan w:val="5"/>
            <w:vMerge w:val="restart"/>
          </w:tcPr>
          <w:p>
            <w:pPr>
              <w:ind w:left="960"/>
              <w:spacing w:after="0"/>
              <w:rPr>
                <w:sz w:val="20"/>
                <w:szCs w:val="20"/>
                <w:color w:val="auto"/>
              </w:rPr>
            </w:pPr>
            <w:r>
              <w:rPr>
                <w:rFonts w:ascii="Arial" w:cs="Arial" w:eastAsia="Arial" w:hAnsi="Arial"/>
                <w:sz w:val="22"/>
                <w:szCs w:val="22"/>
                <w:color w:val="auto"/>
              </w:rPr>
              <w:t>shareholder, and it is disingenuous of Sarissa to claim otherwise</w:t>
            </w:r>
          </w:p>
        </w:tc>
        <w:tc>
          <w:tcPr>
            <w:tcW w:w="0" w:type="dxa"/>
            <w:vAlign w:val="bottom"/>
          </w:tcPr>
          <w:p>
            <w:pPr>
              <w:spacing w:after="0"/>
              <w:rPr>
                <w:sz w:val="1"/>
                <w:szCs w:val="1"/>
                <w:color w:val="auto"/>
              </w:rPr>
            </w:pPr>
          </w:p>
        </w:tc>
      </w:tr>
      <w:tr>
        <w:trPr>
          <w:trHeight w:val="153"/>
        </w:trPr>
        <w:tc>
          <w:tcPr>
            <w:tcW w:w="20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most companies</w:t>
            </w:r>
          </w:p>
        </w:tc>
        <w:tc>
          <w:tcPr>
            <w:tcW w:w="92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40" w:type="dxa"/>
            <w:vAlign w:val="bottom"/>
            <w:vMerge w:val="continue"/>
          </w:tcPr>
          <w:p>
            <w:pPr>
              <w:spacing w:after="0"/>
              <w:rPr>
                <w:sz w:val="7"/>
                <w:szCs w:val="7"/>
                <w:color w:val="auto"/>
              </w:rPr>
            </w:pPr>
          </w:p>
        </w:tc>
        <w:tc>
          <w:tcPr>
            <w:tcW w:w="9200" w:type="dxa"/>
            <w:vAlign w:val="bottom"/>
            <w:gridSpan w:val="5"/>
            <w:vMerge w:val="restart"/>
          </w:tcPr>
          <w:p>
            <w:pPr>
              <w:ind w:left="56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This offer was in addition to routine investor relations engagements, as the Company</w:t>
            </w:r>
          </w:p>
        </w:tc>
        <w:tc>
          <w:tcPr>
            <w:tcW w:w="0" w:type="dxa"/>
            <w:vAlign w:val="bottom"/>
          </w:tcPr>
          <w:p>
            <w:pPr>
              <w:spacing w:after="0"/>
              <w:rPr>
                <w:sz w:val="1"/>
                <w:szCs w:val="1"/>
                <w:color w:val="auto"/>
              </w:rPr>
            </w:pPr>
          </w:p>
        </w:tc>
      </w:tr>
      <w:tr>
        <w:trPr>
          <w:trHeight w:val="243"/>
        </w:trPr>
        <w:tc>
          <w:tcPr>
            <w:tcW w:w="2040" w:type="dxa"/>
            <w:vAlign w:val="bottom"/>
          </w:tcPr>
          <w:p>
            <w:pPr>
              <w:ind w:left="120"/>
              <w:spacing w:after="0" w:line="243" w:lineRule="exact"/>
              <w:rPr>
                <w:sz w:val="20"/>
                <w:szCs w:val="20"/>
                <w:color w:val="auto"/>
              </w:rPr>
            </w:pPr>
            <w:r>
              <w:rPr>
                <w:rFonts w:ascii="Arial" w:cs="Arial" w:eastAsia="Arial" w:hAnsi="Arial"/>
                <w:sz w:val="22"/>
                <w:szCs w:val="22"/>
                <w:color w:val="auto"/>
              </w:rPr>
              <w:t>meet with major</w:t>
            </w:r>
          </w:p>
        </w:tc>
        <w:tc>
          <w:tcPr>
            <w:tcW w:w="920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20"/>
              <w:spacing w:after="0" w:line="243" w:lineRule="exact"/>
              <w:rPr>
                <w:sz w:val="20"/>
                <w:szCs w:val="20"/>
                <w:color w:val="auto"/>
              </w:rPr>
            </w:pPr>
            <w:r>
              <w:rPr>
                <w:rFonts w:ascii="Arial" w:cs="Arial" w:eastAsia="Arial" w:hAnsi="Arial"/>
                <w:sz w:val="22"/>
                <w:szCs w:val="22"/>
                <w:color w:val="auto"/>
              </w:rPr>
              <w:t>shareholders</w:t>
            </w:r>
          </w:p>
        </w:tc>
        <w:tc>
          <w:tcPr>
            <w:tcW w:w="9200" w:type="dxa"/>
            <w:vAlign w:val="bottom"/>
            <w:gridSpan w:val="5"/>
          </w:tcPr>
          <w:p>
            <w:pPr>
              <w:ind w:left="960"/>
              <w:spacing w:after="0" w:line="243" w:lineRule="exact"/>
              <w:rPr>
                <w:sz w:val="20"/>
                <w:szCs w:val="20"/>
                <w:color w:val="auto"/>
              </w:rPr>
            </w:pPr>
            <w:r>
              <w:rPr>
                <w:rFonts w:ascii="Arial" w:cs="Arial" w:eastAsia="Arial" w:hAnsi="Arial"/>
                <w:sz w:val="22"/>
                <w:szCs w:val="22"/>
                <w:color w:val="auto"/>
              </w:rPr>
              <w:t>conducts with other shareholders</w:t>
            </w:r>
          </w:p>
        </w:tc>
        <w:tc>
          <w:tcPr>
            <w:tcW w:w="0" w:type="dxa"/>
            <w:vAlign w:val="bottom"/>
          </w:tcPr>
          <w:p>
            <w:pPr>
              <w:spacing w:after="0"/>
              <w:rPr>
                <w:sz w:val="1"/>
                <w:szCs w:val="1"/>
                <w:color w:val="auto"/>
              </w:rPr>
            </w:pPr>
          </w:p>
        </w:tc>
      </w:tr>
      <w:tr>
        <w:trPr>
          <w:trHeight w:val="243"/>
        </w:trPr>
        <w:tc>
          <w:tcPr>
            <w:tcW w:w="2040" w:type="dxa"/>
            <w:vAlign w:val="bottom"/>
          </w:tcPr>
          <w:p>
            <w:pPr>
              <w:ind w:left="120"/>
              <w:spacing w:after="0" w:line="243" w:lineRule="exact"/>
              <w:rPr>
                <w:sz w:val="20"/>
                <w:szCs w:val="20"/>
                <w:color w:val="auto"/>
              </w:rPr>
            </w:pPr>
            <w:r>
              <w:rPr>
                <w:rFonts w:ascii="Arial" w:cs="Arial" w:eastAsia="Arial" w:hAnsi="Arial"/>
                <w:sz w:val="22"/>
                <w:szCs w:val="22"/>
                <w:color w:val="auto"/>
              </w:rPr>
              <w:t>multiple times per</w:t>
            </w:r>
          </w:p>
        </w:tc>
        <w:tc>
          <w:tcPr>
            <w:tcW w:w="9200" w:type="dxa"/>
            <w:vAlign w:val="bottom"/>
            <w:gridSpan w:val="5"/>
            <w:vMerge w:val="restart"/>
          </w:tcPr>
          <w:p>
            <w:pPr>
              <w:ind w:left="560"/>
              <w:spacing w:after="0" w:line="253" w:lineRule="exact"/>
              <w:rPr>
                <w:sz w:val="20"/>
                <w:szCs w:val="20"/>
                <w:color w:val="auto"/>
              </w:rPr>
            </w:pPr>
            <w:r>
              <w:rPr>
                <w:rFonts w:ascii="MS PGothic" w:cs="MS PGothic" w:eastAsia="MS PGothic" w:hAnsi="MS PGothic"/>
                <w:sz w:val="22"/>
                <w:szCs w:val="22"/>
                <w:color w:val="auto"/>
                <w:w w:val="94"/>
              </w:rPr>
              <w:t>✓</w:t>
            </w:r>
            <w:r>
              <w:rPr>
                <w:rFonts w:ascii="Arial" w:cs="Arial" w:eastAsia="Arial" w:hAnsi="Arial"/>
                <w:sz w:val="22"/>
                <w:szCs w:val="22"/>
                <w:color w:val="auto"/>
                <w:w w:val="94"/>
              </w:rPr>
              <w:t xml:space="preserve">  Alkermes’ independent directors regularly engage with the Company’s shareholders; in the</w:t>
            </w:r>
          </w:p>
        </w:tc>
        <w:tc>
          <w:tcPr>
            <w:tcW w:w="0" w:type="dxa"/>
            <w:vAlign w:val="bottom"/>
          </w:tcPr>
          <w:p>
            <w:pPr>
              <w:spacing w:after="0"/>
              <w:rPr>
                <w:sz w:val="1"/>
                <w:szCs w:val="1"/>
                <w:color w:val="auto"/>
              </w:rPr>
            </w:pPr>
          </w:p>
        </w:tc>
      </w:tr>
      <w:tr>
        <w:trPr>
          <w:trHeight w:val="121"/>
        </w:trPr>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year</w:t>
            </w:r>
          </w:p>
        </w:tc>
        <w:tc>
          <w:tcPr>
            <w:tcW w:w="92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vMerge w:val="continue"/>
          </w:tcPr>
          <w:p>
            <w:pPr>
              <w:spacing w:after="0"/>
              <w:rPr>
                <w:sz w:val="13"/>
                <w:szCs w:val="13"/>
                <w:color w:val="auto"/>
              </w:rPr>
            </w:pPr>
          </w:p>
        </w:tc>
        <w:tc>
          <w:tcPr>
            <w:tcW w:w="9200" w:type="dxa"/>
            <w:vAlign w:val="bottom"/>
            <w:gridSpan w:val="5"/>
            <w:vMerge w:val="restart"/>
          </w:tcPr>
          <w:p>
            <w:pPr>
              <w:ind w:left="960"/>
              <w:spacing w:after="0" w:line="243" w:lineRule="exact"/>
              <w:rPr>
                <w:sz w:val="20"/>
                <w:szCs w:val="20"/>
                <w:color w:val="auto"/>
              </w:rPr>
            </w:pPr>
            <w:r>
              <w:rPr>
                <w:rFonts w:ascii="Arial" w:cs="Arial" w:eastAsia="Arial" w:hAnsi="Arial"/>
                <w:sz w:val="22"/>
                <w:szCs w:val="22"/>
                <w:color w:val="auto"/>
                <w:w w:val="97"/>
              </w:rPr>
              <w:t>one-year span from June 2022 to May 2023, independent directors participated in nine</w:t>
            </w: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92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40" w:type="dxa"/>
            <w:vAlign w:val="bottom"/>
          </w:tcPr>
          <w:p>
            <w:pPr>
              <w:spacing w:after="0"/>
              <w:rPr>
                <w:sz w:val="23"/>
                <w:szCs w:val="23"/>
                <w:color w:val="auto"/>
              </w:rPr>
            </w:pPr>
          </w:p>
        </w:tc>
        <w:tc>
          <w:tcPr>
            <w:tcW w:w="9200" w:type="dxa"/>
            <w:vAlign w:val="bottom"/>
            <w:gridSpan w:val="5"/>
          </w:tcPr>
          <w:p>
            <w:pPr>
              <w:ind w:left="960"/>
              <w:spacing w:after="0"/>
              <w:rPr>
                <w:sz w:val="20"/>
                <w:szCs w:val="20"/>
                <w:color w:val="auto"/>
              </w:rPr>
            </w:pPr>
            <w:r>
              <w:rPr>
                <w:rFonts w:ascii="Arial" w:cs="Arial" w:eastAsia="Arial" w:hAnsi="Arial"/>
                <w:sz w:val="22"/>
                <w:szCs w:val="22"/>
                <w:color w:val="auto"/>
              </w:rPr>
              <w:t>meetings with Sarissa and its representatives and nominees</w:t>
            </w:r>
          </w:p>
        </w:tc>
        <w:tc>
          <w:tcPr>
            <w:tcW w:w="0" w:type="dxa"/>
            <w:vAlign w:val="bottom"/>
          </w:tcPr>
          <w:p>
            <w:pPr>
              <w:spacing w:after="0"/>
              <w:rPr>
                <w:sz w:val="1"/>
                <w:szCs w:val="1"/>
                <w:color w:val="auto"/>
              </w:rPr>
            </w:pPr>
          </w:p>
        </w:tc>
      </w:tr>
      <w:tr>
        <w:trPr>
          <w:trHeight w:val="58"/>
        </w:trPr>
        <w:tc>
          <w:tcPr>
            <w:tcW w:w="204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040" w:type="dxa"/>
            <w:vAlign w:val="bottom"/>
          </w:tcPr>
          <w:p>
            <w:pPr>
              <w:ind w:left="120"/>
              <w:spacing w:after="0"/>
              <w:rPr>
                <w:sz w:val="20"/>
                <w:szCs w:val="20"/>
                <w:color w:val="auto"/>
              </w:rPr>
            </w:pPr>
            <w:r>
              <w:rPr>
                <w:rFonts w:ascii="Arial" w:cs="Arial" w:eastAsia="Arial" w:hAnsi="Arial"/>
                <w:sz w:val="22"/>
                <w:szCs w:val="22"/>
                <w:color w:val="auto"/>
              </w:rPr>
              <w:t>Sarissa claims that</w:t>
            </w:r>
          </w:p>
        </w:tc>
        <w:tc>
          <w:tcPr>
            <w:tcW w:w="9200" w:type="dxa"/>
            <w:vAlign w:val="bottom"/>
            <w:gridSpan w:val="5"/>
          </w:tcPr>
          <w:p>
            <w:pPr>
              <w:ind w:left="120"/>
              <w:spacing w:after="0"/>
              <w:rPr>
                <w:sz w:val="20"/>
                <w:szCs w:val="20"/>
                <w:color w:val="auto"/>
              </w:rPr>
            </w:pPr>
            <w:r>
              <w:rPr>
                <w:rFonts w:ascii="Arial" w:cs="Arial" w:eastAsia="Arial" w:hAnsi="Arial"/>
                <w:sz w:val="22"/>
                <w:szCs w:val="22"/>
                <w:b w:val="1"/>
                <w:bCs w:val="1"/>
                <w:color w:val="auto"/>
                <w:w w:val="88"/>
              </w:rPr>
              <w:t>Alkermes has recently updated its profitability expectations for 2023 and is on track to achieve its</w:t>
            </w:r>
          </w:p>
        </w:tc>
        <w:tc>
          <w:tcPr>
            <w:tcW w:w="0" w:type="dxa"/>
            <w:vAlign w:val="bottom"/>
          </w:tcPr>
          <w:p>
            <w:pPr>
              <w:spacing w:after="0"/>
              <w:rPr>
                <w:sz w:val="1"/>
                <w:szCs w:val="1"/>
                <w:color w:val="auto"/>
              </w:rPr>
            </w:pPr>
          </w:p>
        </w:tc>
      </w:tr>
      <w:tr>
        <w:trPr>
          <w:trHeight w:val="249"/>
        </w:trPr>
        <w:tc>
          <w:tcPr>
            <w:tcW w:w="2040" w:type="dxa"/>
            <w:vAlign w:val="bottom"/>
          </w:tcPr>
          <w:p>
            <w:pPr>
              <w:ind w:left="120"/>
              <w:spacing w:after="0" w:line="249" w:lineRule="exact"/>
              <w:rPr>
                <w:sz w:val="20"/>
                <w:szCs w:val="20"/>
                <w:color w:val="auto"/>
              </w:rPr>
            </w:pPr>
            <w:r>
              <w:rPr>
                <w:rFonts w:ascii="Arial" w:cs="Arial" w:eastAsia="Arial" w:hAnsi="Arial"/>
                <w:sz w:val="22"/>
                <w:szCs w:val="22"/>
                <w:color w:val="auto"/>
              </w:rPr>
              <w:t>Alkermes’ costs,</w:t>
            </w:r>
          </w:p>
        </w:tc>
        <w:tc>
          <w:tcPr>
            <w:tcW w:w="9200" w:type="dxa"/>
            <w:vAlign w:val="bottom"/>
            <w:gridSpan w:val="5"/>
          </w:tcPr>
          <w:p>
            <w:pPr>
              <w:ind w:left="120"/>
              <w:spacing w:after="0" w:line="249" w:lineRule="exact"/>
              <w:rPr>
                <w:sz w:val="20"/>
                <w:szCs w:val="20"/>
                <w:color w:val="auto"/>
              </w:rPr>
            </w:pPr>
            <w:r>
              <w:rPr>
                <w:rFonts w:ascii="Arial" w:cs="Arial" w:eastAsia="Arial" w:hAnsi="Arial"/>
                <w:sz w:val="22"/>
                <w:szCs w:val="22"/>
                <w:b w:val="1"/>
                <w:bCs w:val="1"/>
                <w:color w:val="auto"/>
              </w:rPr>
              <w:t>profitability targets for 2024 and 2025</w:t>
            </w:r>
          </w:p>
        </w:tc>
        <w:tc>
          <w:tcPr>
            <w:tcW w:w="0" w:type="dxa"/>
            <w:vAlign w:val="bottom"/>
          </w:tcPr>
          <w:p>
            <w:pPr>
              <w:spacing w:after="0"/>
              <w:rPr>
                <w:sz w:val="1"/>
                <w:szCs w:val="1"/>
                <w:color w:val="auto"/>
              </w:rPr>
            </w:pPr>
          </w:p>
        </w:tc>
      </w:tr>
      <w:tr>
        <w:trPr>
          <w:trHeight w:val="243"/>
        </w:trPr>
        <w:tc>
          <w:tcPr>
            <w:tcW w:w="2040" w:type="dxa"/>
            <w:vAlign w:val="bottom"/>
          </w:tcPr>
          <w:p>
            <w:pPr>
              <w:ind w:left="120"/>
              <w:spacing w:after="0" w:line="243" w:lineRule="exact"/>
              <w:rPr>
                <w:sz w:val="20"/>
                <w:szCs w:val="20"/>
                <w:color w:val="auto"/>
              </w:rPr>
            </w:pPr>
            <w:r>
              <w:rPr>
                <w:rFonts w:ascii="Arial" w:cs="Arial" w:eastAsia="Arial" w:hAnsi="Arial"/>
                <w:sz w:val="22"/>
                <w:szCs w:val="22"/>
                <w:color w:val="auto"/>
              </w:rPr>
              <w:t>including those</w:t>
            </w:r>
          </w:p>
        </w:tc>
        <w:tc>
          <w:tcPr>
            <w:tcW w:w="9200" w:type="dxa"/>
            <w:vAlign w:val="bottom"/>
            <w:gridSpan w:val="5"/>
            <w:vMerge w:val="restart"/>
          </w:tcPr>
          <w:p>
            <w:pPr>
              <w:ind w:left="560"/>
              <w:spacing w:after="0" w:line="253" w:lineRule="exact"/>
              <w:rPr>
                <w:sz w:val="20"/>
                <w:szCs w:val="20"/>
                <w:color w:val="auto"/>
              </w:rPr>
            </w:pP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To achieve this, Alkermes successfully and significantly restructured its operations beginning</w:t>
            </w:r>
          </w:p>
        </w:tc>
        <w:tc>
          <w:tcPr>
            <w:tcW w:w="0" w:type="dxa"/>
            <w:vAlign w:val="bottom"/>
          </w:tcPr>
          <w:p>
            <w:pPr>
              <w:spacing w:after="0"/>
              <w:rPr>
                <w:sz w:val="1"/>
                <w:szCs w:val="1"/>
                <w:color w:val="auto"/>
              </w:rPr>
            </w:pPr>
          </w:p>
        </w:tc>
      </w:tr>
      <w:tr>
        <w:trPr>
          <w:trHeight w:val="122"/>
        </w:trPr>
        <w:tc>
          <w:tcPr>
            <w:tcW w:w="20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w w:val="99"/>
              </w:rPr>
              <w:t>related to R&amp;D, are</w:t>
            </w:r>
          </w:p>
        </w:tc>
        <w:tc>
          <w:tcPr>
            <w:tcW w:w="92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vMerge w:val="continue"/>
          </w:tcPr>
          <w:p>
            <w:pPr>
              <w:spacing w:after="0"/>
              <w:rPr>
                <w:sz w:val="10"/>
                <w:szCs w:val="10"/>
                <w:color w:val="auto"/>
              </w:rPr>
            </w:pPr>
          </w:p>
        </w:tc>
        <w:tc>
          <w:tcPr>
            <w:tcW w:w="9200" w:type="dxa"/>
            <w:vAlign w:val="bottom"/>
            <w:gridSpan w:val="5"/>
            <w:vMerge w:val="restart"/>
          </w:tcPr>
          <w:p>
            <w:pPr>
              <w:ind w:left="960"/>
              <w:spacing w:after="0" w:line="243" w:lineRule="exact"/>
              <w:rPr>
                <w:sz w:val="20"/>
                <w:szCs w:val="20"/>
                <w:color w:val="auto"/>
              </w:rPr>
            </w:pPr>
            <w:r>
              <w:rPr>
                <w:rFonts w:ascii="Arial" w:cs="Arial" w:eastAsia="Arial" w:hAnsi="Arial"/>
                <w:sz w:val="22"/>
                <w:szCs w:val="22"/>
                <w:color w:val="auto"/>
              </w:rPr>
              <w:t>in 2019, delivering savings in excess of $40 million per year – including headcount</w:t>
            </w:r>
          </w:p>
        </w:tc>
        <w:tc>
          <w:tcPr>
            <w:tcW w:w="0" w:type="dxa"/>
            <w:vAlign w:val="bottom"/>
          </w:tcPr>
          <w:p>
            <w:pPr>
              <w:spacing w:after="0"/>
              <w:rPr>
                <w:sz w:val="1"/>
                <w:szCs w:val="1"/>
                <w:color w:val="auto"/>
              </w:rPr>
            </w:pPr>
          </w:p>
        </w:tc>
      </w:tr>
      <w:tr>
        <w:trPr>
          <w:trHeight w:val="122"/>
        </w:trPr>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out of control</w:t>
            </w:r>
          </w:p>
        </w:tc>
        <w:tc>
          <w:tcPr>
            <w:tcW w:w="92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vMerge w:val="continue"/>
          </w:tcPr>
          <w:p>
            <w:pPr>
              <w:spacing w:after="0"/>
              <w:rPr>
                <w:sz w:val="13"/>
                <w:szCs w:val="13"/>
                <w:color w:val="auto"/>
              </w:rPr>
            </w:pPr>
          </w:p>
        </w:tc>
        <w:tc>
          <w:tcPr>
            <w:tcW w:w="9200" w:type="dxa"/>
            <w:vAlign w:val="bottom"/>
            <w:gridSpan w:val="5"/>
            <w:vMerge w:val="restart"/>
          </w:tcPr>
          <w:p>
            <w:pPr>
              <w:ind w:left="960"/>
              <w:spacing w:after="0" w:line="218" w:lineRule="exact"/>
              <w:rPr>
                <w:sz w:val="20"/>
                <w:szCs w:val="20"/>
                <w:color w:val="auto"/>
              </w:rPr>
            </w:pPr>
            <w:r>
              <w:rPr>
                <w:rFonts w:ascii="Arial" w:cs="Arial" w:eastAsia="Arial" w:hAnsi="Arial"/>
                <w:sz w:val="22"/>
                <w:szCs w:val="22"/>
                <w:color w:val="auto"/>
                <w:w w:val="96"/>
              </w:rPr>
              <w:t>reductions in research and development and commercial – while advancing its pipeline,</w:t>
            </w: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92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40" w:type="dxa"/>
            <w:vAlign w:val="bottom"/>
          </w:tcPr>
          <w:p>
            <w:pPr>
              <w:spacing w:after="0"/>
              <w:rPr>
                <w:sz w:val="24"/>
                <w:szCs w:val="24"/>
                <w:color w:val="auto"/>
              </w:rPr>
            </w:pPr>
          </w:p>
        </w:tc>
        <w:tc>
          <w:tcPr>
            <w:tcW w:w="9200" w:type="dxa"/>
            <w:vAlign w:val="bottom"/>
            <w:gridSpan w:val="5"/>
          </w:tcPr>
          <w:p>
            <w:pPr>
              <w:ind w:left="960"/>
              <w:spacing w:after="0"/>
              <w:rPr>
                <w:sz w:val="20"/>
                <w:szCs w:val="20"/>
                <w:color w:val="auto"/>
              </w:rPr>
            </w:pPr>
            <w:r>
              <w:rPr>
                <w:rFonts w:ascii="Arial" w:cs="Arial" w:eastAsia="Arial" w:hAnsi="Arial"/>
                <w:sz w:val="22"/>
                <w:szCs w:val="22"/>
                <w:color w:val="auto"/>
              </w:rPr>
              <w:t>growing revenue from proprietary products, and investing in the launch of LYBALVI</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-3080385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3000" w:right="160" w:hanging="410"/>
        <w:spacing w:after="0" w:line="281" w:lineRule="auto"/>
        <w:tabs>
          <w:tab w:leader="none" w:pos="3000" w:val="left"/>
        </w:tabs>
        <w:numPr>
          <w:ilvl w:val="0"/>
          <w:numId w:val="6"/>
        </w:numPr>
        <w:rPr>
          <w:rFonts w:ascii="MS PGothic" w:cs="MS PGothic" w:eastAsia="MS PGothic" w:hAnsi="MS PGothic"/>
          <w:sz w:val="19"/>
          <w:szCs w:val="19"/>
          <w:color w:val="auto"/>
        </w:rPr>
      </w:pPr>
      <w:r>
        <w:rPr>
          <w:rFonts w:ascii="Arial" w:cs="Arial" w:eastAsia="Arial" w:hAnsi="Arial"/>
          <w:sz w:val="19"/>
          <w:szCs w:val="19"/>
          <w:color w:val="auto"/>
        </w:rPr>
        <w:t xml:space="preserve">The 2022 expense ratio referred to by Sarissa is misleading, as it excludes the Janssen royalty revenue to which Alkermes was entitled. If those royalties are included, then Alkermes would have achieved an </w:t>
      </w:r>
      <w:r>
        <w:rPr>
          <w:rFonts w:ascii="Arial" w:cs="Arial" w:eastAsia="Arial" w:hAnsi="Arial"/>
          <w:sz w:val="19"/>
          <w:szCs w:val="19"/>
          <w:i w:val="1"/>
          <w:iCs w:val="1"/>
          <w:color w:val="auto"/>
        </w:rPr>
        <w:t>operating profit</w:t>
      </w:r>
      <w:r>
        <w:rPr>
          <w:rFonts w:ascii="Arial" w:cs="Arial" w:eastAsia="Arial" w:hAnsi="Arial"/>
          <w:sz w:val="19"/>
          <w:szCs w:val="19"/>
          <w:color w:val="auto"/>
        </w:rPr>
        <w:t xml:space="preserve"> of approximately $50 million in 2022, representing an improvement of approximately $225 million in operating profit since 2019 on an increase in revenues of $135 million over that same period</w:t>
      </w:r>
    </w:p>
    <w:p>
      <w:pPr>
        <w:spacing w:after="0" w:line="57" w:lineRule="exact"/>
        <w:rPr>
          <w:rFonts w:ascii="MS PGothic" w:cs="MS PGothic" w:eastAsia="MS PGothic" w:hAnsi="MS PGothic"/>
          <w:sz w:val="19"/>
          <w:szCs w:val="19"/>
          <w:color w:val="auto"/>
        </w:rPr>
      </w:pPr>
    </w:p>
    <w:p>
      <w:pPr>
        <w:ind w:left="3000" w:right="240" w:hanging="410"/>
        <w:spacing w:after="0" w:line="260" w:lineRule="auto"/>
        <w:tabs>
          <w:tab w:leader="none" w:pos="3000" w:val="left"/>
        </w:tabs>
        <w:numPr>
          <w:ilvl w:val="0"/>
          <w:numId w:val="6"/>
        </w:numPr>
        <w:rPr>
          <w:rFonts w:ascii="MS PGothic" w:cs="MS PGothic" w:eastAsia="MS PGothic" w:hAnsi="MS PGothic"/>
          <w:sz w:val="19"/>
          <w:szCs w:val="19"/>
          <w:color w:val="auto"/>
        </w:rPr>
      </w:pPr>
      <w:r>
        <w:rPr>
          <w:rFonts w:ascii="Arial" w:cs="Arial" w:eastAsia="Arial" w:hAnsi="Arial"/>
          <w:sz w:val="19"/>
          <w:szCs w:val="19"/>
          <w:color w:val="auto"/>
        </w:rPr>
        <w:t>Alkermes has proven its R&amp;D capabilities with two recent approvals of internally developed products, LYBALVI and VUMERITY</w:t>
      </w:r>
      <w:r>
        <w:rPr>
          <w:rFonts w:ascii="Arial" w:cs="Arial" w:eastAsia="Arial" w:hAnsi="Arial"/>
          <w:sz w:val="25"/>
          <w:szCs w:val="25"/>
          <w:color w:val="auto"/>
          <w:vertAlign w:val="superscript"/>
        </w:rPr>
        <w:t>®</w:t>
      </w:r>
      <w:r>
        <w:rPr>
          <w:rFonts w:ascii="Arial" w:cs="Arial" w:eastAsia="Arial" w:hAnsi="Arial"/>
          <w:sz w:val="19"/>
          <w:szCs w:val="19"/>
          <w:color w:val="auto"/>
        </w:rPr>
        <w:t>, which together generated $649 million in 2022 net sales, and $212 million in revenues to Alkermes. In fact, Alkermes is one of the few mid-cap biotechnology companies to have succeeded in internally developing multiple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Sarissa claims that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only after</w:t>
      </w:r>
    </w:p>
    <w:p>
      <w:pPr>
        <w:spacing w:after="0" w:line="230" w:lineRule="auto"/>
        <w:rPr>
          <w:sz w:val="20"/>
          <w:szCs w:val="20"/>
          <w:color w:val="auto"/>
        </w:rPr>
      </w:pPr>
      <w:r>
        <w:rPr>
          <w:rFonts w:ascii="Arial" w:cs="Arial" w:eastAsia="Arial" w:hAnsi="Arial"/>
          <w:sz w:val="22"/>
          <w:szCs w:val="22"/>
          <w:color w:val="auto"/>
        </w:rPr>
        <w:t>shareholder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pressure, including</w:t>
      </w:r>
    </w:p>
    <w:p>
      <w:pPr>
        <w:spacing w:after="0" w:line="231" w:lineRule="auto"/>
        <w:rPr>
          <w:sz w:val="20"/>
          <w:szCs w:val="20"/>
          <w:color w:val="auto"/>
        </w:rPr>
      </w:pPr>
      <w:r>
        <w:rPr>
          <w:rFonts w:ascii="Arial" w:cs="Arial" w:eastAsia="Arial" w:hAnsi="Arial"/>
          <w:sz w:val="22"/>
          <w:szCs w:val="22"/>
          <w:color w:val="auto"/>
        </w:rPr>
        <w:t>from Sarissa, did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Alkermes commit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profitability metrics</w:t>
      </w:r>
    </w:p>
    <w:p>
      <w:pPr>
        <w:spacing w:after="0" w:line="231" w:lineRule="auto"/>
        <w:rPr>
          <w:sz w:val="20"/>
          <w:szCs w:val="20"/>
          <w:color w:val="auto"/>
        </w:rPr>
      </w:pPr>
      <w:r>
        <w:rPr>
          <w:rFonts w:ascii="Arial" w:cs="Arial" w:eastAsia="Arial" w:hAnsi="Arial"/>
          <w:sz w:val="22"/>
          <w:szCs w:val="22"/>
          <w:color w:val="auto"/>
        </w:rPr>
        <w:t>in the December</w:t>
      </w:r>
    </w:p>
    <w:p>
      <w:pPr>
        <w:spacing w:after="0" w:line="231" w:lineRule="auto"/>
        <w:rPr>
          <w:sz w:val="20"/>
          <w:szCs w:val="20"/>
          <w:color w:val="auto"/>
        </w:rPr>
      </w:pPr>
      <w:r>
        <w:rPr>
          <w:rFonts w:ascii="Arial" w:cs="Arial" w:eastAsia="Arial" w:hAnsi="Arial"/>
          <w:sz w:val="22"/>
          <w:szCs w:val="22"/>
          <w:color w:val="auto"/>
        </w:rPr>
        <w:t>2020 Value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Enhancement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Sarissa claims that governance at Alkermes has largely been controlled by CEO Richard Pops and notes, in support of this assertion, that most of Sarissa’s discussions with the Company have flowed through Mr. Pops</w:t>
      </w:r>
    </w:p>
    <w:p>
      <w:pPr>
        <w:spacing w:after="0" w:line="20" w:lineRule="exact"/>
        <w:rPr>
          <w:sz w:val="20"/>
          <w:szCs w:val="20"/>
          <w:color w:val="auto"/>
        </w:rPr>
      </w:pPr>
      <w:r>
        <w:rPr>
          <w:sz w:val="20"/>
          <w:szCs w:val="20"/>
          <w:color w:val="auto"/>
        </w:rPr>
        <w:br w:type="column"/>
      </w:r>
    </w:p>
    <w:p>
      <w:pPr>
        <w:ind w:right="340"/>
        <w:spacing w:after="0" w:line="239" w:lineRule="auto"/>
        <w:rPr>
          <w:sz w:val="20"/>
          <w:szCs w:val="20"/>
          <w:color w:val="auto"/>
        </w:rPr>
      </w:pPr>
      <w:r>
        <w:rPr>
          <w:rFonts w:ascii="Arial" w:cs="Arial" w:eastAsia="Arial" w:hAnsi="Arial"/>
          <w:sz w:val="22"/>
          <w:szCs w:val="22"/>
          <w:b w:val="1"/>
          <w:bCs w:val="1"/>
          <w:color w:val="auto"/>
        </w:rPr>
        <w:t>Sarissa had absolutely nothing to do with Alkermes’ profitability targets. Sarissa did not even approach Alkermes until a few days before the Company announced its December 2020 Value Enhancement Plan and well after Alkermes had arrived at its profitability targets following constructive dialogue with Elliott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-675005</wp:posOffset>
            </wp:positionV>
            <wp:extent cx="7134225" cy="6834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6834505"/>
                    </a:xfrm>
                    <a:prstGeom prst="rect">
                      <a:avLst/>
                    </a:prstGeom>
                    <a:noFill/>
                  </pic:spPr>
                </pic:pic>
              </a:graphicData>
            </a:graphic>
          </wp:anchor>
        </w:drawing>
      </w:r>
    </w:p>
    <w:p>
      <w:pPr>
        <w:spacing w:after="0" w:line="72" w:lineRule="exact"/>
        <w:rPr>
          <w:sz w:val="20"/>
          <w:szCs w:val="20"/>
          <w:color w:val="auto"/>
        </w:rPr>
      </w:pPr>
    </w:p>
    <w:p>
      <w:pPr>
        <w:ind w:left="840" w:right="680" w:hanging="410"/>
        <w:spacing w:after="0"/>
        <w:tabs>
          <w:tab w:leader="none" w:pos="840" w:val="left"/>
        </w:tabs>
        <w:numPr>
          <w:ilvl w:val="0"/>
          <w:numId w:val="7"/>
        </w:numPr>
        <w:rPr>
          <w:rFonts w:ascii="MS PGothic" w:cs="MS PGothic" w:eastAsia="MS PGothic" w:hAnsi="MS PGothic"/>
          <w:sz w:val="22"/>
          <w:szCs w:val="22"/>
          <w:color w:val="auto"/>
        </w:rPr>
      </w:pPr>
      <w:r>
        <w:rPr>
          <w:rFonts w:ascii="Arial" w:cs="Arial" w:eastAsia="Arial" w:hAnsi="Arial"/>
          <w:sz w:val="22"/>
          <w:szCs w:val="22"/>
          <w:color w:val="auto"/>
        </w:rPr>
        <w:t>Alkermes announced its Value Enhancement Plan on December 10, 2020, following constructive dialogue with Elliott and other shareholders, and entry into a cooperation agreement between Alkermes and Elliott</w:t>
      </w:r>
    </w:p>
    <w:p>
      <w:pPr>
        <w:spacing w:after="0" w:line="91" w:lineRule="exact"/>
        <w:rPr>
          <w:rFonts w:ascii="MS PGothic" w:cs="MS PGothic" w:eastAsia="MS PGothic" w:hAnsi="MS PGothic"/>
          <w:sz w:val="22"/>
          <w:szCs w:val="22"/>
          <w:color w:val="auto"/>
        </w:rPr>
      </w:pPr>
    </w:p>
    <w:p>
      <w:pPr>
        <w:ind w:left="840" w:right="120" w:hanging="410"/>
        <w:spacing w:after="0" w:line="250" w:lineRule="auto"/>
        <w:tabs>
          <w:tab w:leader="none" w:pos="840" w:val="left"/>
        </w:tabs>
        <w:numPr>
          <w:ilvl w:val="0"/>
          <w:numId w:val="7"/>
        </w:numPr>
        <w:rPr>
          <w:rFonts w:ascii="MS PGothic" w:cs="MS PGothic" w:eastAsia="MS PGothic" w:hAnsi="MS PGothic"/>
          <w:sz w:val="22"/>
          <w:szCs w:val="22"/>
          <w:color w:val="auto"/>
        </w:rPr>
      </w:pPr>
      <w:r>
        <w:rPr>
          <w:rFonts w:ascii="Arial" w:cs="Arial" w:eastAsia="Arial" w:hAnsi="Arial"/>
          <w:sz w:val="22"/>
          <w:szCs w:val="22"/>
          <w:color w:val="auto"/>
        </w:rPr>
        <w:t>This was part of a broader effort by the Board focused on driving change that started in mid-2019, even before Sarissa became a shareholder</w:t>
      </w:r>
    </w:p>
    <w:p>
      <w:pPr>
        <w:spacing w:after="0" w:line="80" w:lineRule="exact"/>
        <w:rPr>
          <w:rFonts w:ascii="MS PGothic" w:cs="MS PGothic" w:eastAsia="MS PGothic" w:hAnsi="MS PGothic"/>
          <w:sz w:val="22"/>
          <w:szCs w:val="22"/>
          <w:color w:val="auto"/>
        </w:rPr>
      </w:pPr>
    </w:p>
    <w:p>
      <w:pPr>
        <w:ind w:left="840" w:right="240" w:hanging="410"/>
        <w:spacing w:after="0" w:line="252" w:lineRule="auto"/>
        <w:tabs>
          <w:tab w:leader="none" w:pos="840" w:val="left"/>
        </w:tabs>
        <w:numPr>
          <w:ilvl w:val="0"/>
          <w:numId w:val="7"/>
        </w:numPr>
        <w:rPr>
          <w:rFonts w:ascii="MS PGothic" w:cs="MS PGothic" w:eastAsia="MS PGothic" w:hAnsi="MS PGothic"/>
          <w:sz w:val="21"/>
          <w:szCs w:val="21"/>
          <w:color w:val="auto"/>
        </w:rPr>
      </w:pPr>
      <w:r>
        <w:rPr>
          <w:rFonts w:ascii="Arial" w:cs="Arial" w:eastAsia="Arial" w:hAnsi="Arial"/>
          <w:sz w:val="21"/>
          <w:szCs w:val="21"/>
          <w:color w:val="auto"/>
        </w:rPr>
        <w:t>Sarissa sent its first nomination notice on December 4, 2020, on the last day of the nomination window without any advance discussion or warning. At the time, the Company was already finalizing an agreement with Elliott and announced the settlement and the Company’s Value Enhancement Plan only a few days later</w:t>
      </w:r>
    </w:p>
    <w:p>
      <w:pPr>
        <w:spacing w:after="0" w:line="79" w:lineRule="exact"/>
        <w:rPr>
          <w:rFonts w:ascii="MS PGothic" w:cs="MS PGothic" w:eastAsia="MS PGothic" w:hAnsi="MS PGothic"/>
          <w:sz w:val="21"/>
          <w:szCs w:val="21"/>
          <w:color w:val="auto"/>
        </w:rPr>
      </w:pPr>
    </w:p>
    <w:p>
      <w:pPr>
        <w:ind w:left="840" w:right="240" w:hanging="410"/>
        <w:spacing w:after="0" w:line="285" w:lineRule="auto"/>
        <w:tabs>
          <w:tab w:leader="none" w:pos="840" w:val="left"/>
        </w:tabs>
        <w:numPr>
          <w:ilvl w:val="0"/>
          <w:numId w:val="7"/>
        </w:numPr>
        <w:rPr>
          <w:rFonts w:ascii="MS PGothic" w:cs="MS PGothic" w:eastAsia="MS PGothic" w:hAnsi="MS PGothic"/>
          <w:sz w:val="19"/>
          <w:szCs w:val="19"/>
          <w:color w:val="auto"/>
        </w:rPr>
      </w:pPr>
      <w:r>
        <w:rPr>
          <w:rFonts w:ascii="Arial" w:cs="Arial" w:eastAsia="Arial" w:hAnsi="Arial"/>
          <w:sz w:val="19"/>
          <w:szCs w:val="19"/>
          <w:color w:val="auto"/>
        </w:rPr>
        <w:t>Sarissa learned about the details of the Value Enhancement Plan under a confidentiality agreement only three days before it was announced. At the time, Dr. Denner expressed frustration that Elliott was engaged with Alkermes – an indication that he cares more about his own involvement than about the actual outcome for shareholders</w:t>
      </w:r>
    </w:p>
    <w:p>
      <w:pPr>
        <w:spacing w:after="0" w:line="55" w:lineRule="exact"/>
        <w:rPr>
          <w:rFonts w:ascii="MS PGothic" w:cs="MS PGothic" w:eastAsia="MS PGothic" w:hAnsi="MS PGothic"/>
          <w:sz w:val="19"/>
          <w:szCs w:val="19"/>
          <w:color w:val="auto"/>
        </w:rPr>
      </w:pPr>
    </w:p>
    <w:p>
      <w:pPr>
        <w:ind w:left="840" w:right="120" w:hanging="410"/>
        <w:spacing w:after="0" w:line="243" w:lineRule="auto"/>
        <w:tabs>
          <w:tab w:leader="none" w:pos="840" w:val="left"/>
        </w:tabs>
        <w:numPr>
          <w:ilvl w:val="0"/>
          <w:numId w:val="7"/>
        </w:numPr>
        <w:rPr>
          <w:rFonts w:ascii="MS PGothic" w:cs="MS PGothic" w:eastAsia="MS PGothic" w:hAnsi="MS PGothic"/>
          <w:sz w:val="22"/>
          <w:szCs w:val="22"/>
          <w:color w:val="auto"/>
        </w:rPr>
      </w:pPr>
      <w:r>
        <w:rPr>
          <w:rFonts w:ascii="Arial" w:cs="Arial" w:eastAsia="Arial" w:hAnsi="Arial"/>
          <w:sz w:val="22"/>
          <w:szCs w:val="22"/>
          <w:color w:val="auto"/>
        </w:rPr>
        <w:t xml:space="preserve">This Value Enhancement Plan also included Elliot’s appointment of a mutually agreeable independent director which, contrary to Sarissa’s claims, was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tied to EBITDA targets (or any other metrics)</w:t>
      </w:r>
      <w:r>
        <w:rPr>
          <w:rFonts w:ascii="Arial" w:cs="Arial" w:eastAsia="Arial" w:hAnsi="Arial"/>
          <w:sz w:val="28"/>
          <w:szCs w:val="28"/>
          <w:u w:val="single" w:color="auto"/>
          <w:color w:val="auto"/>
          <w:vertAlign w:val="superscript"/>
        </w:rPr>
        <w:t>[1]</w:t>
      </w:r>
    </w:p>
    <w:p>
      <w:pPr>
        <w:spacing w:after="0" w:line="33"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b w:val="1"/>
          <w:bCs w:val="1"/>
          <w:color w:val="auto"/>
        </w:rPr>
        <w:t>Alex Denner had a longstanding relationship with Richard Pops and did not request to speak to independent directors until Mr. Pops communicated that the Board had determined not to endorse Sarissa’s candidates for election to the Board in 2022, prior to the Company’s filing of its 2022 preliminary proxy statement</w:t>
      </w:r>
    </w:p>
    <w:p>
      <w:pPr>
        <w:spacing w:after="0" w:line="92" w:lineRule="exact"/>
        <w:rPr>
          <w:sz w:val="20"/>
          <w:szCs w:val="20"/>
          <w:color w:val="auto"/>
        </w:rPr>
      </w:pPr>
    </w:p>
    <w:p>
      <w:pPr>
        <w:ind w:left="840" w:right="260" w:hanging="410"/>
        <w:spacing w:after="0" w:line="304" w:lineRule="auto"/>
        <w:tabs>
          <w:tab w:leader="none" w:pos="840" w:val="left"/>
        </w:tabs>
        <w:numPr>
          <w:ilvl w:val="0"/>
          <w:numId w:val="8"/>
        </w:numPr>
        <w:rPr>
          <w:rFonts w:ascii="MS PGothic" w:cs="MS PGothic" w:eastAsia="MS PGothic" w:hAnsi="MS PGothic"/>
          <w:sz w:val="19"/>
          <w:szCs w:val="19"/>
          <w:color w:val="auto"/>
        </w:rPr>
      </w:pPr>
      <w:r>
        <w:rPr>
          <w:rFonts w:ascii="Arial" w:cs="Arial" w:eastAsia="Arial" w:hAnsi="Arial"/>
          <w:sz w:val="19"/>
          <w:szCs w:val="19"/>
          <w:color w:val="auto"/>
        </w:rPr>
        <w:t>Dr. Denner never asked to speak with independent directors until May 2022 and, since that time, he has engaged exclusively with the Company’s independent directors</w:t>
      </w:r>
    </w:p>
    <w:p>
      <w:pPr>
        <w:spacing w:after="0" w:line="54" w:lineRule="exact"/>
        <w:rPr>
          <w:rFonts w:ascii="MS PGothic" w:cs="MS PGothic" w:eastAsia="MS PGothic" w:hAnsi="MS PGothic"/>
          <w:sz w:val="19"/>
          <w:szCs w:val="19"/>
          <w:color w:val="auto"/>
        </w:rPr>
      </w:pPr>
    </w:p>
    <w:p>
      <w:pPr>
        <w:ind w:left="840" w:right="320" w:hanging="410"/>
        <w:spacing w:after="0" w:line="285" w:lineRule="auto"/>
        <w:tabs>
          <w:tab w:leader="none" w:pos="840" w:val="left"/>
        </w:tabs>
        <w:numPr>
          <w:ilvl w:val="0"/>
          <w:numId w:val="8"/>
        </w:numPr>
        <w:rPr>
          <w:rFonts w:ascii="MS PGothic" w:cs="MS PGothic" w:eastAsia="MS PGothic" w:hAnsi="MS PGothic"/>
          <w:sz w:val="19"/>
          <w:szCs w:val="19"/>
          <w:color w:val="auto"/>
        </w:rPr>
      </w:pPr>
      <w:r>
        <w:rPr>
          <w:rFonts w:ascii="Arial" w:cs="Arial" w:eastAsia="Arial" w:hAnsi="Arial"/>
          <w:sz w:val="19"/>
          <w:szCs w:val="19"/>
          <w:color w:val="auto"/>
        </w:rPr>
        <w:t>Richard Pops had a longstanding and seemingly friendly relationship with Dr. Denner. Dr. Denner regularly claimed to have significant respect for Mr. Pops’ leadership and the Company’s performance, and claimed to value their relationship, which is why the Board believed back then that it would be most productive to have Mr. Pops lead the discussions</w:t>
      </w:r>
    </w:p>
    <w:p>
      <w:pPr>
        <w:spacing w:after="0" w:line="55" w:lineRule="exact"/>
        <w:rPr>
          <w:rFonts w:ascii="MS PGothic" w:cs="MS PGothic" w:eastAsia="MS PGothic" w:hAnsi="MS PGothic"/>
          <w:sz w:val="19"/>
          <w:szCs w:val="19"/>
          <w:color w:val="auto"/>
        </w:rPr>
      </w:pPr>
    </w:p>
    <w:p>
      <w:pPr>
        <w:ind w:left="840" w:right="20" w:hanging="410"/>
        <w:spacing w:after="0"/>
        <w:tabs>
          <w:tab w:leader="none" w:pos="840" w:val="left"/>
        </w:tabs>
        <w:numPr>
          <w:ilvl w:val="0"/>
          <w:numId w:val="8"/>
        </w:numPr>
        <w:rPr>
          <w:rFonts w:ascii="MS PGothic" w:cs="MS PGothic" w:eastAsia="MS PGothic" w:hAnsi="MS PGothic"/>
          <w:sz w:val="22"/>
          <w:szCs w:val="22"/>
          <w:color w:val="auto"/>
        </w:rPr>
      </w:pPr>
      <w:r>
        <w:rPr>
          <w:rFonts w:ascii="Arial" w:cs="Arial" w:eastAsia="Arial" w:hAnsi="Arial"/>
          <w:sz w:val="22"/>
          <w:szCs w:val="22"/>
          <w:color w:val="auto"/>
        </w:rPr>
        <w:t>This belief was validated by the settlement reached between Mr. Pops and Dr. Denner in April 2021 that resulted in the appointment of Cato Laurencin, M.D., Ph.D. to the Board later that year</w:t>
      </w:r>
    </w:p>
    <w:p>
      <w:pPr>
        <w:spacing w:after="0" w:line="91" w:lineRule="exact"/>
        <w:rPr>
          <w:rFonts w:ascii="MS PGothic" w:cs="MS PGothic" w:eastAsia="MS PGothic" w:hAnsi="MS PGothic"/>
          <w:sz w:val="22"/>
          <w:szCs w:val="22"/>
          <w:color w:val="auto"/>
        </w:rPr>
      </w:pPr>
    </w:p>
    <w:p>
      <w:pPr>
        <w:ind w:left="840" w:hanging="410"/>
        <w:spacing w:after="0" w:line="257" w:lineRule="auto"/>
        <w:tabs>
          <w:tab w:leader="none" w:pos="840" w:val="left"/>
        </w:tabs>
        <w:numPr>
          <w:ilvl w:val="0"/>
          <w:numId w:val="8"/>
        </w:numPr>
        <w:rPr>
          <w:rFonts w:ascii="MS PGothic" w:cs="MS PGothic" w:eastAsia="MS PGothic" w:hAnsi="MS PGothic"/>
          <w:sz w:val="21"/>
          <w:szCs w:val="21"/>
          <w:color w:val="auto"/>
        </w:rPr>
      </w:pPr>
      <w:r>
        <w:rPr>
          <w:rFonts w:ascii="Arial" w:cs="Arial" w:eastAsia="Arial" w:hAnsi="Arial"/>
          <w:sz w:val="21"/>
          <w:szCs w:val="21"/>
          <w:color w:val="auto"/>
        </w:rPr>
        <w:t>It was only after Mr. Pops communicated the Board’s decision in May 2022 not to include Dr. Denner on the Company’s slate of directors that Dr. Denner started, both privately and publicly, to attack Mr. Pops and allege problematic governance practices</w:t>
      </w:r>
    </w:p>
    <w:p>
      <w:pPr>
        <w:spacing w:after="0" w:line="74" w:lineRule="exact"/>
        <w:rPr>
          <w:rFonts w:ascii="MS PGothic" w:cs="MS PGothic" w:eastAsia="MS PGothic" w:hAnsi="MS PGothic"/>
          <w:sz w:val="21"/>
          <w:szCs w:val="21"/>
          <w:color w:val="auto"/>
        </w:rPr>
      </w:pPr>
    </w:p>
    <w:p>
      <w:pPr>
        <w:ind w:left="840" w:right="220" w:hanging="410"/>
        <w:spacing w:after="0" w:line="328" w:lineRule="auto"/>
        <w:tabs>
          <w:tab w:leader="none" w:pos="840" w:val="left"/>
        </w:tabs>
        <w:numPr>
          <w:ilvl w:val="0"/>
          <w:numId w:val="8"/>
        </w:numPr>
        <w:rPr>
          <w:rFonts w:ascii="MS PGothic" w:cs="MS PGothic" w:eastAsia="MS PGothic" w:hAnsi="MS PGothic"/>
          <w:sz w:val="19"/>
          <w:szCs w:val="19"/>
          <w:color w:val="auto"/>
        </w:rPr>
      </w:pPr>
      <w:r>
        <w:rPr>
          <w:rFonts w:ascii="Arial" w:cs="Arial" w:eastAsia="Arial" w:hAnsi="Arial"/>
          <w:sz w:val="19"/>
          <w:szCs w:val="19"/>
          <w:color w:val="auto"/>
        </w:rPr>
        <w:t>At that time, the Board determined that it was more productive for independent directors to take the lead in the engagement with Dr. Denner and they have done so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50165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80" w:space="260"/>
            <w:col w:w="8940"/>
          </w:cols>
          <w:pgMar w:left="440" w:top="220" w:right="4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6"/>
        </w:trPr>
        <w:tc>
          <w:tcPr>
            <w:tcW w:w="2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8"/>
              </w:rPr>
              <w:t>Sarissa implies that</w:t>
            </w:r>
          </w:p>
        </w:tc>
        <w:tc>
          <w:tcPr>
            <w:tcW w:w="9200" w:type="dxa"/>
            <w:vAlign w:val="bottom"/>
            <w:tcBorders>
              <w:top w:val="single" w:sz="8" w:color="auto"/>
            </w:tcBorders>
          </w:tcPr>
          <w:p>
            <w:pPr>
              <w:ind w:left="120"/>
              <w:spacing w:after="0"/>
              <w:rPr>
                <w:sz w:val="20"/>
                <w:szCs w:val="20"/>
                <w:color w:val="auto"/>
              </w:rPr>
            </w:pPr>
            <w:r>
              <w:rPr>
                <w:rFonts w:ascii="Arial" w:cs="Arial" w:eastAsia="Arial" w:hAnsi="Arial"/>
                <w:sz w:val="22"/>
                <w:szCs w:val="22"/>
                <w:b w:val="1"/>
                <w:bCs w:val="1"/>
                <w:color w:val="auto"/>
              </w:rPr>
              <w:t>The relationship between Alkermes and Biogen has changed substantially since 2021</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Alkermes’ concern</w:t>
            </w:r>
          </w:p>
        </w:tc>
        <w:tc>
          <w:tcPr>
            <w:tcW w:w="9200" w:type="dxa"/>
            <w:vAlign w:val="bottom"/>
            <w:vMerge w:val="restart"/>
          </w:tcPr>
          <w:p>
            <w:pPr>
              <w:ind w:left="560"/>
              <w:spacing w:after="0" w:line="253" w:lineRule="exact"/>
              <w:rPr>
                <w:sz w:val="20"/>
                <w:szCs w:val="20"/>
                <w:color w:val="auto"/>
              </w:rPr>
            </w:pPr>
            <w:r>
              <w:rPr>
                <w:rFonts w:ascii="MS PGothic" w:cs="MS PGothic" w:eastAsia="MS PGothic" w:hAnsi="MS PGothic"/>
                <w:sz w:val="22"/>
                <w:szCs w:val="22"/>
                <w:color w:val="auto"/>
                <w:w w:val="93"/>
              </w:rPr>
              <w:t>✓</w:t>
            </w:r>
            <w:r>
              <w:rPr>
                <w:rFonts w:ascii="Arial" w:cs="Arial" w:eastAsia="Arial" w:hAnsi="Arial"/>
                <w:sz w:val="22"/>
                <w:szCs w:val="22"/>
                <w:color w:val="auto"/>
                <w:w w:val="93"/>
              </w:rPr>
              <w:t xml:space="preserve">  The Company’s agreement with Sarissa relating to potential Board candidates was made in</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about Dr. Denner’s</w:t>
            </w: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9200" w:type="dxa"/>
            <w:vAlign w:val="bottom"/>
            <w:vMerge w:val="restart"/>
          </w:tcPr>
          <w:p>
            <w:pPr>
              <w:ind w:left="960"/>
              <w:spacing w:after="0"/>
              <w:rPr>
                <w:sz w:val="20"/>
                <w:szCs w:val="20"/>
                <w:color w:val="auto"/>
              </w:rPr>
            </w:pPr>
            <w:r>
              <w:rPr>
                <w:rFonts w:ascii="Arial" w:cs="Arial" w:eastAsia="Arial" w:hAnsi="Arial"/>
                <w:sz w:val="22"/>
                <w:szCs w:val="22"/>
                <w:color w:val="auto"/>
              </w:rPr>
              <w:t>April 2021, over two years ago</w:t>
            </w: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conflict by virtue of</w:t>
            </w: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40" w:type="dxa"/>
            <w:vAlign w:val="bottom"/>
            <w:tcBorders>
              <w:left w:val="single" w:sz="8" w:color="auto"/>
              <w:right w:val="single" w:sz="8" w:color="auto"/>
            </w:tcBorders>
            <w:vMerge w:val="continue"/>
          </w:tcPr>
          <w:p>
            <w:pPr>
              <w:spacing w:after="0"/>
              <w:rPr>
                <w:sz w:val="7"/>
                <w:szCs w:val="7"/>
                <w:color w:val="auto"/>
              </w:rPr>
            </w:pPr>
          </w:p>
        </w:tc>
        <w:tc>
          <w:tcPr>
            <w:tcW w:w="9200" w:type="dxa"/>
            <w:vAlign w:val="bottom"/>
            <w:vMerge w:val="restart"/>
          </w:tcPr>
          <w:p>
            <w:pPr>
              <w:ind w:left="560"/>
              <w:spacing w:after="0" w:line="253" w:lineRule="exact"/>
              <w:rPr>
                <w:sz w:val="20"/>
                <w:szCs w:val="20"/>
                <w:color w:val="auto"/>
              </w:rPr>
            </w:pP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Since 2021, Alkermes’ relationship with Biogen has become more adversarial in nature, with</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his serving on the</w:t>
            </w:r>
          </w:p>
        </w:tc>
        <w:tc>
          <w:tcPr>
            <w:tcW w:w="9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Biogen Board is</w:t>
            </w:r>
          </w:p>
        </w:tc>
        <w:tc>
          <w:tcPr>
            <w:tcW w:w="9200" w:type="dxa"/>
            <w:vAlign w:val="bottom"/>
          </w:tcPr>
          <w:p>
            <w:pPr>
              <w:ind w:left="960"/>
              <w:spacing w:after="0" w:line="243" w:lineRule="exact"/>
              <w:rPr>
                <w:sz w:val="20"/>
                <w:szCs w:val="20"/>
                <w:color w:val="auto"/>
              </w:rPr>
            </w:pPr>
            <w:r>
              <w:rPr>
                <w:rFonts w:ascii="Arial" w:cs="Arial" w:eastAsia="Arial" w:hAnsi="Arial"/>
                <w:sz w:val="22"/>
                <w:szCs w:val="22"/>
                <w:color w:val="auto"/>
                <w:w w:val="94"/>
              </w:rPr>
              <w:t>the parties invoking the dispute resolution provisions of the license agreement to address</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disingenuous</w:t>
            </w:r>
          </w:p>
        </w:tc>
        <w:tc>
          <w:tcPr>
            <w:tcW w:w="9200" w:type="dxa"/>
            <w:vAlign w:val="bottom"/>
          </w:tcPr>
          <w:p>
            <w:pPr>
              <w:ind w:left="960"/>
              <w:spacing w:after="0" w:line="243" w:lineRule="exact"/>
              <w:rPr>
                <w:sz w:val="20"/>
                <w:szCs w:val="20"/>
                <w:color w:val="auto"/>
              </w:rPr>
            </w:pPr>
            <w:r>
              <w:rPr>
                <w:rFonts w:ascii="Arial" w:cs="Arial" w:eastAsia="Arial" w:hAnsi="Arial"/>
                <w:sz w:val="22"/>
                <w:szCs w:val="22"/>
                <w:color w:val="auto"/>
              </w:rPr>
              <w:t>multiple previously disclosed issues related to VUMERITY manufacturing</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because Alkermes</w:t>
            </w:r>
          </w:p>
        </w:tc>
        <w:tc>
          <w:tcPr>
            <w:tcW w:w="9200" w:type="dxa"/>
            <w:vAlign w:val="bottom"/>
            <w:vMerge w:val="restart"/>
          </w:tcPr>
          <w:p>
            <w:pPr>
              <w:ind w:left="560"/>
              <w:spacing w:after="0" w:line="253"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Alkermes receives a 15% royalty on Biogen’s worldwide net sales of VUMERITY.</w:t>
            </w:r>
          </w:p>
        </w:tc>
        <w:tc>
          <w:tcPr>
            <w:tcW w:w="0" w:type="dxa"/>
            <w:vAlign w:val="bottom"/>
          </w:tcPr>
          <w:p>
            <w:pPr>
              <w:spacing w:after="0"/>
              <w:rPr>
                <w:sz w:val="1"/>
                <w:szCs w:val="1"/>
                <w:color w:val="auto"/>
              </w:rPr>
            </w:pPr>
          </w:p>
        </w:tc>
      </w:tr>
      <w:tr>
        <w:trPr>
          <w:trHeight w:val="121"/>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previously included</w:t>
            </w: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9200" w:type="dxa"/>
            <w:vAlign w:val="bottom"/>
            <w:vMerge w:val="restart"/>
          </w:tcPr>
          <w:p>
            <w:pPr>
              <w:ind w:left="960"/>
              <w:spacing w:after="0" w:line="243" w:lineRule="exact"/>
              <w:rPr>
                <w:sz w:val="20"/>
                <w:szCs w:val="20"/>
                <w:color w:val="auto"/>
              </w:rPr>
            </w:pPr>
            <w:r>
              <w:rPr>
                <w:rFonts w:ascii="Arial" w:cs="Arial" w:eastAsia="Arial" w:hAnsi="Arial"/>
                <w:sz w:val="22"/>
                <w:szCs w:val="22"/>
                <w:color w:val="auto"/>
                <w:w w:val="93"/>
              </w:rPr>
              <w:t>VUMERITY accounts for approximately $114 million in Alkermes’ revenues annually based</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another Biogen</w:t>
            </w: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9200" w:type="dxa"/>
            <w:vAlign w:val="bottom"/>
            <w:vMerge w:val="restart"/>
          </w:tcPr>
          <w:p>
            <w:pPr>
              <w:ind w:left="960"/>
              <w:spacing w:after="0"/>
              <w:rPr>
                <w:sz w:val="20"/>
                <w:szCs w:val="20"/>
                <w:color w:val="auto"/>
              </w:rPr>
            </w:pPr>
            <w:r>
              <w:rPr>
                <w:rFonts w:ascii="Arial" w:cs="Arial" w:eastAsia="Arial" w:hAnsi="Arial"/>
                <w:sz w:val="22"/>
                <w:szCs w:val="22"/>
                <w:color w:val="auto"/>
              </w:rPr>
              <w:t>on Q1 2023 LTM</w:t>
            </w: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director on a list of</w:t>
            </w: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40" w:type="dxa"/>
            <w:vAlign w:val="bottom"/>
            <w:tcBorders>
              <w:left w:val="single" w:sz="8" w:color="auto"/>
              <w:right w:val="single" w:sz="8" w:color="auto"/>
            </w:tcBorders>
            <w:vMerge w:val="continue"/>
          </w:tcPr>
          <w:p>
            <w:pPr>
              <w:spacing w:after="0"/>
              <w:rPr>
                <w:sz w:val="7"/>
                <w:szCs w:val="7"/>
                <w:color w:val="auto"/>
              </w:rPr>
            </w:pPr>
          </w:p>
        </w:tc>
        <w:tc>
          <w:tcPr>
            <w:tcW w:w="9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potential director</w:t>
            </w:r>
          </w:p>
        </w:tc>
        <w:tc>
          <w:tcPr>
            <w:tcW w:w="9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candidates in 2021</w:t>
            </w:r>
          </w:p>
        </w:tc>
        <w:tc>
          <w:tcPr>
            <w:tcW w:w="9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-2110105</wp:posOffset>
            </wp:positionV>
            <wp:extent cx="7132320" cy="5212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2120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20" w:type="dxa"/>
            <w:vAlign w:val="bottom"/>
          </w:tcPr>
          <w:p>
            <w:pPr>
              <w:ind w:left="120"/>
              <w:spacing w:after="0"/>
              <w:rPr>
                <w:sz w:val="20"/>
                <w:szCs w:val="20"/>
                <w:color w:val="auto"/>
              </w:rPr>
            </w:pPr>
            <w:r>
              <w:rPr>
                <w:rFonts w:ascii="Arial" w:cs="Arial" w:eastAsia="Arial" w:hAnsi="Arial"/>
                <w:sz w:val="22"/>
                <w:szCs w:val="22"/>
                <w:color w:val="auto"/>
              </w:rPr>
              <w:t>Sarissa claims that</w:t>
            </w:r>
          </w:p>
        </w:tc>
        <w:tc>
          <w:tcPr>
            <w:tcW w:w="9220" w:type="dxa"/>
            <w:vAlign w:val="bottom"/>
            <w:gridSpan w:val="5"/>
          </w:tcPr>
          <w:p>
            <w:pPr>
              <w:ind w:left="140"/>
              <w:spacing w:after="0"/>
              <w:rPr>
                <w:sz w:val="20"/>
                <w:szCs w:val="20"/>
                <w:color w:val="auto"/>
              </w:rPr>
            </w:pPr>
            <w:r>
              <w:rPr>
                <w:rFonts w:ascii="Arial" w:cs="Arial" w:eastAsia="Arial" w:hAnsi="Arial"/>
                <w:sz w:val="22"/>
                <w:szCs w:val="22"/>
                <w:b w:val="1"/>
                <w:bCs w:val="1"/>
                <w:color w:val="auto"/>
                <w:w w:val="94"/>
              </w:rPr>
              <w:t>The unresolved allegations against Dr. Denner and Sarissa in the Bioverativ litigation are of</w:t>
            </w:r>
          </w:p>
        </w:tc>
        <w:tc>
          <w:tcPr>
            <w:tcW w:w="0" w:type="dxa"/>
            <w:vAlign w:val="bottom"/>
          </w:tcPr>
          <w:p>
            <w:pPr>
              <w:spacing w:after="0"/>
              <w:rPr>
                <w:sz w:val="1"/>
                <w:szCs w:val="1"/>
                <w:color w:val="auto"/>
              </w:rPr>
            </w:pPr>
          </w:p>
        </w:tc>
      </w:tr>
      <w:tr>
        <w:trPr>
          <w:trHeight w:val="249"/>
        </w:trPr>
        <w:tc>
          <w:tcPr>
            <w:tcW w:w="2020" w:type="dxa"/>
            <w:vAlign w:val="bottom"/>
          </w:tcPr>
          <w:p>
            <w:pPr>
              <w:ind w:left="120"/>
              <w:spacing w:after="0" w:line="249" w:lineRule="exact"/>
              <w:rPr>
                <w:sz w:val="20"/>
                <w:szCs w:val="20"/>
                <w:color w:val="auto"/>
              </w:rPr>
            </w:pPr>
            <w:r>
              <w:rPr>
                <w:rFonts w:ascii="Arial" w:cs="Arial" w:eastAsia="Arial" w:hAnsi="Arial"/>
                <w:sz w:val="22"/>
                <w:szCs w:val="22"/>
                <w:color w:val="auto"/>
              </w:rPr>
              <w:t>the Bioverativ</w:t>
            </w:r>
          </w:p>
        </w:tc>
        <w:tc>
          <w:tcPr>
            <w:tcW w:w="9220" w:type="dxa"/>
            <w:vAlign w:val="bottom"/>
            <w:gridSpan w:val="5"/>
          </w:tcPr>
          <w:p>
            <w:pPr>
              <w:ind w:left="140"/>
              <w:spacing w:after="0" w:line="249" w:lineRule="exact"/>
              <w:rPr>
                <w:sz w:val="20"/>
                <w:szCs w:val="20"/>
                <w:color w:val="auto"/>
              </w:rPr>
            </w:pPr>
            <w:r>
              <w:rPr>
                <w:rFonts w:ascii="Arial" w:cs="Arial" w:eastAsia="Arial" w:hAnsi="Arial"/>
                <w:sz w:val="22"/>
                <w:szCs w:val="22"/>
                <w:b w:val="1"/>
                <w:bCs w:val="1"/>
                <w:color w:val="auto"/>
                <w:w w:val="95"/>
              </w:rPr>
              <w:t>understandable concern to the Alkermes Board, as they should be to any company’s board</w:t>
            </w:r>
          </w:p>
        </w:tc>
        <w:tc>
          <w:tcPr>
            <w:tcW w:w="0" w:type="dxa"/>
            <w:vAlign w:val="bottom"/>
          </w:tcPr>
          <w:p>
            <w:pPr>
              <w:spacing w:after="0"/>
              <w:rPr>
                <w:sz w:val="1"/>
                <w:szCs w:val="1"/>
                <w:color w:val="auto"/>
              </w:rPr>
            </w:pPr>
          </w:p>
        </w:tc>
      </w:tr>
      <w:tr>
        <w:trPr>
          <w:trHeight w:val="243"/>
        </w:trPr>
        <w:tc>
          <w:tcPr>
            <w:tcW w:w="2020" w:type="dxa"/>
            <w:vAlign w:val="bottom"/>
          </w:tcPr>
          <w:p>
            <w:pPr>
              <w:ind w:left="120"/>
              <w:spacing w:after="0" w:line="243" w:lineRule="exact"/>
              <w:rPr>
                <w:sz w:val="20"/>
                <w:szCs w:val="20"/>
                <w:color w:val="auto"/>
              </w:rPr>
            </w:pPr>
            <w:r>
              <w:rPr>
                <w:rFonts w:ascii="Arial" w:cs="Arial" w:eastAsia="Arial" w:hAnsi="Arial"/>
                <w:sz w:val="22"/>
                <w:szCs w:val="22"/>
                <w:color w:val="auto"/>
              </w:rPr>
              <w:t>litigation is</w:t>
            </w:r>
          </w:p>
        </w:tc>
        <w:tc>
          <w:tcPr>
            <w:tcW w:w="9220" w:type="dxa"/>
            <w:vAlign w:val="bottom"/>
            <w:gridSpan w:val="5"/>
            <w:vMerge w:val="restart"/>
          </w:tcPr>
          <w:p>
            <w:pPr>
              <w:ind w:left="580"/>
              <w:spacing w:after="0" w:line="253" w:lineRule="exact"/>
              <w:rPr>
                <w:sz w:val="20"/>
                <w:szCs w:val="20"/>
                <w:color w:val="auto"/>
              </w:rPr>
            </w:pPr>
            <w:r>
              <w:rPr>
                <w:rFonts w:ascii="MS PGothic" w:cs="MS PGothic" w:eastAsia="MS PGothic" w:hAnsi="MS PGothic"/>
                <w:sz w:val="22"/>
                <w:szCs w:val="22"/>
                <w:color w:val="auto"/>
                <w:w w:val="94"/>
              </w:rPr>
              <w:t>✓</w:t>
            </w:r>
            <w:r>
              <w:rPr>
                <w:rFonts w:ascii="Arial" w:cs="Arial" w:eastAsia="Arial" w:hAnsi="Arial"/>
                <w:sz w:val="22"/>
                <w:szCs w:val="22"/>
                <w:color w:val="auto"/>
                <w:w w:val="94"/>
              </w:rPr>
              <w:t xml:space="preserve">  While litigation against M&amp;A transactions is indeed common, it is not commonplace for one</w:t>
            </w:r>
          </w:p>
        </w:tc>
        <w:tc>
          <w:tcPr>
            <w:tcW w:w="0" w:type="dxa"/>
            <w:vAlign w:val="bottom"/>
          </w:tcPr>
          <w:p>
            <w:pPr>
              <w:spacing w:after="0"/>
              <w:rPr>
                <w:sz w:val="1"/>
                <w:szCs w:val="1"/>
                <w:color w:val="auto"/>
              </w:rPr>
            </w:pPr>
          </w:p>
        </w:tc>
      </w:tr>
      <w:tr>
        <w:trPr>
          <w:trHeight w:val="122"/>
        </w:trPr>
        <w:tc>
          <w:tcPr>
            <w:tcW w:w="20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“frivolous” and that</w:t>
            </w:r>
          </w:p>
        </w:tc>
        <w:tc>
          <w:tcPr>
            <w:tcW w:w="92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20" w:type="dxa"/>
            <w:vAlign w:val="bottom"/>
            <w:vMerge w:val="continue"/>
          </w:tcPr>
          <w:p>
            <w:pPr>
              <w:spacing w:after="0"/>
              <w:rPr>
                <w:sz w:val="10"/>
                <w:szCs w:val="10"/>
                <w:color w:val="auto"/>
              </w:rPr>
            </w:pPr>
          </w:p>
        </w:tc>
        <w:tc>
          <w:tcPr>
            <w:tcW w:w="9220" w:type="dxa"/>
            <w:vAlign w:val="bottom"/>
            <w:gridSpan w:val="5"/>
            <w:vMerge w:val="restart"/>
          </w:tcPr>
          <w:p>
            <w:pPr>
              <w:ind w:left="980"/>
              <w:spacing w:after="0"/>
              <w:rPr>
                <w:sz w:val="20"/>
                <w:szCs w:val="20"/>
                <w:color w:val="auto"/>
              </w:rPr>
            </w:pPr>
            <w:r>
              <w:rPr>
                <w:rFonts w:ascii="Arial" w:cs="Arial" w:eastAsia="Arial" w:hAnsi="Arial"/>
                <w:sz w:val="22"/>
                <w:szCs w:val="22"/>
                <w:color w:val="auto"/>
              </w:rPr>
              <w:t>of these lawsuits to survive a motion to dismiss and go to trial in Delaware</w:t>
            </w:r>
          </w:p>
        </w:tc>
        <w:tc>
          <w:tcPr>
            <w:tcW w:w="0" w:type="dxa"/>
            <w:vAlign w:val="bottom"/>
          </w:tcPr>
          <w:p>
            <w:pPr>
              <w:spacing w:after="0"/>
              <w:rPr>
                <w:sz w:val="1"/>
                <w:szCs w:val="1"/>
                <w:color w:val="auto"/>
              </w:rPr>
            </w:pPr>
          </w:p>
        </w:tc>
      </w:tr>
      <w:tr>
        <w:trPr>
          <w:trHeight w:val="153"/>
        </w:trPr>
        <w:tc>
          <w:tcPr>
            <w:tcW w:w="20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w w:val="98"/>
              </w:rPr>
              <w:t>the Alkermes board</w:t>
            </w:r>
          </w:p>
        </w:tc>
        <w:tc>
          <w:tcPr>
            <w:tcW w:w="92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9220" w:type="dxa"/>
            <w:vAlign w:val="bottom"/>
            <w:gridSpan w:val="5"/>
            <w:vMerge w:val="restart"/>
          </w:tcPr>
          <w:p>
            <w:pPr>
              <w:ind w:left="580"/>
              <w:spacing w:after="0" w:line="253" w:lineRule="exact"/>
              <w:rPr>
                <w:sz w:val="20"/>
                <w:szCs w:val="20"/>
                <w:color w:val="auto"/>
              </w:rPr>
            </w:pPr>
            <w:r>
              <w:rPr>
                <w:rFonts w:ascii="MS PGothic" w:cs="MS PGothic" w:eastAsia="MS PGothic" w:hAnsi="MS PGothic"/>
                <w:sz w:val="22"/>
                <w:szCs w:val="22"/>
                <w:color w:val="auto"/>
                <w:w w:val="92"/>
              </w:rPr>
              <w:t>✓</w:t>
            </w:r>
            <w:r>
              <w:rPr>
                <w:rFonts w:ascii="Arial" w:cs="Arial" w:eastAsia="Arial" w:hAnsi="Arial"/>
                <w:sz w:val="22"/>
                <w:szCs w:val="22"/>
                <w:color w:val="auto"/>
                <w:w w:val="92"/>
              </w:rPr>
              <w:t xml:space="preserve">  It is correct that at a motion to dismiss stage a judge must assume all facts presented by the</w:t>
            </w:r>
          </w:p>
        </w:tc>
        <w:tc>
          <w:tcPr>
            <w:tcW w:w="0" w:type="dxa"/>
            <w:vAlign w:val="bottom"/>
          </w:tcPr>
          <w:p>
            <w:pPr>
              <w:spacing w:after="0"/>
              <w:rPr>
                <w:sz w:val="1"/>
                <w:szCs w:val="1"/>
                <w:color w:val="auto"/>
              </w:rPr>
            </w:pPr>
          </w:p>
        </w:tc>
      </w:tr>
      <w:tr>
        <w:trPr>
          <w:trHeight w:val="243"/>
        </w:trPr>
        <w:tc>
          <w:tcPr>
            <w:tcW w:w="2020" w:type="dxa"/>
            <w:vAlign w:val="bottom"/>
          </w:tcPr>
          <w:p>
            <w:pPr>
              <w:ind w:left="120"/>
              <w:spacing w:after="0" w:line="243" w:lineRule="exact"/>
              <w:rPr>
                <w:sz w:val="20"/>
                <w:szCs w:val="20"/>
                <w:color w:val="auto"/>
              </w:rPr>
            </w:pPr>
            <w:r>
              <w:rPr>
                <w:rFonts w:ascii="Arial" w:cs="Arial" w:eastAsia="Arial" w:hAnsi="Arial"/>
                <w:sz w:val="22"/>
                <w:szCs w:val="22"/>
                <w:color w:val="auto"/>
                <w:w w:val="97"/>
              </w:rPr>
              <w:t>never indicated that</w:t>
            </w:r>
          </w:p>
        </w:tc>
        <w:tc>
          <w:tcPr>
            <w:tcW w:w="922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20" w:type="dxa"/>
            <w:vAlign w:val="bottom"/>
          </w:tcPr>
          <w:p>
            <w:pPr>
              <w:ind w:left="120"/>
              <w:spacing w:after="0" w:line="218" w:lineRule="exact"/>
              <w:rPr>
                <w:sz w:val="20"/>
                <w:szCs w:val="20"/>
                <w:color w:val="auto"/>
              </w:rPr>
            </w:pPr>
            <w:r>
              <w:rPr>
                <w:rFonts w:ascii="Arial" w:cs="Arial" w:eastAsia="Arial" w:hAnsi="Arial"/>
                <w:sz w:val="22"/>
                <w:szCs w:val="22"/>
                <w:color w:val="auto"/>
              </w:rPr>
              <w:t>the Bioverativ</w:t>
            </w:r>
          </w:p>
        </w:tc>
        <w:tc>
          <w:tcPr>
            <w:tcW w:w="9220" w:type="dxa"/>
            <w:vAlign w:val="bottom"/>
            <w:gridSpan w:val="5"/>
          </w:tcPr>
          <w:p>
            <w:pPr>
              <w:ind w:left="980"/>
              <w:spacing w:after="0" w:line="218" w:lineRule="exact"/>
              <w:rPr>
                <w:sz w:val="20"/>
                <w:szCs w:val="20"/>
                <w:color w:val="auto"/>
              </w:rPr>
            </w:pPr>
            <w:r>
              <w:rPr>
                <w:rFonts w:ascii="Arial" w:cs="Arial" w:eastAsia="Arial" w:hAnsi="Arial"/>
                <w:sz w:val="22"/>
                <w:szCs w:val="22"/>
                <w:color w:val="auto"/>
                <w:w w:val="95"/>
              </w:rPr>
              <w:t>plaintiffs as true. However, the undisputed facts alone are very troubling in the Bioverativ</w:t>
            </w:r>
          </w:p>
        </w:tc>
        <w:tc>
          <w:tcPr>
            <w:tcW w:w="0" w:type="dxa"/>
            <w:vAlign w:val="bottom"/>
          </w:tcPr>
          <w:p>
            <w:pPr>
              <w:spacing w:after="0"/>
              <w:rPr>
                <w:sz w:val="1"/>
                <w:szCs w:val="1"/>
                <w:color w:val="auto"/>
              </w:rPr>
            </w:pPr>
          </w:p>
        </w:tc>
      </w:tr>
      <w:tr>
        <w:trPr>
          <w:trHeight w:val="154"/>
        </w:trPr>
        <w:tc>
          <w:tcPr>
            <w:tcW w:w="2020" w:type="dxa"/>
            <w:vAlign w:val="bottom"/>
            <w:vMerge w:val="restart"/>
          </w:tcPr>
          <w:p>
            <w:pPr>
              <w:ind w:left="120"/>
              <w:spacing w:after="0" w:line="249" w:lineRule="exact"/>
              <w:rPr>
                <w:sz w:val="20"/>
                <w:szCs w:val="20"/>
                <w:color w:val="auto"/>
              </w:rPr>
            </w:pPr>
            <w:r>
              <w:rPr>
                <w:rFonts w:ascii="Arial" w:cs="Arial" w:eastAsia="Arial" w:hAnsi="Arial"/>
                <w:sz w:val="22"/>
                <w:szCs w:val="22"/>
                <w:color w:val="auto"/>
                <w:w w:val="92"/>
              </w:rPr>
              <w:t>lawsuit was a reason</w:t>
            </w:r>
          </w:p>
        </w:tc>
        <w:tc>
          <w:tcPr>
            <w:tcW w:w="1400" w:type="dxa"/>
            <w:vAlign w:val="bottom"/>
            <w:vMerge w:val="restart"/>
          </w:tcPr>
          <w:p>
            <w:pPr>
              <w:ind w:left="980"/>
              <w:spacing w:after="0" w:line="249" w:lineRule="exact"/>
              <w:rPr>
                <w:sz w:val="20"/>
                <w:szCs w:val="20"/>
                <w:color w:val="auto"/>
              </w:rPr>
            </w:pPr>
            <w:r>
              <w:rPr>
                <w:rFonts w:ascii="Arial" w:cs="Arial" w:eastAsia="Arial" w:hAnsi="Arial"/>
                <w:sz w:val="22"/>
                <w:szCs w:val="22"/>
                <w:color w:val="auto"/>
                <w:w w:val="75"/>
              </w:rPr>
              <w:t>case.</w:t>
            </w:r>
          </w:p>
        </w:tc>
        <w:tc>
          <w:tcPr>
            <w:tcW w:w="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w:t>
            </w:r>
          </w:p>
        </w:tc>
        <w:tc>
          <w:tcPr>
            <w:tcW w:w="7640" w:type="dxa"/>
            <w:vAlign w:val="bottom"/>
            <w:gridSpan w:val="3"/>
            <w:vMerge w:val="restart"/>
          </w:tcPr>
          <w:p>
            <w:pPr>
              <w:ind w:left="40"/>
              <w:spacing w:after="0" w:line="249" w:lineRule="exact"/>
              <w:rPr>
                <w:sz w:val="20"/>
                <w:szCs w:val="20"/>
                <w:color w:val="auto"/>
              </w:rPr>
            </w:pPr>
            <w:r>
              <w:rPr>
                <w:rFonts w:ascii="Arial" w:cs="Arial" w:eastAsia="Arial" w:hAnsi="Arial"/>
                <w:sz w:val="22"/>
                <w:szCs w:val="22"/>
                <w:color w:val="auto"/>
              </w:rPr>
              <w:t>The full 126-page decision in the Bioverativ case can be found here</w:t>
            </w: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20" w:type="dxa"/>
            <w:vAlign w:val="bottom"/>
            <w:vMerge w:val="restart"/>
          </w:tcPr>
          <w:p>
            <w:pPr>
              <w:ind w:left="120"/>
              <w:spacing w:after="0"/>
              <w:rPr>
                <w:sz w:val="20"/>
                <w:szCs w:val="20"/>
                <w:color w:val="auto"/>
              </w:rPr>
            </w:pPr>
            <w:r>
              <w:rPr>
                <w:rFonts w:ascii="Arial" w:cs="Arial" w:eastAsia="Arial" w:hAnsi="Arial"/>
                <w:sz w:val="22"/>
                <w:szCs w:val="22"/>
                <w:color w:val="auto"/>
              </w:rPr>
              <w:t>why they rejected</w:t>
            </w: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20" w:type="dxa"/>
            <w:vAlign w:val="bottom"/>
            <w:vMerge w:val="continue"/>
          </w:tcPr>
          <w:p>
            <w:pPr>
              <w:spacing w:after="0"/>
              <w:rPr>
                <w:sz w:val="21"/>
                <w:szCs w:val="21"/>
                <w:color w:val="auto"/>
              </w:rPr>
            </w:pPr>
          </w:p>
        </w:tc>
        <w:tc>
          <w:tcPr>
            <w:tcW w:w="9220" w:type="dxa"/>
            <w:vAlign w:val="bottom"/>
            <w:gridSpan w:val="5"/>
            <w:vMerge w:val="restart"/>
          </w:tcPr>
          <w:p>
            <w:pPr>
              <w:ind w:left="580"/>
              <w:spacing w:after="0" w:line="253" w:lineRule="exact"/>
              <w:rPr>
                <w:sz w:val="20"/>
                <w:szCs w:val="20"/>
                <w:color w:val="auto"/>
              </w:rPr>
            </w:pPr>
            <w:r>
              <w:rPr>
                <w:rFonts w:ascii="MS PGothic" w:cs="MS PGothic" w:eastAsia="MS PGothic" w:hAnsi="MS PGothic"/>
                <w:sz w:val="22"/>
                <w:szCs w:val="22"/>
                <w:color w:val="auto"/>
                <w:w w:val="95"/>
              </w:rPr>
              <w:t>✓</w:t>
            </w:r>
            <w:r>
              <w:rPr>
                <w:rFonts w:ascii="Arial" w:cs="Arial" w:eastAsia="Arial" w:hAnsi="Arial"/>
                <w:sz w:val="22"/>
                <w:szCs w:val="22"/>
                <w:color w:val="auto"/>
                <w:w w:val="95"/>
              </w:rPr>
              <w:t xml:space="preserve">  The independent directors of Alkermes raised the Bioverativ litigation with Dr. Denner and</w:t>
            </w:r>
          </w:p>
        </w:tc>
        <w:tc>
          <w:tcPr>
            <w:tcW w:w="0" w:type="dxa"/>
            <w:vAlign w:val="bottom"/>
          </w:tcPr>
          <w:p>
            <w:pPr>
              <w:spacing w:after="0"/>
              <w:rPr>
                <w:sz w:val="1"/>
                <w:szCs w:val="1"/>
                <w:color w:val="auto"/>
              </w:rPr>
            </w:pPr>
          </w:p>
        </w:tc>
      </w:tr>
      <w:tr>
        <w:trPr>
          <w:trHeight w:val="122"/>
        </w:trPr>
        <w:tc>
          <w:tcPr>
            <w:tcW w:w="2020" w:type="dxa"/>
            <w:vAlign w:val="bottom"/>
            <w:vMerge w:val="restart"/>
          </w:tcPr>
          <w:p>
            <w:pPr>
              <w:ind w:left="120"/>
              <w:spacing w:after="0"/>
              <w:rPr>
                <w:sz w:val="20"/>
                <w:szCs w:val="20"/>
                <w:color w:val="auto"/>
              </w:rPr>
            </w:pPr>
            <w:r>
              <w:rPr>
                <w:rFonts w:ascii="Arial" w:cs="Arial" w:eastAsia="Arial" w:hAnsi="Arial"/>
                <w:sz w:val="22"/>
                <w:szCs w:val="22"/>
                <w:color w:val="auto"/>
                <w:w w:val="98"/>
              </w:rPr>
              <w:t>Sarissa’s nominees</w:t>
            </w:r>
          </w:p>
        </w:tc>
        <w:tc>
          <w:tcPr>
            <w:tcW w:w="92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20" w:type="dxa"/>
            <w:vAlign w:val="bottom"/>
            <w:vMerge w:val="continue"/>
          </w:tcPr>
          <w:p>
            <w:pPr>
              <w:spacing w:after="0"/>
              <w:rPr>
                <w:sz w:val="13"/>
                <w:szCs w:val="13"/>
                <w:color w:val="auto"/>
              </w:rPr>
            </w:pPr>
          </w:p>
        </w:tc>
        <w:tc>
          <w:tcPr>
            <w:tcW w:w="9220" w:type="dxa"/>
            <w:vAlign w:val="bottom"/>
            <w:gridSpan w:val="5"/>
            <w:vMerge w:val="restart"/>
          </w:tcPr>
          <w:p>
            <w:pPr>
              <w:ind w:left="980"/>
              <w:spacing w:after="0" w:line="243" w:lineRule="exact"/>
              <w:rPr>
                <w:sz w:val="20"/>
                <w:szCs w:val="20"/>
                <w:color w:val="auto"/>
              </w:rPr>
            </w:pPr>
            <w:r>
              <w:rPr>
                <w:rFonts w:ascii="Arial" w:cs="Arial" w:eastAsia="Arial" w:hAnsi="Arial"/>
                <w:sz w:val="22"/>
                <w:szCs w:val="22"/>
                <w:color w:val="auto"/>
                <w:w w:val="92"/>
              </w:rPr>
              <w:t>asked him to share his perspective. When asked in 2022, he claimed he did not even know</w:t>
            </w:r>
          </w:p>
        </w:tc>
        <w:tc>
          <w:tcPr>
            <w:tcW w:w="0" w:type="dxa"/>
            <w:vAlign w:val="bottom"/>
          </w:tcPr>
          <w:p>
            <w:pPr>
              <w:spacing w:after="0"/>
              <w:rPr>
                <w:sz w:val="1"/>
                <w:szCs w:val="1"/>
                <w:color w:val="auto"/>
              </w:rPr>
            </w:pPr>
          </w:p>
        </w:tc>
      </w:tr>
      <w:tr>
        <w:trPr>
          <w:trHeight w:val="90"/>
        </w:trPr>
        <w:tc>
          <w:tcPr>
            <w:tcW w:w="2020" w:type="dxa"/>
            <w:vAlign w:val="bottom"/>
          </w:tcPr>
          <w:p>
            <w:pPr>
              <w:spacing w:after="0"/>
              <w:rPr>
                <w:sz w:val="7"/>
                <w:szCs w:val="7"/>
                <w:color w:val="auto"/>
              </w:rPr>
            </w:pPr>
          </w:p>
        </w:tc>
        <w:tc>
          <w:tcPr>
            <w:tcW w:w="92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9220" w:type="dxa"/>
            <w:vAlign w:val="bottom"/>
            <w:gridSpan w:val="5"/>
          </w:tcPr>
          <w:p>
            <w:pPr>
              <w:ind w:left="980"/>
              <w:spacing w:after="0" w:line="243" w:lineRule="exact"/>
              <w:rPr>
                <w:sz w:val="20"/>
                <w:szCs w:val="20"/>
                <w:color w:val="auto"/>
              </w:rPr>
            </w:pPr>
            <w:r>
              <w:rPr>
                <w:rFonts w:ascii="Arial" w:cs="Arial" w:eastAsia="Arial" w:hAnsi="Arial"/>
                <w:sz w:val="22"/>
                <w:szCs w:val="22"/>
                <w:color w:val="auto"/>
                <w:w w:val="91"/>
              </w:rPr>
              <w:t>about the case, despite the significant media coverage of the decision. When asked in 2023,</w:t>
            </w:r>
          </w:p>
        </w:tc>
        <w:tc>
          <w:tcPr>
            <w:tcW w:w="0" w:type="dxa"/>
            <w:vAlign w:val="bottom"/>
          </w:tcPr>
          <w:p>
            <w:pPr>
              <w:spacing w:after="0"/>
              <w:rPr>
                <w:sz w:val="1"/>
                <w:szCs w:val="1"/>
                <w:color w:val="auto"/>
              </w:rPr>
            </w:pPr>
          </w:p>
        </w:tc>
      </w:tr>
      <w:tr>
        <w:trPr>
          <w:trHeight w:val="274"/>
        </w:trPr>
        <w:tc>
          <w:tcPr>
            <w:tcW w:w="2020" w:type="dxa"/>
            <w:vAlign w:val="bottom"/>
          </w:tcPr>
          <w:p>
            <w:pPr>
              <w:spacing w:after="0"/>
              <w:rPr>
                <w:sz w:val="23"/>
                <w:szCs w:val="23"/>
                <w:color w:val="auto"/>
              </w:rPr>
            </w:pPr>
          </w:p>
        </w:tc>
        <w:tc>
          <w:tcPr>
            <w:tcW w:w="9220" w:type="dxa"/>
            <w:vAlign w:val="bottom"/>
            <w:gridSpan w:val="5"/>
          </w:tcPr>
          <w:p>
            <w:pPr>
              <w:ind w:left="980"/>
              <w:spacing w:after="0"/>
              <w:rPr>
                <w:sz w:val="20"/>
                <w:szCs w:val="20"/>
                <w:color w:val="auto"/>
              </w:rPr>
            </w:pPr>
            <w:r>
              <w:rPr>
                <w:rFonts w:ascii="Arial" w:cs="Arial" w:eastAsia="Arial" w:hAnsi="Arial"/>
                <w:sz w:val="22"/>
                <w:szCs w:val="22"/>
                <w:color w:val="auto"/>
              </w:rPr>
              <w:t>Dr. Denner casually dismissed the matter</w:t>
            </w: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4"/>
                <w:szCs w:val="24"/>
                <w:color w:val="auto"/>
              </w:rPr>
            </w:pPr>
          </w:p>
        </w:tc>
        <w:tc>
          <w:tcPr>
            <w:tcW w:w="9220" w:type="dxa"/>
            <w:vAlign w:val="bottom"/>
            <w:gridSpan w:val="5"/>
          </w:tcPr>
          <w:p>
            <w:pPr>
              <w:ind w:left="580"/>
              <w:spacing w:after="0" w:line="253" w:lineRule="exact"/>
              <w:rPr>
                <w:sz w:val="20"/>
                <w:szCs w:val="20"/>
                <w:color w:val="auto"/>
              </w:rPr>
            </w:pPr>
            <w:r>
              <w:rPr>
                <w:rFonts w:ascii="MS PGothic" w:cs="MS PGothic" w:eastAsia="MS PGothic" w:hAnsi="MS PGothic"/>
                <w:sz w:val="22"/>
                <w:szCs w:val="22"/>
                <w:color w:val="auto"/>
                <w:w w:val="93"/>
              </w:rPr>
              <w:t>✓</w:t>
            </w:r>
            <w:r>
              <w:rPr>
                <w:rFonts w:ascii="Arial" w:cs="Arial" w:eastAsia="Arial" w:hAnsi="Arial"/>
                <w:sz w:val="22"/>
                <w:szCs w:val="22"/>
                <w:color w:val="auto"/>
                <w:w w:val="93"/>
              </w:rPr>
              <w:t xml:space="preserve">  The judge in question, Vice Chancellor J. Travis Laster, is the longest-tenured judge on the</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9220" w:type="dxa"/>
            <w:vAlign w:val="bottom"/>
            <w:gridSpan w:val="5"/>
          </w:tcPr>
          <w:p>
            <w:pPr>
              <w:ind w:left="980"/>
              <w:spacing w:after="0" w:line="243" w:lineRule="exact"/>
              <w:rPr>
                <w:sz w:val="20"/>
                <w:szCs w:val="20"/>
                <w:color w:val="auto"/>
              </w:rPr>
            </w:pPr>
            <w:r>
              <w:rPr>
                <w:rFonts w:ascii="Arial" w:cs="Arial" w:eastAsia="Arial" w:hAnsi="Arial"/>
                <w:sz w:val="22"/>
                <w:szCs w:val="22"/>
                <w:color w:val="auto"/>
                <w:w w:val="90"/>
              </w:rPr>
              <w:t>Court of Chancery in Delaware and widely recognized as one of the most respected business</w:t>
            </w:r>
          </w:p>
        </w:tc>
        <w:tc>
          <w:tcPr>
            <w:tcW w:w="0" w:type="dxa"/>
            <w:vAlign w:val="bottom"/>
          </w:tcPr>
          <w:p>
            <w:pPr>
              <w:spacing w:after="0"/>
              <w:rPr>
                <w:sz w:val="1"/>
                <w:szCs w:val="1"/>
                <w:color w:val="auto"/>
              </w:rPr>
            </w:pPr>
          </w:p>
        </w:tc>
      </w:tr>
      <w:tr>
        <w:trPr>
          <w:trHeight w:val="274"/>
        </w:trPr>
        <w:tc>
          <w:tcPr>
            <w:tcW w:w="2020" w:type="dxa"/>
            <w:vAlign w:val="bottom"/>
          </w:tcPr>
          <w:p>
            <w:pPr>
              <w:spacing w:after="0"/>
              <w:rPr>
                <w:sz w:val="23"/>
                <w:szCs w:val="23"/>
                <w:color w:val="auto"/>
              </w:rPr>
            </w:pPr>
          </w:p>
        </w:tc>
        <w:tc>
          <w:tcPr>
            <w:tcW w:w="9220" w:type="dxa"/>
            <w:vAlign w:val="bottom"/>
            <w:gridSpan w:val="5"/>
          </w:tcPr>
          <w:p>
            <w:pPr>
              <w:ind w:left="980"/>
              <w:spacing w:after="0"/>
              <w:rPr>
                <w:sz w:val="20"/>
                <w:szCs w:val="20"/>
                <w:color w:val="auto"/>
              </w:rPr>
            </w:pPr>
            <w:r>
              <w:rPr>
                <w:rFonts w:ascii="Arial" w:cs="Arial" w:eastAsia="Arial" w:hAnsi="Arial"/>
                <w:sz w:val="22"/>
                <w:szCs w:val="22"/>
                <w:color w:val="auto"/>
              </w:rPr>
              <w:t>jurists in the nation</w:t>
            </w: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4"/>
                <w:szCs w:val="24"/>
                <w:color w:val="auto"/>
              </w:rPr>
            </w:pPr>
          </w:p>
        </w:tc>
        <w:tc>
          <w:tcPr>
            <w:tcW w:w="9220" w:type="dxa"/>
            <w:vAlign w:val="bottom"/>
            <w:gridSpan w:val="5"/>
          </w:tcPr>
          <w:p>
            <w:pPr>
              <w:ind w:left="580"/>
              <w:spacing w:after="0" w:line="253" w:lineRule="exact"/>
              <w:rPr>
                <w:sz w:val="20"/>
                <w:szCs w:val="20"/>
                <w:color w:val="auto"/>
              </w:rPr>
            </w:pPr>
            <w:r>
              <w:rPr>
                <w:rFonts w:ascii="MS PGothic" w:cs="MS PGothic" w:eastAsia="MS PGothic" w:hAnsi="MS PGothic"/>
                <w:sz w:val="22"/>
                <w:szCs w:val="22"/>
                <w:color w:val="auto"/>
                <w:w w:val="94"/>
              </w:rPr>
              <w:t>✓</w:t>
            </w:r>
            <w:r>
              <w:rPr>
                <w:rFonts w:ascii="Arial" w:cs="Arial" w:eastAsia="Arial" w:hAnsi="Arial"/>
                <w:sz w:val="22"/>
                <w:szCs w:val="22"/>
                <w:color w:val="auto"/>
                <w:w w:val="94"/>
              </w:rPr>
              <w:t xml:space="preserve">  The Bioverativ case was only one of the reasons the Board decided not to recommend Dr.</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9220" w:type="dxa"/>
            <w:vAlign w:val="bottom"/>
            <w:gridSpan w:val="5"/>
          </w:tcPr>
          <w:p>
            <w:pPr>
              <w:ind w:left="980"/>
              <w:spacing w:after="0" w:line="243" w:lineRule="exact"/>
              <w:rPr>
                <w:sz w:val="20"/>
                <w:szCs w:val="20"/>
                <w:color w:val="auto"/>
              </w:rPr>
            </w:pPr>
            <w:r>
              <w:rPr>
                <w:rFonts w:ascii="Arial" w:cs="Arial" w:eastAsia="Arial" w:hAnsi="Arial"/>
                <w:sz w:val="22"/>
                <w:szCs w:val="22"/>
                <w:color w:val="auto"/>
                <w:w w:val="90"/>
              </w:rPr>
              <w:t>Denner as a director, but it is hard to see how a responsible Board can possibly disregard the</w:t>
            </w:r>
          </w:p>
        </w:tc>
        <w:tc>
          <w:tcPr>
            <w:tcW w:w="0" w:type="dxa"/>
            <w:vAlign w:val="bottom"/>
          </w:tcPr>
          <w:p>
            <w:pPr>
              <w:spacing w:after="0"/>
              <w:rPr>
                <w:sz w:val="1"/>
                <w:szCs w:val="1"/>
                <w:color w:val="auto"/>
              </w:rPr>
            </w:pPr>
          </w:p>
        </w:tc>
      </w:tr>
      <w:tr>
        <w:trPr>
          <w:trHeight w:val="274"/>
        </w:trPr>
        <w:tc>
          <w:tcPr>
            <w:tcW w:w="2020" w:type="dxa"/>
            <w:vAlign w:val="bottom"/>
          </w:tcPr>
          <w:p>
            <w:pPr>
              <w:spacing w:after="0"/>
              <w:rPr>
                <w:sz w:val="23"/>
                <w:szCs w:val="23"/>
                <w:color w:val="auto"/>
              </w:rPr>
            </w:pPr>
          </w:p>
        </w:tc>
        <w:tc>
          <w:tcPr>
            <w:tcW w:w="9220" w:type="dxa"/>
            <w:vAlign w:val="bottom"/>
            <w:gridSpan w:val="5"/>
          </w:tcPr>
          <w:p>
            <w:pPr>
              <w:ind w:left="980"/>
              <w:spacing w:after="0"/>
              <w:rPr>
                <w:sz w:val="20"/>
                <w:szCs w:val="20"/>
                <w:color w:val="auto"/>
              </w:rPr>
            </w:pPr>
            <w:r>
              <w:rPr>
                <w:rFonts w:ascii="Arial" w:cs="Arial" w:eastAsia="Arial" w:hAnsi="Arial"/>
                <w:sz w:val="22"/>
                <w:szCs w:val="22"/>
                <w:color w:val="auto"/>
              </w:rPr>
              <w:t>serious, unresolved allegations from the litigation</w:t>
            </w:r>
          </w:p>
        </w:tc>
        <w:tc>
          <w:tcPr>
            <w:tcW w:w="0" w:type="dxa"/>
            <w:vAlign w:val="bottom"/>
          </w:tcPr>
          <w:p>
            <w:pPr>
              <w:spacing w:after="0"/>
              <w:rPr>
                <w:sz w:val="1"/>
                <w:szCs w:val="1"/>
                <w:color w:val="auto"/>
              </w:rPr>
            </w:pPr>
          </w:p>
        </w:tc>
      </w:tr>
      <w:tr>
        <w:trPr>
          <w:trHeight w:val="186"/>
        </w:trPr>
        <w:tc>
          <w:tcPr>
            <w:tcW w:w="20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55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 w:name="page5"/>
    <w:bookmarkEnd w:id="4"/>
    <w:p>
      <w:pPr>
        <w:spacing w:after="0" w:line="6" w:lineRule="exact"/>
        <w:rPr>
          <w:sz w:val="20"/>
          <w:szCs w:val="20"/>
          <w:color w:val="auto"/>
        </w:rPr>
      </w:pPr>
    </w:p>
    <w:p>
      <w:pPr>
        <w:ind w:left="112"/>
        <w:spacing w:after="0" w:line="273" w:lineRule="auto"/>
        <w:rPr>
          <w:sz w:val="20"/>
          <w:szCs w:val="20"/>
          <w:color w:val="auto"/>
        </w:rPr>
      </w:pPr>
      <w:r>
        <w:rPr>
          <w:rFonts w:ascii="Arial" w:cs="Arial" w:eastAsia="Arial" w:hAnsi="Arial"/>
          <w:sz w:val="19"/>
          <w:szCs w:val="19"/>
          <w:color w:val="auto"/>
        </w:rPr>
        <w:t>Sarissa claims Dr. Gaynor is solely an oncology specialist and is therefore no longer needed on the Board post-spin of the oncology business, as Alkermes refocuses on neuroscience</w:t>
      </w:r>
    </w:p>
    <w:p>
      <w:pPr>
        <w:spacing w:after="0" w:line="20" w:lineRule="exact"/>
        <w:rPr>
          <w:sz w:val="20"/>
          <w:szCs w:val="20"/>
          <w:color w:val="auto"/>
        </w:rPr>
      </w:pPr>
      <w:r>
        <w:rPr>
          <w:sz w:val="20"/>
          <w:szCs w:val="20"/>
          <w:color w:val="auto"/>
        </w:rPr>
        <w:br w:type="column"/>
      </w:r>
    </w:p>
    <w:p>
      <w:pPr>
        <w:ind w:right="640"/>
        <w:spacing w:after="0" w:line="256" w:lineRule="auto"/>
        <w:rPr>
          <w:sz w:val="20"/>
          <w:szCs w:val="20"/>
          <w:color w:val="auto"/>
        </w:rPr>
      </w:pPr>
      <w:r>
        <w:rPr>
          <w:rFonts w:ascii="Arial" w:cs="Arial" w:eastAsia="Arial" w:hAnsi="Arial"/>
          <w:sz w:val="22"/>
          <w:szCs w:val="22"/>
          <w:b w:val="1"/>
          <w:bCs w:val="1"/>
          <w:color w:val="auto"/>
        </w:rPr>
        <w:t>Dr. Gaynor provides invaluable scientific and R&amp;D capital allocation expertise to the Board across the Company’s entire development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-377825</wp:posOffset>
            </wp:positionV>
            <wp:extent cx="7134225" cy="1649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649730"/>
                    </a:xfrm>
                    <a:prstGeom prst="rect">
                      <a:avLst/>
                    </a:prstGeom>
                    <a:noFill/>
                  </pic:spPr>
                </pic:pic>
              </a:graphicData>
            </a:graphic>
          </wp:anchor>
        </w:drawing>
      </w:r>
    </w:p>
    <w:p>
      <w:pPr>
        <w:spacing w:after="0" w:line="54" w:lineRule="exact"/>
        <w:rPr>
          <w:sz w:val="20"/>
          <w:szCs w:val="20"/>
          <w:color w:val="auto"/>
        </w:rPr>
      </w:pPr>
    </w:p>
    <w:p>
      <w:pPr>
        <w:ind w:left="840" w:hanging="410"/>
        <w:spacing w:after="0"/>
        <w:tabs>
          <w:tab w:leader="none" w:pos="840"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Dr. Gaynor has more drug development experience than anyone else on the Board</w:t>
      </w:r>
    </w:p>
    <w:p>
      <w:pPr>
        <w:spacing w:after="0" w:line="111" w:lineRule="exact"/>
        <w:rPr>
          <w:rFonts w:ascii="MS PGothic" w:cs="MS PGothic" w:eastAsia="MS PGothic" w:hAnsi="MS PGothic"/>
          <w:sz w:val="22"/>
          <w:szCs w:val="22"/>
          <w:color w:val="auto"/>
        </w:rPr>
      </w:pPr>
    </w:p>
    <w:p>
      <w:pPr>
        <w:jc w:val="both"/>
        <w:ind w:left="840" w:right="820" w:hanging="410"/>
        <w:spacing w:after="0"/>
        <w:tabs>
          <w:tab w:leader="none" w:pos="840"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He held senior research and drug development leadership roles at a variety of leading pharmaceutical companies, including Eli Lilly where he served on the company’s key portfolio review committees</w:t>
      </w:r>
    </w:p>
    <w:p>
      <w:pPr>
        <w:spacing w:after="0" w:line="91" w:lineRule="exact"/>
        <w:rPr>
          <w:rFonts w:ascii="MS PGothic" w:cs="MS PGothic" w:eastAsia="MS PGothic" w:hAnsi="MS PGothic"/>
          <w:sz w:val="22"/>
          <w:szCs w:val="22"/>
          <w:color w:val="auto"/>
        </w:rPr>
      </w:pPr>
    </w:p>
    <w:p>
      <w:pPr>
        <w:ind w:left="840" w:right="120" w:hanging="410"/>
        <w:spacing w:after="0" w:line="274" w:lineRule="auto"/>
        <w:tabs>
          <w:tab w:leader="none" w:pos="840" w:val="left"/>
        </w:tabs>
        <w:numPr>
          <w:ilvl w:val="0"/>
          <w:numId w:val="9"/>
        </w:numPr>
        <w:rPr>
          <w:rFonts w:ascii="MS PGothic" w:cs="MS PGothic" w:eastAsia="MS PGothic" w:hAnsi="MS PGothic"/>
          <w:sz w:val="21"/>
          <w:szCs w:val="21"/>
          <w:color w:val="auto"/>
        </w:rPr>
      </w:pPr>
      <w:r>
        <w:rPr>
          <w:rFonts w:ascii="Arial" w:cs="Arial" w:eastAsia="Arial" w:hAnsi="Arial"/>
          <w:sz w:val="21"/>
          <w:szCs w:val="21"/>
          <w:color w:val="auto"/>
        </w:rPr>
        <w:t>Dr. Gaynor provides valuable scientific, governance and business insights to the Board across the Company’s entire R&amp;D portfolio, including its neuroscience programs</w:t>
      </w:r>
    </w:p>
    <w:p>
      <w:pPr>
        <w:spacing w:after="0" w:line="311" w:lineRule="exact"/>
        <w:rPr>
          <w:sz w:val="20"/>
          <w:szCs w:val="20"/>
          <w:color w:val="auto"/>
        </w:rPr>
      </w:pPr>
    </w:p>
    <w:p>
      <w:pPr>
        <w:sectPr>
          <w:pgSz w:w="11900" w:h="16838" w:orient="portrait"/>
          <w:cols w:equalWidth="0" w:num="2">
            <w:col w:w="1832" w:space="320"/>
            <w:col w:w="9060"/>
          </w:cols>
          <w:pgMar w:left="328" w:top="220" w:right="359" w:bottom="1440" w:gutter="0" w:footer="0" w:header="0"/>
        </w:sectPr>
      </w:pPr>
    </w:p>
    <w:p>
      <w:pPr>
        <w:spacing w:after="0" w:line="68" w:lineRule="exact"/>
        <w:rPr>
          <w:sz w:val="20"/>
          <w:szCs w:val="20"/>
          <w:color w:val="auto"/>
        </w:rPr>
      </w:pPr>
    </w:p>
    <w:p>
      <w:pPr>
        <w:ind w:left="-8" w:right="940" w:firstLine="8"/>
        <w:spacing w:after="0" w:line="235" w:lineRule="auto"/>
        <w:tabs>
          <w:tab w:leader="none" w:pos="168" w:val="left"/>
        </w:tabs>
        <w:numPr>
          <w:ilvl w:val="0"/>
          <w:numId w:val="10"/>
        </w:numPr>
        <w:rPr>
          <w:rFonts w:ascii="Arial" w:cs="Arial" w:eastAsia="Arial" w:hAnsi="Arial"/>
          <w:sz w:val="22"/>
          <w:szCs w:val="22"/>
          <w:u w:val="single" w:color="auto"/>
          <w:color w:val="auto"/>
          <w:vertAlign w:val="superscript"/>
        </w:rPr>
      </w:pPr>
      <w:r>
        <w:rPr>
          <w:rFonts w:ascii="Arial" w:cs="Arial" w:eastAsia="Arial" w:hAnsi="Arial"/>
          <w:sz w:val="17"/>
          <w:szCs w:val="17"/>
          <w:color w:val="auto"/>
        </w:rPr>
        <w:t xml:space="preserve">Alkermes’s Cooperation Agreement with Elliott is publicly filed and accessible </w:t>
      </w:r>
      <w:r>
        <w:rPr>
          <w:rFonts w:ascii="Arial" w:cs="Arial" w:eastAsia="Arial" w:hAnsi="Arial"/>
          <w:sz w:val="17"/>
          <w:szCs w:val="17"/>
          <w:u w:val="single" w:color="auto"/>
          <w:color w:val="auto"/>
        </w:rPr>
        <w:t>here</w:t>
      </w:r>
      <w:r>
        <w:rPr>
          <w:rFonts w:ascii="Arial" w:cs="Arial" w:eastAsia="Arial" w:hAnsi="Arial"/>
          <w:sz w:val="17"/>
          <w:szCs w:val="17"/>
          <w:color w:val="auto"/>
        </w:rPr>
        <w:t xml:space="preserve"> (see Section 1(b) thereof for the terms of Elliott’s board representation).</w:t>
      </w:r>
    </w:p>
    <w:p>
      <w:pPr>
        <w:spacing w:after="0" w:line="114" w:lineRule="exact"/>
        <w:rPr>
          <w:rFonts w:ascii="Arial" w:cs="Arial" w:eastAsia="Arial" w:hAnsi="Arial"/>
          <w:sz w:val="22"/>
          <w:szCs w:val="22"/>
          <w:u w:val="single" w:color="auto"/>
          <w:color w:val="auto"/>
          <w:vertAlign w:val="superscript"/>
        </w:rPr>
      </w:pPr>
    </w:p>
    <w:p>
      <w:pPr>
        <w:ind w:left="-8" w:firstLine="8"/>
        <w:spacing w:after="0" w:line="255" w:lineRule="auto"/>
        <w:tabs>
          <w:tab w:leader="none" w:pos="177" w:val="left"/>
        </w:tabs>
        <w:numPr>
          <w:ilvl w:val="0"/>
          <w:numId w:val="10"/>
        </w:numPr>
        <w:rPr>
          <w:rFonts w:ascii="Arial" w:cs="Arial" w:eastAsia="Arial" w:hAnsi="Arial"/>
          <w:sz w:val="23"/>
          <w:szCs w:val="23"/>
          <w:u w:val="single" w:color="auto"/>
          <w:color w:val="auto"/>
          <w:vertAlign w:val="superscript"/>
        </w:rPr>
      </w:pPr>
      <w:r>
        <w:rPr>
          <w:rFonts w:ascii="Arial" w:cs="Arial" w:eastAsia="Arial" w:hAnsi="Arial"/>
          <w:sz w:val="17"/>
          <w:szCs w:val="17"/>
          <w:color w:val="auto"/>
        </w:rPr>
        <w:t>For example, according to the Court’s ruling, Bioverativ “did not disclose that Denner caused Sarissa to purchase over one million shares of stock in the Company after Sanofi’s indication of interest. A reasonable stockholder would have found it material that Denner sought to profit from non-public information about Sanofi’s interest in a transaction. With that information, Denner no longer looks like a fiduciary attempting in good faith to obtain the best outcome possible. He looks like a self-dealing agent engaged in what Tammany Hall philosopher George Washington Plunkitt called ‘honest graft’” (p. 53 of the Memorandum Opinion dated 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186690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x"/>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x"/>
      <w:numFmt w:val="bullet"/>
      <w:start w:val="1"/>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2023-06-12T08:03:15Z</dcterms:created>
  <dcterms:modified xsi:type="dcterms:W3CDTF">2023-06-12T08:03:15Z</dcterms:modified>
</cp:coreProperties>
</file>