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snyderman nancy lynn MD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CONNAUGHT HOUSE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BURLINGTON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Ireland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Alkermes plc.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ALKS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75"/>
        <w:gridCol w:w="922"/>
        <w:gridCol w:w="792"/>
        <w:gridCol w:w="612"/>
        <w:gridCol w:w="341"/>
        <w:gridCol w:w="912"/>
        <w:gridCol w:w="422"/>
        <w:gridCol w:w="898"/>
        <w:gridCol w:w="1119"/>
        <w:gridCol w:w="968"/>
        <w:gridCol w:w="124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27,948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46.72</w:t>
            </w:r>
          </w:p>
        </w:tc>
        <w:tc>
          <w:tcPr>
            <w:tcW w:w="11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43,343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16,524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46.72</w:t>
            </w:r>
          </w:p>
        </w:tc>
        <w:tc>
          <w:tcPr>
            <w:tcW w:w="11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59,867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44,472</w:t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50.348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15,395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20,783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Snyderman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21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2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27,948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09/14/2026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27,948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16,524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09/14/2026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16,524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a weighted average price. The shares were sold in multiple transactions at prices ranging from $50.07 to $50.70. Full information regarding the number of shares sold at each separate price can be provided to the issuer, any security holder of the issuer or the SEC staff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are held by the Nancy Lynn Snyderman Revocable Trust (the "Snyderman Trust"), of which the reporting person is both the sole trustee and sole beneficiary.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options are fully vested in accordance with their terms.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Shantale Greenson, attorney-in-fact for Nancy Snyderman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5198" TargetMode="External"/><Relationship Id="rId5" Type="http://schemas.openxmlformats.org/officeDocument/2006/relationships/hyperlink" Target="http://www.sec.gov/cgi-bin/browse-edgar?action=getcompany&amp;CIK=00015202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724</Words>
  <Characters>3886</Characters>
  <CharactersWithSpaces>4497</CharactersWithSpaces>
  <Paragraphs>142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