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ind w:left="3880" w:right="1360" w:hanging="3508"/>
        <w:spacing w:after="0" w:line="423" w:lineRule="auto"/>
        <w:tabs>
          <w:tab w:leader="none" w:pos="73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wp:posOffset>
            </wp:positionH>
            <wp:positionV relativeFrom="paragraph">
              <wp:posOffset>-436245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22" w:lineRule="exact"/>
        <w:rPr>
          <w:sz w:val="24"/>
          <w:szCs w:val="24"/>
          <w:color w:val="auto"/>
        </w:rPr>
      </w:pPr>
    </w:p>
    <w:p>
      <w:pPr>
        <w:ind w:left="4220" w:right="1340" w:hanging="3848"/>
        <w:spacing w:after="0" w:line="423" w:lineRule="auto"/>
        <w:tabs>
          <w:tab w:leader="none" w:pos="73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wp:posOffset>
            </wp:positionH>
            <wp:positionV relativeFrom="paragraph">
              <wp:posOffset>-436245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-116840</wp:posOffset>
            </wp:positionV>
            <wp:extent cx="1611630" cy="402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402590"/>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ALKERMES PUBLIC LIMITED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jc w:val="center"/>
              <w:ind w:left="1870"/>
              <w:spacing w:after="0"/>
              <w:rPr>
                <w:sz w:val="20"/>
                <w:szCs w:val="20"/>
                <w:color w:val="auto"/>
              </w:rPr>
            </w:pPr>
            <w:r>
              <w:rPr>
                <w:rFonts w:ascii="Arial" w:cs="Arial" w:eastAsia="Arial" w:hAnsi="Arial"/>
                <w:sz w:val="18"/>
                <w:szCs w:val="18"/>
                <w:b w:val="1"/>
                <w:bCs w:val="1"/>
                <w:color w:val="auto"/>
                <w:w w:val="94"/>
              </w:rPr>
              <w:t>Ireland</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jc w:val="right"/>
              <w:ind w:right="2170"/>
              <w:spacing w:after="0"/>
              <w:rPr>
                <w:sz w:val="20"/>
                <w:szCs w:val="20"/>
                <w:color w:val="auto"/>
              </w:rPr>
            </w:pPr>
            <w:r>
              <w:rPr>
                <w:rFonts w:ascii="Arial" w:cs="Arial" w:eastAsia="Arial" w:hAnsi="Arial"/>
                <w:sz w:val="18"/>
                <w:szCs w:val="18"/>
                <w:b w:val="1"/>
                <w:bCs w:val="1"/>
                <w:color w:val="auto"/>
              </w:rPr>
              <w:t>98-1007018</w:t>
            </w:r>
          </w:p>
        </w:tc>
      </w:tr>
      <w:tr>
        <w:trPr>
          <w:trHeight w:val="230"/>
        </w:trPr>
        <w:tc>
          <w:tcPr>
            <w:tcW w:w="7140" w:type="dxa"/>
            <w:vAlign w:val="bottom"/>
            <w:gridSpan w:val="6"/>
          </w:tcPr>
          <w:p>
            <w:pPr>
              <w:jc w:val="center"/>
              <w:ind w:right="17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100" w:type="dxa"/>
            <w:vAlign w:val="bottom"/>
          </w:tcPr>
          <w:p>
            <w:pPr>
              <w:jc w:val="center"/>
              <w:ind w:right="1210"/>
              <w:spacing w:after="0"/>
              <w:rPr>
                <w:sz w:val="20"/>
                <w:szCs w:val="20"/>
                <w:color w:val="auto"/>
              </w:rPr>
            </w:pPr>
            <w:r>
              <w:rPr>
                <w:rFonts w:ascii="Arial" w:cs="Arial" w:eastAsia="Arial" w:hAnsi="Arial"/>
                <w:sz w:val="18"/>
                <w:szCs w:val="18"/>
                <w:color w:val="auto"/>
                <w:w w:val="93"/>
              </w:rPr>
              <w:t>(I.R.S. Employer Identification No.)</w:t>
            </w:r>
          </w:p>
        </w:tc>
      </w:tr>
      <w:tr>
        <w:trPr>
          <w:trHeight w:val="333"/>
        </w:trPr>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Connaught House</w:t>
            </w:r>
          </w:p>
        </w:tc>
        <w:tc>
          <w:tcPr>
            <w:tcW w:w="410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1 Burlington Road</w:t>
            </w:r>
          </w:p>
        </w:tc>
        <w:tc>
          <w:tcPr>
            <w:tcW w:w="4100" w:type="dxa"/>
            <w:vAlign w:val="bottom"/>
          </w:tcPr>
          <w:p>
            <w:pPr>
              <w:spacing w:after="0"/>
              <w:rPr>
                <w:sz w:val="18"/>
                <w:szCs w:val="18"/>
                <w:color w:val="auto"/>
              </w:rPr>
            </w:pPr>
          </w:p>
        </w:tc>
      </w:tr>
      <w:tr>
        <w:trPr>
          <w:trHeight w:val="220"/>
        </w:trPr>
        <w:tc>
          <w:tcPr>
            <w:tcW w:w="3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Dublin 4, Ireland, D04 C5Y6</w:t>
            </w:r>
          </w:p>
        </w:tc>
        <w:tc>
          <w:tcPr>
            <w:tcW w:w="410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3700" w:type="dxa"/>
            <w:vAlign w:val="bottom"/>
            <w:gridSpan w:val="5"/>
          </w:tcPr>
          <w:p>
            <w:pPr>
              <w:jc w:val="center"/>
              <w:ind w:left="590"/>
              <w:spacing w:after="0"/>
              <w:rPr>
                <w:sz w:val="20"/>
                <w:szCs w:val="20"/>
                <w:color w:val="auto"/>
              </w:rPr>
            </w:pPr>
            <w:r>
              <w:rPr>
                <w:rFonts w:ascii="Arial" w:cs="Arial" w:eastAsia="Arial" w:hAnsi="Arial"/>
                <w:sz w:val="18"/>
                <w:szCs w:val="18"/>
                <w:color w:val="auto"/>
                <w:w w:val="92"/>
              </w:rPr>
              <w:t>(Address of principal executive offices)</w:t>
            </w:r>
          </w:p>
        </w:tc>
        <w:tc>
          <w:tcPr>
            <w:tcW w:w="4100" w:type="dxa"/>
            <w:vAlign w:val="bottom"/>
          </w:tcPr>
          <w:p>
            <w:pPr>
              <w:spacing w:after="0"/>
              <w:rPr>
                <w:sz w:val="20"/>
                <w:szCs w:val="20"/>
                <w:color w:val="auto"/>
              </w:rPr>
            </w:pPr>
          </w:p>
        </w:tc>
      </w:tr>
      <w:tr>
        <w:trPr>
          <w:trHeight w:val="337"/>
        </w:trPr>
        <w:tc>
          <w:tcPr>
            <w:tcW w:w="3440" w:type="dxa"/>
            <w:vAlign w:val="bottom"/>
          </w:tcPr>
          <w:p>
            <w:pPr>
              <w:spacing w:after="0"/>
              <w:rPr>
                <w:sz w:val="24"/>
                <w:szCs w:val="24"/>
                <w:color w:val="auto"/>
              </w:rPr>
            </w:pPr>
          </w:p>
        </w:tc>
        <w:tc>
          <w:tcPr>
            <w:tcW w:w="342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1"/>
              </w:rPr>
              <w:t>+ 353-1-772-8000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7800" w:type="dxa"/>
            <w:vAlign w:val="bottom"/>
            <w:gridSpan w:val="6"/>
          </w:tcPr>
          <w:p>
            <w:pPr>
              <w:jc w:val="center"/>
              <w:ind w:right="335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51"/>
        </w:trPr>
        <w:tc>
          <w:tcPr>
            <w:tcW w:w="3440" w:type="dxa"/>
            <w:vAlign w:val="bottom"/>
          </w:tcPr>
          <w:p>
            <w:pPr>
              <w:spacing w:after="0"/>
              <w:rPr>
                <w:sz w:val="24"/>
                <w:szCs w:val="24"/>
                <w:color w:val="auto"/>
              </w:rPr>
            </w:pPr>
          </w:p>
        </w:tc>
        <w:tc>
          <w:tcPr>
            <w:tcW w:w="7800" w:type="dxa"/>
            <w:vAlign w:val="bottom"/>
            <w:gridSpan w:val="6"/>
          </w:tcPr>
          <w:p>
            <w:pPr>
              <w:jc w:val="center"/>
              <w:ind w:right="333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97"/>
        </w:trPr>
        <w:tc>
          <w:tcPr>
            <w:tcW w:w="3440" w:type="dxa"/>
            <w:vAlign w:val="bottom"/>
          </w:tcPr>
          <w:p>
            <w:pPr>
              <w:jc w:val="center"/>
              <w:ind w:left="770"/>
              <w:spacing w:after="0"/>
              <w:rPr>
                <w:sz w:val="20"/>
                <w:szCs w:val="20"/>
                <w:color w:val="auto"/>
              </w:rPr>
            </w:pPr>
            <w:r>
              <w:rPr>
                <w:rFonts w:ascii="Arial" w:cs="Arial" w:eastAsia="Arial" w:hAnsi="Arial"/>
                <w:sz w:val="18"/>
                <w:szCs w:val="18"/>
                <w:b w:val="1"/>
                <w:bCs w:val="1"/>
                <w:color w:val="auto"/>
                <w:w w:val="86"/>
              </w:rPr>
              <w:t>Title of each class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Trading Symbol(s)</w:t>
            </w:r>
          </w:p>
        </w:tc>
        <w:tc>
          <w:tcPr>
            <w:tcW w:w="41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440" w:type="dxa"/>
            <w:vAlign w:val="bottom"/>
            <w:tcBorders>
              <w:top w:val="single" w:sz="8" w:color="auto"/>
            </w:tcBorders>
          </w:tcPr>
          <w:p>
            <w:pPr>
              <w:jc w:val="center"/>
              <w:ind w:left="770"/>
              <w:spacing w:after="0"/>
              <w:rPr>
                <w:sz w:val="20"/>
                <w:szCs w:val="20"/>
                <w:color w:val="auto"/>
              </w:rPr>
            </w:pPr>
            <w:r>
              <w:rPr>
                <w:rFonts w:ascii="Arial" w:cs="Arial" w:eastAsia="Arial" w:hAnsi="Arial"/>
                <w:sz w:val="18"/>
                <w:szCs w:val="18"/>
                <w:color w:val="auto"/>
                <w:w w:val="89"/>
              </w:rPr>
              <w:t>Ordinary shares, $0.01 par value</w:t>
            </w: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ALKS</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10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0"/>
              </w:rPr>
              <w:t>Nasdaq Global Select Market</w:t>
            </w:r>
          </w:p>
        </w:tc>
      </w:tr>
    </w:tbl>
    <w:p>
      <w:pPr>
        <w:spacing w:after="0" w:line="52" w:lineRule="exact"/>
        <w:rPr>
          <w:sz w:val="24"/>
          <w:szCs w:val="24"/>
          <w:color w:val="auto"/>
        </w:rPr>
      </w:pPr>
    </w:p>
    <w:p>
      <w:pPr>
        <w:ind w:right="300"/>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80"/>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440"/>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30" w:right="339" w:bottom="1440" w:gutter="0" w:footer="0" w:header="0"/>
        </w:sectPr>
      </w:pPr>
    </w:p>
    <w:p>
      <w:pPr>
        <w:spacing w:after="0" w:line="265" w:lineRule="exact"/>
        <w:rPr>
          <w:sz w:val="24"/>
          <w:szCs w:val="24"/>
          <w:color w:val="auto"/>
        </w:rPr>
      </w:pPr>
    </w:p>
    <w:p>
      <w:pPr>
        <w:ind w:left="18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40" w:lineRule="exact"/>
        <w:rPr>
          <w:sz w:val="24"/>
          <w:szCs w:val="24"/>
          <w:color w:val="auto"/>
        </w:rPr>
      </w:pPr>
    </w:p>
    <w:p>
      <w:pPr>
        <w:ind w:left="19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jc w:val="center"/>
        <w:ind w:right="15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9" w:lineRule="exact"/>
        <w:rPr>
          <w:sz w:val="24"/>
          <w:szCs w:val="24"/>
          <w:color w:val="auto"/>
        </w:rPr>
      </w:pPr>
    </w:p>
    <w:p>
      <w:pPr>
        <w:jc w:val="center"/>
        <w:ind w:right="15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jc w:val="center"/>
        <w:ind w:right="15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2">
            <w:col w:w="6780" w:space="720"/>
            <w:col w:w="3740"/>
          </w:cols>
          <w:pgMar w:left="320" w:top="530" w:right="339" w:bottom="1440" w:gutter="0" w:footer="0" w:header="0"/>
          <w:type w:val="continuous"/>
        </w:sectPr>
      </w:pPr>
    </w:p>
    <w:p>
      <w:pPr>
        <w:ind w:right="16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right="198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the registrant’s ordinary shares, $0.01 par value, outstanding as of July 24, 2020 was 159,043,691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746125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09"/>
        </w:trPr>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8140" w:type="dxa"/>
            <w:vAlign w:val="bottom"/>
            <w:tcBorders>
              <w:top w:val="single" w:sz="8" w:color="CCEEFF"/>
            </w:tcBorders>
            <w:gridSpan w:val="2"/>
            <w:shd w:val="clear" w:color="auto" w:fill="CCEEFF"/>
          </w:tcPr>
          <w:p>
            <w:pPr>
              <w:jc w:val="center"/>
              <w:ind w:right="2400"/>
              <w:spacing w:after="0"/>
              <w:rPr>
                <w:rFonts w:ascii="Arial" w:cs="Arial" w:eastAsia="Arial" w:hAnsi="Arial"/>
                <w:sz w:val="18"/>
                <w:szCs w:val="18"/>
                <w:b w:val="1"/>
                <w:bCs w:val="1"/>
                <w:i w:val="1"/>
                <w:iCs w:val="1"/>
                <w:u w:val="single" w:color="auto"/>
                <w:color w:val="0000EE"/>
                <w:w w:val="99"/>
              </w:rPr>
            </w:pPr>
            <w:hyperlink w:anchor="page5">
              <w:r>
                <w:rPr>
                  <w:rFonts w:ascii="Arial" w:cs="Arial" w:eastAsia="Arial" w:hAnsi="Arial"/>
                  <w:sz w:val="18"/>
                  <w:szCs w:val="18"/>
                  <w:b w:val="1"/>
                  <w:bCs w:val="1"/>
                  <w:i w:val="1"/>
                  <w:iCs w:val="1"/>
                  <w:u w:val="single" w:color="auto"/>
                  <w:color w:val="0000EE"/>
                  <w:w w:val="99"/>
                </w:rPr>
                <w:t>PART I - FINANCIAL INFORMATION</w:t>
              </w:r>
            </w:hyperlink>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5"/>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Financial Statements (unaudited):</w:t>
              </w:r>
            </w:hyperlink>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958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 — June 30, 2020 and December 31, 2019</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9580" w:type="dxa"/>
            <w:vAlign w:val="bottom"/>
            <w:gridSpan w:val="5"/>
          </w:tcPr>
          <w:p>
            <w:pPr>
              <w:ind w:left="200"/>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Operations and Comprehensive Loss — For the Three and Six Months Ended June 30,</w:t>
              </w:r>
            </w:hyperlink>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00" w:type="dxa"/>
            <w:vAlign w:val="bottom"/>
            <w:tcBorders>
              <w:top w:val="single" w:sz="8" w:color="0000EE"/>
            </w:tcBorders>
            <w:gridSpan w:val="3"/>
          </w:tcPr>
          <w:p>
            <w:pPr>
              <w:ind w:left="16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2020 and 2019</w:t>
              </w:r>
            </w:hyperlink>
          </w:p>
        </w:tc>
        <w:tc>
          <w:tcPr>
            <w:tcW w:w="280" w:type="dxa"/>
            <w:vAlign w:val="bottom"/>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958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 For the Six Months Ended June 30, 2020 and 2019</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580" w:type="dxa"/>
            <w:vAlign w:val="bottom"/>
            <w:gridSpan w:val="5"/>
          </w:tcPr>
          <w:p>
            <w:pPr>
              <w:ind w:left="200"/>
              <w:spacing w:after="0"/>
              <w:rPr>
                <w:rFonts w:ascii="Arial" w:cs="Arial" w:eastAsia="Arial" w:hAnsi="Arial"/>
                <w:sz w:val="18"/>
                <w:szCs w:val="18"/>
                <w:u w:val="single" w:color="auto"/>
                <w:color w:val="0000EE"/>
                <w:w w:val="92"/>
              </w:rPr>
            </w:pPr>
            <w:hyperlink w:anchor="page8">
              <w:r>
                <w:rPr>
                  <w:rFonts w:ascii="Arial" w:cs="Arial" w:eastAsia="Arial" w:hAnsi="Arial"/>
                  <w:sz w:val="18"/>
                  <w:szCs w:val="18"/>
                  <w:u w:val="single" w:color="auto"/>
                  <w:color w:val="0000EE"/>
                  <w:w w:val="92"/>
                </w:rPr>
                <w:t>Condensed Consolidated Statements of Shareholders’ Equity — For the Three and Six Months Ended June 30, 2020 and 2019</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958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5"/>
          </w:tcPr>
          <w:p>
            <w:pPr>
              <w:ind w:left="2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8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Quantitative and Qualitative Disclosures about Market Risk</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580" w:type="dxa"/>
            <w:vAlign w:val="bottom"/>
            <w:gridSpan w:val="5"/>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Controls and Procedures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40" w:type="dxa"/>
            <w:vAlign w:val="bottom"/>
            <w:gridSpan w:val="2"/>
          </w:tcPr>
          <w:p>
            <w:pPr>
              <w:jc w:val="center"/>
              <w:ind w:right="2380"/>
              <w:spacing w:after="0"/>
              <w:rPr>
                <w:rFonts w:ascii="Arial" w:cs="Arial" w:eastAsia="Arial" w:hAnsi="Arial"/>
                <w:sz w:val="18"/>
                <w:szCs w:val="18"/>
                <w:b w:val="1"/>
                <w:bCs w:val="1"/>
                <w:i w:val="1"/>
                <w:iCs w:val="1"/>
                <w:u w:val="single" w:color="auto"/>
                <w:color w:val="0000EE"/>
                <w:w w:val="98"/>
              </w:rPr>
            </w:pPr>
            <w:hyperlink w:anchor="page37">
              <w:r>
                <w:rPr>
                  <w:rFonts w:ascii="Arial" w:cs="Arial" w:eastAsia="Arial" w:hAnsi="Arial"/>
                  <w:sz w:val="18"/>
                  <w:szCs w:val="18"/>
                  <w:b w:val="1"/>
                  <w:bCs w:val="1"/>
                  <w:i w:val="1"/>
                  <w:iCs w:val="1"/>
                  <w:u w:val="single" w:color="auto"/>
                  <w:color w:val="0000EE"/>
                  <w:w w:val="98"/>
                </w:rPr>
                <w:t>PART II - OTHER INFORMATION</w:t>
              </w:r>
            </w:hyperlink>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Legal Proceedings</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5"/>
          </w:tcPr>
          <w:p>
            <w:pPr>
              <w:ind w:left="2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Unregistered Sales of Equity Securities and Use of Proceeds</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580" w:type="dxa"/>
            <w:vAlign w:val="bottom"/>
            <w:gridSpan w:val="5"/>
          </w:tcPr>
          <w:p>
            <w:pPr>
              <w:ind w:left="20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Other Information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Exhibits</w:t>
              </w:r>
            </w:hyperlink>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Signatures</w:t>
              </w:r>
            </w:hyperlink>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960" w:type="dxa"/>
            <w:vAlign w:val="bottom"/>
          </w:tcPr>
          <w:p>
            <w:pPr>
              <w:spacing w:after="0"/>
              <w:rPr>
                <w:sz w:val="24"/>
                <w:szCs w:val="24"/>
                <w:color w:val="auto"/>
              </w:rPr>
            </w:pPr>
          </w:p>
        </w:tc>
        <w:tc>
          <w:tcPr>
            <w:tcW w:w="9300" w:type="dxa"/>
            <w:vAlign w:val="bottom"/>
            <w:gridSpan w:val="4"/>
          </w:tcPr>
          <w:p>
            <w:pPr>
              <w:ind w:left="46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Concerning Forward-Looking Statements</w:t>
      </w:r>
    </w:p>
    <w:p>
      <w:pPr>
        <w:spacing w:after="0" w:line="189" w:lineRule="exact"/>
        <w:rPr>
          <w:sz w:val="20"/>
          <w:szCs w:val="20"/>
          <w:color w:val="auto"/>
        </w:rPr>
      </w:pPr>
    </w:p>
    <w:p>
      <w:pPr>
        <w:ind w:right="60" w:firstLine="416"/>
        <w:spacing w:after="0" w:line="219" w:lineRule="exact"/>
        <w:rPr>
          <w:sz w:val="20"/>
          <w:szCs w:val="20"/>
          <w:color w:val="auto"/>
        </w:rPr>
      </w:pPr>
      <w:r>
        <w:rPr>
          <w:rFonts w:ascii="Arial" w:cs="Arial" w:eastAsia="Arial" w:hAnsi="Arial"/>
          <w:sz w:val="17"/>
          <w:szCs w:val="17"/>
          <w:color w:val="auto"/>
        </w:rPr>
        <w:t>This document contains and incorporates by reference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(the “Securities Act”), and Section 21E of the Securities Exchange Act of 1934, as amended (the “Exchange Act”). In some cases, these statements can be identified by the use of forward</w:t>
      </w:r>
      <w:r>
        <w:rPr>
          <w:rFonts w:ascii="MS PGothic" w:cs="MS PGothic" w:eastAsia="MS PGothic" w:hAnsi="MS PGothic"/>
          <w:sz w:val="17"/>
          <w:szCs w:val="17"/>
          <w:color w:val="auto"/>
        </w:rPr>
        <w:t>‑</w:t>
      </w:r>
      <w:r>
        <w:rPr>
          <w:rFonts w:ascii="Arial" w:cs="Arial" w:eastAsia="Arial" w:hAnsi="Arial"/>
          <w:sz w:val="17"/>
          <w:szCs w:val="17"/>
          <w:color w:val="auto"/>
        </w:rPr>
        <w:t>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w:t>
      </w:r>
      <w:r>
        <w:rPr>
          <w:rFonts w:ascii="MS PGothic" w:cs="MS PGothic" w:eastAsia="MS PGothic" w:hAnsi="MS PGothic"/>
          <w:sz w:val="17"/>
          <w:szCs w:val="17"/>
          <w:color w:val="auto"/>
        </w:rPr>
        <w:t>‑</w:t>
      </w:r>
      <w:r>
        <w:rPr>
          <w:rFonts w:ascii="Arial" w:cs="Arial" w:eastAsia="Arial" w:hAnsi="Arial"/>
          <w:sz w:val="17"/>
          <w:szCs w:val="17"/>
          <w:color w:val="auto"/>
        </w:rPr>
        <w:t>looking information. Forward-looking statements in this Quarterly Report on Form 10-Q (this “Form 10-Q”) include, without limitation, statements regarding:</w:t>
      </w:r>
    </w:p>
    <w:p>
      <w:pPr>
        <w:spacing w:after="0" w:line="175" w:lineRule="exact"/>
        <w:rPr>
          <w:sz w:val="20"/>
          <w:szCs w:val="20"/>
          <w:color w:val="auto"/>
        </w:rPr>
      </w:pPr>
    </w:p>
    <w:p>
      <w:pPr>
        <w:ind w:left="820" w:hanging="407"/>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financial performance, including revenues, expenses, liquidity, capital expenditures and income taxes;</w:t>
      </w:r>
    </w:p>
    <w:p>
      <w:pPr>
        <w:spacing w:after="0" w:line="196" w:lineRule="exact"/>
        <w:rPr>
          <w:rFonts w:ascii="Arial" w:cs="Arial" w:eastAsia="Arial" w:hAnsi="Arial"/>
          <w:sz w:val="17"/>
          <w:szCs w:val="17"/>
          <w:color w:val="auto"/>
        </w:rPr>
      </w:pPr>
    </w:p>
    <w:p>
      <w:pPr>
        <w:ind w:left="820" w:right="180" w:hanging="407"/>
        <w:spacing w:after="0" w:line="34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products, including those expectations related to product development, regulatory filings, regulatory approvals and regulatory timelines, therapeutic and commercial scope and potential, and the costs and expenses related to such activities;</w:t>
      </w:r>
    </w:p>
    <w:p>
      <w:pPr>
        <w:spacing w:after="0" w:line="83" w:lineRule="exact"/>
        <w:rPr>
          <w:rFonts w:ascii="Arial" w:cs="Arial" w:eastAsia="Arial" w:hAnsi="Arial"/>
          <w:sz w:val="16"/>
          <w:szCs w:val="16"/>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initiation, timing and results of clinical trials of our products;</w:t>
      </w:r>
    </w:p>
    <w:p>
      <w:pPr>
        <w:spacing w:after="0" w:line="184" w:lineRule="exact"/>
        <w:rPr>
          <w:rFonts w:ascii="Arial" w:cs="Arial" w:eastAsia="Arial" w:hAnsi="Arial"/>
          <w:sz w:val="18"/>
          <w:szCs w:val="18"/>
          <w:color w:val="auto"/>
        </w:rPr>
      </w:pPr>
    </w:p>
    <w:p>
      <w:pPr>
        <w:ind w:left="820" w:right="60" w:hanging="407"/>
        <w:spacing w:after="0" w:line="259"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competitive, payer and legal landscape, and changes therein, related to our products, including competition from generic forms of our products or competitive products and competitive development programs, barriers to access or coverage of our products and changes in reimbursement of our products, and legal measures (legislation, regulations or other measures) that may limit pricing and reimbursement of, and access to, our products;</w:t>
      </w:r>
    </w:p>
    <w:p>
      <w:pPr>
        <w:spacing w:after="0" w:line="146"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financial impact of currency exchange rate fluctuations and valuations;</w:t>
      </w:r>
    </w:p>
    <w:p>
      <w:pPr>
        <w:spacing w:after="0" w:line="184"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amortization of intangible assets;</w:t>
      </w:r>
    </w:p>
    <w:p>
      <w:pPr>
        <w:spacing w:after="0" w:line="184" w:lineRule="exact"/>
        <w:rPr>
          <w:rFonts w:ascii="Arial" w:cs="Arial" w:eastAsia="Arial" w:hAnsi="Arial"/>
          <w:sz w:val="18"/>
          <w:szCs w:val="18"/>
          <w:color w:val="auto"/>
        </w:rPr>
      </w:pPr>
    </w:p>
    <w:p>
      <w:pPr>
        <w:ind w:left="820" w:right="640" w:hanging="407"/>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collaborations, licensing arrangements and other significant agreements with third parties relating to our products, including our development programs;</w:t>
      </w:r>
    </w:p>
    <w:p>
      <w:pPr>
        <w:spacing w:after="0" w:line="129"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new legislation, rules, regulations and the adoption of new accounting pronouncements;</w:t>
      </w:r>
    </w:p>
    <w:p>
      <w:pPr>
        <w:spacing w:after="0" w:line="184" w:lineRule="exact"/>
        <w:rPr>
          <w:rFonts w:ascii="Arial" w:cs="Arial" w:eastAsia="Arial" w:hAnsi="Arial"/>
          <w:sz w:val="18"/>
          <w:szCs w:val="18"/>
          <w:color w:val="auto"/>
        </w:rPr>
      </w:pPr>
    </w:p>
    <w:p>
      <w:pPr>
        <w:ind w:left="820" w:right="420" w:hanging="407"/>
        <w:spacing w:after="0" w:line="223" w:lineRule="exact"/>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near</w:t>
      </w:r>
      <w:r>
        <w:rPr>
          <w:rFonts w:ascii="MS PGothic" w:cs="MS PGothic" w:eastAsia="MS PGothic" w:hAnsi="MS PGothic"/>
          <w:sz w:val="18"/>
          <w:szCs w:val="18"/>
          <w:color w:val="auto"/>
        </w:rPr>
        <w:t>‑</w:t>
      </w:r>
      <w:r>
        <w:rPr>
          <w:rFonts w:ascii="Arial" w:cs="Arial" w:eastAsia="Arial" w:hAnsi="Arial"/>
          <w:sz w:val="18"/>
          <w:szCs w:val="18"/>
          <w:color w:val="auto"/>
        </w:rPr>
        <w:t>term changes in the nature of our market risk exposures or in management’s objectives and strategies with respect to managing such exposures;</w:t>
      </w:r>
    </w:p>
    <w:p>
      <w:pPr>
        <w:spacing w:after="0" w:line="162" w:lineRule="exact"/>
        <w:rPr>
          <w:rFonts w:ascii="Arial" w:cs="Arial" w:eastAsia="Arial" w:hAnsi="Arial"/>
          <w:sz w:val="18"/>
          <w:szCs w:val="18"/>
          <w:color w:val="auto"/>
        </w:rPr>
      </w:pPr>
    </w:p>
    <w:p>
      <w:pPr>
        <w:ind w:left="820" w:right="700" w:hanging="407"/>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comply with restrictive covenants of our indebtedness and our ability to fund our debt service obligations;</w:t>
      </w:r>
    </w:p>
    <w:p>
      <w:pPr>
        <w:spacing w:after="0" w:line="129" w:lineRule="exact"/>
        <w:rPr>
          <w:rFonts w:ascii="Arial" w:cs="Arial" w:eastAsia="Arial" w:hAnsi="Arial"/>
          <w:sz w:val="18"/>
          <w:szCs w:val="18"/>
          <w:color w:val="auto"/>
        </w:rPr>
      </w:pPr>
    </w:p>
    <w:p>
      <w:pPr>
        <w:ind w:left="820" w:right="920" w:hanging="407"/>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capital requirements and capital expenditures and our ability to finance our operations and capital requirements;</w:t>
      </w:r>
    </w:p>
    <w:p>
      <w:pPr>
        <w:spacing w:after="0" w:line="129"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outcome and impact of administrative, regulatory, legal and other proceedings related to our products and intellectual property (“IP”), including our patents;</w:t>
      </w:r>
    </w:p>
    <w:p>
      <w:pPr>
        <w:spacing w:after="0" w:line="129"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the novel coronavirus (“COVID-19”) on our business and operations; and</w:t>
      </w:r>
    </w:p>
    <w:p>
      <w:pPr>
        <w:spacing w:after="0" w:line="184"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elsewhere in this Form 10-Q.</w:t>
      </w:r>
    </w:p>
    <w:p>
      <w:pPr>
        <w:spacing w:after="0" w:line="185" w:lineRule="exact"/>
        <w:rPr>
          <w:sz w:val="20"/>
          <w:szCs w:val="20"/>
          <w:color w:val="auto"/>
        </w:rPr>
      </w:pPr>
    </w:p>
    <w:p>
      <w:pPr>
        <w:ind w:right="20" w:firstLine="416"/>
        <w:spacing w:after="0" w:line="275" w:lineRule="auto"/>
        <w:rPr>
          <w:sz w:val="20"/>
          <w:szCs w:val="20"/>
          <w:color w:val="auto"/>
        </w:rPr>
      </w:pPr>
      <w:r>
        <w:rPr>
          <w:rFonts w:ascii="Arial" w:cs="Arial" w:eastAsia="Arial" w:hAnsi="Arial"/>
          <w:sz w:val="17"/>
          <w:szCs w:val="17"/>
          <w:color w:val="auto"/>
        </w:rPr>
        <w:t>Actual results might differ materially from those expressed or implied by these forward-looking statements. These forward-looking statements are subject to risks, assumptions and uncertainties. In light of these risks, assumptions and uncertainties, the forward-looking events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ind w:right="100"/>
        <w:spacing w:after="0" w:line="259" w:lineRule="auto"/>
        <w:rPr>
          <w:sz w:val="20"/>
          <w:szCs w:val="20"/>
          <w:color w:val="auto"/>
        </w:rPr>
      </w:pPr>
      <w:r>
        <w:rPr>
          <w:rFonts w:ascii="Arial" w:cs="Arial" w:eastAsia="Arial" w:hAnsi="Arial"/>
          <w:sz w:val="18"/>
          <w:szCs w:val="18"/>
          <w:color w:val="auto"/>
        </w:rPr>
        <w:t>contained or referred to in this section. Except as required by applicable law or regulation, we do not undertake any obligation to update publicly or revise any forward-looking statements, whether as a result of new information, future events or otherwise. For more information regarding the risks, assumptions and uncertainties of our business, see “Part I, Item 1A—Risk Factors” in our Annual Report on Form 10-K for the year ended December 31, 2019 (the “Annual Report”) and “Part II, Item 1A—Risk Factors” in this Form 10-Q.</w:t>
      </w:r>
    </w:p>
    <w:p>
      <w:pPr>
        <w:spacing w:after="0" w:line="160" w:lineRule="exact"/>
        <w:rPr>
          <w:sz w:val="20"/>
          <w:szCs w:val="20"/>
          <w:color w:val="auto"/>
        </w:rPr>
      </w:pPr>
    </w:p>
    <w:p>
      <w:pPr>
        <w:ind w:right="20" w:firstLine="416"/>
        <w:spacing w:after="0" w:line="254" w:lineRule="auto"/>
        <w:rPr>
          <w:sz w:val="20"/>
          <w:szCs w:val="20"/>
          <w:color w:val="auto"/>
        </w:rPr>
      </w:pPr>
      <w:r>
        <w:rPr>
          <w:rFonts w:ascii="Arial" w:cs="Arial" w:eastAsia="Arial" w:hAnsi="Arial"/>
          <w:sz w:val="18"/>
          <w:szCs w:val="18"/>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This Form 10-Q also may include data based on our own internal estimates and research. Our internal estimates and research have not been verified by any independent source and, while we believe the industry publications and third-party research, surveys and studies are reliable, we have not independently verified such data. Such third-party data and our internal estimates and research are necessarily subject to a high degree of uncertainty and risk due to a variety of factors, including those described in “Part I, Item 1A—Risk Factors” in our Annual Report and “Part II, Item 1A—Risk Factors” in this Form 10-Q. These and other factors could cause our results to differ materially from those expressed in this Form 10-Q.</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Company and Product References</w:t>
      </w:r>
    </w:p>
    <w:p>
      <w:pPr>
        <w:spacing w:after="0" w:line="189" w:lineRule="exact"/>
        <w:rPr>
          <w:sz w:val="20"/>
          <w:szCs w:val="20"/>
          <w:color w:val="auto"/>
        </w:rPr>
      </w:pPr>
    </w:p>
    <w:p>
      <w:pPr>
        <w:ind w:firstLine="416"/>
        <w:spacing w:after="0" w:line="290" w:lineRule="auto"/>
        <w:rPr>
          <w:sz w:val="20"/>
          <w:szCs w:val="20"/>
          <w:color w:val="auto"/>
        </w:rPr>
      </w:pPr>
      <w:r>
        <w:rPr>
          <w:rFonts w:ascii="Arial" w:cs="Arial" w:eastAsia="Arial" w:hAnsi="Arial"/>
          <w:sz w:val="16"/>
          <w:szCs w:val="16"/>
          <w:color w:val="auto"/>
        </w:rPr>
        <w:t>Alkermes plc (as used in this report, together with our subsidiaries, “Alkermes,” the “Company,” “us,” “we” and “our”) is a fully 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We have a diversified portfolio of marketed products focused on central nervous system (“CNS”) disorders such as addiction and schizophrenia and a pipeline of product candidates in the fields of neuroscience and oncology. Except as otherwise suggested by the context, (a) references to “products” or “our products” in this Form 10-Q include our marketed products, marketed products using our proprietary technologies,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189" w:lineRule="exact"/>
        <w:rPr>
          <w:sz w:val="20"/>
          <w:szCs w:val="20"/>
          <w:color w:val="auto"/>
        </w:rPr>
      </w:pPr>
    </w:p>
    <w:p>
      <w:pPr>
        <w:ind w:right="380" w:firstLine="416"/>
        <w:spacing w:after="0" w:line="277" w:lineRule="auto"/>
        <w:rPr>
          <w:sz w:val="20"/>
          <w:szCs w:val="20"/>
          <w:color w:val="auto"/>
        </w:rPr>
      </w:pPr>
      <w:r>
        <w:rPr>
          <w:rFonts w:ascii="Arial" w:cs="Arial" w:eastAsia="Arial" w:hAnsi="Arial"/>
          <w:sz w:val="18"/>
          <w:szCs w:val="18"/>
          <w:color w:val="auto"/>
        </w:rPr>
        <w:t>We are the owner of various United States (“U.S.”) federal trademark registrations (“</w:t>
      </w:r>
      <w:r>
        <w:rPr>
          <w:rFonts w:ascii="Arial" w:cs="Arial" w:eastAsia="Arial" w:hAnsi="Arial"/>
          <w:sz w:val="15"/>
          <w:szCs w:val="15"/>
          <w:color w:val="auto"/>
        </w:rPr>
        <w:t>®</w:t>
      </w:r>
      <w:r>
        <w:rPr>
          <w:rFonts w:ascii="Arial" w:cs="Arial" w:eastAsia="Arial" w:hAnsi="Arial"/>
          <w:sz w:val="18"/>
          <w:szCs w:val="18"/>
          <w:color w:val="auto"/>
        </w:rPr>
        <w:t>”) and other trademarks (“</w:t>
      </w:r>
      <w:r>
        <w:rPr>
          <w:rFonts w:ascii="Arial" w:cs="Arial" w:eastAsia="Arial" w:hAnsi="Arial"/>
          <w:sz w:val="15"/>
          <w:szCs w:val="15"/>
          <w:color w:val="auto"/>
        </w:rPr>
        <w:t>TM</w:t>
      </w:r>
      <w:r>
        <w:rPr>
          <w:rFonts w:ascii="Arial" w:cs="Arial" w:eastAsia="Arial" w:hAnsi="Arial"/>
          <w:sz w:val="18"/>
          <w:szCs w:val="18"/>
          <w:color w:val="auto"/>
        </w:rPr>
        <w:t>”), including ALKERMES</w:t>
      </w:r>
      <w:r>
        <w:rPr>
          <w:rFonts w:ascii="Arial" w:cs="Arial" w:eastAsia="Arial" w:hAnsi="Arial"/>
          <w:sz w:val="15"/>
          <w:szCs w:val="15"/>
          <w:color w:val="auto"/>
        </w:rPr>
        <w:t>®</w:t>
      </w:r>
      <w:r>
        <w:rPr>
          <w:rFonts w:ascii="Arial" w:cs="Arial" w:eastAsia="Arial" w:hAnsi="Arial"/>
          <w:sz w:val="18"/>
          <w:szCs w:val="18"/>
          <w:color w:val="auto"/>
        </w:rPr>
        <w:t>, ARISTADA</w:t>
      </w:r>
      <w:r>
        <w:rPr>
          <w:rFonts w:ascii="Arial" w:cs="Arial" w:eastAsia="Arial" w:hAnsi="Arial"/>
          <w:sz w:val="15"/>
          <w:szCs w:val="15"/>
          <w:color w:val="auto"/>
        </w:rPr>
        <w:t>®</w:t>
      </w:r>
      <w:r>
        <w:rPr>
          <w:rFonts w:ascii="Arial" w:cs="Arial" w:eastAsia="Arial" w:hAnsi="Arial"/>
          <w:sz w:val="18"/>
          <w:szCs w:val="18"/>
          <w:color w:val="auto"/>
        </w:rPr>
        <w:t>, ARISTADA INITIO</w:t>
      </w:r>
      <w:r>
        <w:rPr>
          <w:rFonts w:ascii="Arial" w:cs="Arial" w:eastAsia="Arial" w:hAnsi="Arial"/>
          <w:sz w:val="15"/>
          <w:szCs w:val="15"/>
          <w:color w:val="auto"/>
        </w:rPr>
        <w:t>®</w:t>
      </w:r>
      <w:r>
        <w:rPr>
          <w:rFonts w:ascii="Arial" w:cs="Arial" w:eastAsia="Arial" w:hAnsi="Arial"/>
          <w:sz w:val="18"/>
          <w:szCs w:val="18"/>
          <w:color w:val="auto"/>
        </w:rPr>
        <w:t>, LinkeRx</w:t>
      </w:r>
      <w:r>
        <w:rPr>
          <w:rFonts w:ascii="Arial" w:cs="Arial" w:eastAsia="Arial" w:hAnsi="Arial"/>
          <w:sz w:val="15"/>
          <w:szCs w:val="15"/>
          <w:color w:val="auto"/>
        </w:rPr>
        <w:t>®</w:t>
      </w:r>
      <w:r>
        <w:rPr>
          <w:rFonts w:ascii="Arial" w:cs="Arial" w:eastAsia="Arial" w:hAnsi="Arial"/>
          <w:sz w:val="18"/>
          <w:szCs w:val="18"/>
          <w:color w:val="auto"/>
        </w:rPr>
        <w:t>, NanoCrystal</w:t>
      </w:r>
      <w:r>
        <w:rPr>
          <w:rFonts w:ascii="Arial" w:cs="Arial" w:eastAsia="Arial" w:hAnsi="Arial"/>
          <w:sz w:val="15"/>
          <w:szCs w:val="15"/>
          <w:color w:val="auto"/>
        </w:rPr>
        <w:t>®</w:t>
      </w:r>
      <w:r>
        <w:rPr>
          <w:rFonts w:ascii="Arial" w:cs="Arial" w:eastAsia="Arial" w:hAnsi="Arial"/>
          <w:sz w:val="18"/>
          <w:szCs w:val="18"/>
          <w:color w:val="auto"/>
        </w:rPr>
        <w:t xml:space="preserve"> and VIVITROL</w:t>
      </w:r>
      <w:r>
        <w:rPr>
          <w:rFonts w:ascii="Arial" w:cs="Arial" w:eastAsia="Arial" w:hAnsi="Arial"/>
          <w:sz w:val="15"/>
          <w:szCs w:val="15"/>
          <w:color w:val="auto"/>
        </w:rPr>
        <w:t>®</w:t>
      </w:r>
      <w:r>
        <w:rPr>
          <w:rFonts w:ascii="Arial" w:cs="Arial" w:eastAsia="Arial" w:hAnsi="Arial"/>
          <w:sz w:val="18"/>
          <w:szCs w:val="18"/>
          <w:color w:val="auto"/>
        </w:rPr>
        <w:t>.</w:t>
      </w:r>
    </w:p>
    <w:p>
      <w:pPr>
        <w:spacing w:after="0" w:line="130" w:lineRule="exact"/>
        <w:rPr>
          <w:sz w:val="20"/>
          <w:szCs w:val="20"/>
          <w:color w:val="auto"/>
        </w:rPr>
      </w:pPr>
    </w:p>
    <w:p>
      <w:pPr>
        <w:ind w:right="80" w:firstLine="416"/>
        <w:spacing w:after="0" w:line="255" w:lineRule="auto"/>
        <w:rPr>
          <w:sz w:val="20"/>
          <w:szCs w:val="20"/>
          <w:color w:val="auto"/>
        </w:rPr>
      </w:pPr>
      <w:r>
        <w:rPr>
          <w:rFonts w:ascii="Arial" w:cs="Arial" w:eastAsia="Arial" w:hAnsi="Arial"/>
          <w:sz w:val="18"/>
          <w:szCs w:val="18"/>
          <w:color w:val="auto"/>
        </w:rPr>
        <w:t>The following are trademarks of the respective companies listed: ANJESO</w:t>
      </w:r>
      <w:r>
        <w:rPr>
          <w:rFonts w:ascii="Arial" w:cs="Arial" w:eastAsia="Arial" w:hAnsi="Arial"/>
          <w:sz w:val="15"/>
          <w:szCs w:val="15"/>
          <w:color w:val="auto"/>
        </w:rPr>
        <w:t>TM</w:t>
      </w:r>
      <w:r>
        <w:rPr>
          <w:rFonts w:ascii="Arial" w:cs="Arial" w:eastAsia="Arial" w:hAnsi="Arial"/>
          <w:sz w:val="18"/>
          <w:szCs w:val="18"/>
          <w:color w:val="auto"/>
        </w:rPr>
        <w:t>—Baudax Bio, Inc.; INVEGA SUSTENNA</w:t>
      </w:r>
      <w:r>
        <w:rPr>
          <w:rFonts w:ascii="Arial" w:cs="Arial" w:eastAsia="Arial" w:hAnsi="Arial"/>
          <w:sz w:val="15"/>
          <w:szCs w:val="15"/>
          <w:color w:val="auto"/>
        </w:rPr>
        <w:t>®</w:t>
      </w:r>
      <w:r>
        <w:rPr>
          <w:rFonts w:ascii="Arial" w:cs="Arial" w:eastAsia="Arial" w:hAnsi="Arial"/>
          <w:sz w:val="18"/>
          <w:szCs w:val="18"/>
          <w:color w:val="auto"/>
        </w:rPr>
        <w:t>, INVEGA TRINZA</w:t>
      </w:r>
      <w:r>
        <w:rPr>
          <w:rFonts w:ascii="Arial" w:cs="Arial" w:eastAsia="Arial" w:hAnsi="Arial"/>
          <w:sz w:val="15"/>
          <w:szCs w:val="15"/>
          <w:color w:val="auto"/>
        </w:rPr>
        <w:t>®</w:t>
      </w:r>
      <w:r>
        <w:rPr>
          <w:rFonts w:ascii="Arial" w:cs="Arial" w:eastAsia="Arial" w:hAnsi="Arial"/>
          <w:sz w:val="18"/>
          <w:szCs w:val="18"/>
          <w:color w:val="auto"/>
        </w:rPr>
        <w:t>, TREVICTA</w:t>
      </w:r>
      <w:r>
        <w:rPr>
          <w:rFonts w:ascii="Arial" w:cs="Arial" w:eastAsia="Arial" w:hAnsi="Arial"/>
          <w:sz w:val="15"/>
          <w:szCs w:val="15"/>
          <w:color w:val="auto"/>
        </w:rPr>
        <w:t>®</w:t>
      </w:r>
      <w:r>
        <w:rPr>
          <w:rFonts w:ascii="Arial" w:cs="Arial" w:eastAsia="Arial" w:hAnsi="Arial"/>
          <w:sz w:val="18"/>
          <w:szCs w:val="18"/>
          <w:color w:val="auto"/>
        </w:rPr>
        <w:t>, XEPLION</w:t>
      </w:r>
      <w:r>
        <w:rPr>
          <w:rFonts w:ascii="Arial" w:cs="Arial" w:eastAsia="Arial" w:hAnsi="Arial"/>
          <w:sz w:val="15"/>
          <w:szCs w:val="15"/>
          <w:color w:val="auto"/>
        </w:rPr>
        <w:t>®</w:t>
      </w:r>
      <w:r>
        <w:rPr>
          <w:rFonts w:ascii="Arial" w:cs="Arial" w:eastAsia="Arial" w:hAnsi="Arial"/>
          <w:sz w:val="18"/>
          <w:szCs w:val="18"/>
          <w:color w:val="auto"/>
        </w:rPr>
        <w:t>, and RISPERDAL CONSTA</w:t>
      </w:r>
      <w:r>
        <w:rPr>
          <w:rFonts w:ascii="Arial" w:cs="Arial" w:eastAsia="Arial" w:hAnsi="Arial"/>
          <w:sz w:val="15"/>
          <w:szCs w:val="15"/>
          <w:color w:val="auto"/>
        </w:rPr>
        <w:t>®</w:t>
      </w:r>
      <w:r>
        <w:rPr>
          <w:rFonts w:ascii="Arial" w:cs="Arial" w:eastAsia="Arial" w:hAnsi="Arial"/>
          <w:sz w:val="18"/>
          <w:szCs w:val="18"/>
          <w:color w:val="auto"/>
        </w:rPr>
        <w:t>—Johnson &amp; Johnson (or its affiliates); VUMERITY</w:t>
      </w:r>
      <w:r>
        <w:rPr>
          <w:rFonts w:ascii="Arial" w:cs="Arial" w:eastAsia="Arial" w:hAnsi="Arial"/>
          <w:sz w:val="15"/>
          <w:szCs w:val="15"/>
          <w:color w:val="auto"/>
        </w:rPr>
        <w:t>®</w:t>
      </w:r>
      <w:r>
        <w:rPr>
          <w:rFonts w:ascii="Arial" w:cs="Arial" w:eastAsia="Arial" w:hAnsi="Arial"/>
          <w:sz w:val="18"/>
          <w:szCs w:val="18"/>
          <w:color w:val="auto"/>
        </w:rPr>
        <w:t>—Biogen MA Inc. (together with its affiliates, “Biogen”); and ZYPREXA</w:t>
      </w:r>
      <w:r>
        <w:rPr>
          <w:rFonts w:ascii="Arial" w:cs="Arial" w:eastAsia="Arial" w:hAnsi="Arial"/>
          <w:sz w:val="15"/>
          <w:szCs w:val="15"/>
          <w:color w:val="auto"/>
        </w:rPr>
        <w:t>®</w:t>
      </w:r>
      <w:r>
        <w:rPr>
          <w:rFonts w:ascii="Arial" w:cs="Arial" w:eastAsia="Arial" w:hAnsi="Arial"/>
          <w:sz w:val="18"/>
          <w:szCs w:val="18"/>
          <w:color w:val="auto"/>
        </w:rPr>
        <w:t xml:space="preserve">—Eli Lilly and Company. Other trademarks, trade names and service marks appearing in this Form 10-Q are the property of their respective owners. Solely for convenience, the trademarks and trade names in this Form 10-Q are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19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June 30, 2020</w:t>
            </w:r>
          </w:p>
        </w:tc>
        <w:tc>
          <w:tcPr>
            <w:tcW w:w="1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3760" w:type="dxa"/>
            <w:vAlign w:val="bottom"/>
            <w:gridSpan w:val="3"/>
          </w:tcPr>
          <w:p>
            <w:pPr>
              <w:jc w:val="right"/>
              <w:ind w:right="211"/>
              <w:spacing w:after="0" w:line="142" w:lineRule="exact"/>
              <w:rPr>
                <w:sz w:val="20"/>
                <w:szCs w:val="20"/>
                <w:color w:val="auto"/>
              </w:rPr>
            </w:pPr>
            <w:r>
              <w:rPr>
                <w:rFonts w:ascii="Arial" w:cs="Arial" w:eastAsia="Arial" w:hAnsi="Arial"/>
                <w:sz w:val="14"/>
                <w:szCs w:val="14"/>
                <w:b w:val="1"/>
                <w:bCs w:val="1"/>
                <w:color w:val="auto"/>
                <w:w w:val="98"/>
              </w:rPr>
              <w:t>(In thousands, except share and per share amounts)</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3320"/>
              <w:spacing w:after="0" w:line="189" w:lineRule="exact"/>
              <w:rPr>
                <w:sz w:val="20"/>
                <w:szCs w:val="20"/>
                <w:color w:val="auto"/>
              </w:rPr>
            </w:pPr>
            <w:r>
              <w:rPr>
                <w:rFonts w:ascii="Arial" w:cs="Arial" w:eastAsia="Arial" w:hAnsi="Arial"/>
                <w:sz w:val="18"/>
                <w:szCs w:val="18"/>
                <w:b w:val="1"/>
                <w:bCs w:val="1"/>
                <w:color w:val="auto"/>
              </w:rPr>
              <w:t>ASSETS</w:t>
            </w:r>
          </w:p>
        </w:tc>
        <w:tc>
          <w:tcPr>
            <w:tcW w:w="1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Cash and cash equivalents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$189,002</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$203,771</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Investments—short-term</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343,561</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331,208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Receivables, net</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237,393</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257,086</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Contract assets</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9,240</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Inventory</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116,458</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101,803</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51,705</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59,716</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current assets</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947,359</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961,970</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361,807</w:t>
            </w:r>
          </w:p>
        </w:tc>
        <w:tc>
          <w:tcPr>
            <w:tcW w:w="180" w:type="dxa"/>
            <w:vAlign w:val="bottom"/>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362,168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INTANGIBLE ASSETS, NET</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131,025</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150,643</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RIGHT-OF-USE ASSETS</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111,338</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GOODWILL</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92,873</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92,873</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DEFERRED TAX ASSETS</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88,453</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96,558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7,033</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79,391</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CONTINGENT CONSIDERATION</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45,063</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32,400</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 ASSETS</w:t>
            </w:r>
          </w:p>
        </w:tc>
        <w:tc>
          <w:tcPr>
            <w:tcW w:w="1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17,386</w:t>
            </w:r>
          </w:p>
        </w:tc>
        <w:tc>
          <w:tcPr>
            <w:tcW w:w="180" w:type="dxa"/>
            <w:vAlign w:val="bottom"/>
            <w:shd w:val="clear" w:color="auto" w:fill="CFF0FC"/>
          </w:tcPr>
          <w:p>
            <w:pPr>
              <w:spacing w:after="0"/>
              <w:rPr>
                <w:sz w:val="16"/>
                <w:szCs w:val="16"/>
                <w:color w:val="auto"/>
              </w:rPr>
            </w:pPr>
          </w:p>
        </w:tc>
        <w:tc>
          <w:tcPr>
            <w:tcW w:w="1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17,021</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TOTAL ASSETS</w:t>
            </w:r>
          </w:p>
        </w:tc>
        <w:tc>
          <w:tcPr>
            <w:tcW w:w="1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$1,802,337</w:t>
            </w:r>
          </w:p>
        </w:tc>
        <w:tc>
          <w:tcPr>
            <w:tcW w:w="180" w:type="dxa"/>
            <w:vAlign w:val="bottom"/>
            <w:tcBorders>
              <w:bottom w:val="single" w:sz="8" w:color="CFF0FC"/>
            </w:tcBorders>
          </w:tcPr>
          <w:p>
            <w:pPr>
              <w:spacing w:after="0"/>
              <w:rPr>
                <w:sz w:val="19"/>
                <w:szCs w:val="19"/>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$1,805,403</w:t>
            </w:r>
          </w:p>
        </w:tc>
        <w:tc>
          <w:tcPr>
            <w:tcW w:w="0" w:type="dxa"/>
            <w:vAlign w:val="bottom"/>
          </w:tcPr>
          <w:p>
            <w:pPr>
              <w:spacing w:after="0"/>
              <w:rPr>
                <w:sz w:val="1"/>
                <w:szCs w:val="1"/>
                <w:color w:val="auto"/>
              </w:rPr>
            </w:pPr>
          </w:p>
        </w:tc>
      </w:tr>
      <w:tr>
        <w:trPr>
          <w:trHeight w:val="169"/>
        </w:trPr>
        <w:tc>
          <w:tcPr>
            <w:tcW w:w="7480" w:type="dxa"/>
            <w:vAlign w:val="bottom"/>
            <w:shd w:val="clear" w:color="auto" w:fill="CFF0FC"/>
          </w:tcPr>
          <w:p>
            <w:pPr>
              <w:ind w:left="1700"/>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1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Accounts payable and accrued expenses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$295,688</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$373,037</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Operating lease liabilities—short-term</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15,294</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Contract liabilities—short-term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7,589</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Long-term debt—short-term</w:t>
            </w: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2,843</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current liabilities</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321,414</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391,112</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Arial" w:cs="Arial" w:eastAsia="Arial" w:hAnsi="Arial"/>
                <w:sz w:val="18"/>
                <w:szCs w:val="18"/>
                <w:color w:val="auto"/>
              </w:rPr>
              <w:t>LONG-TERM DEBT</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273,207</w:t>
            </w:r>
          </w:p>
        </w:tc>
        <w:tc>
          <w:tcPr>
            <w:tcW w:w="180" w:type="dxa"/>
            <w:vAlign w:val="bottom"/>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274,295</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OPERATING LEASE LIABILITIES—LONG-TERM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99,438</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5,342</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CONTRACT LIABILITIES—LONG-TERM</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18,881</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22,068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 LONG-TERM LIABILITIES</w:t>
            </w:r>
          </w:p>
        </w:tc>
        <w:tc>
          <w:tcPr>
            <w:tcW w:w="1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27,551</w:t>
            </w:r>
          </w:p>
        </w:tc>
        <w:tc>
          <w:tcPr>
            <w:tcW w:w="180" w:type="dxa"/>
            <w:vAlign w:val="bottom"/>
            <w:shd w:val="clear" w:color="auto" w:fill="CFF0FC"/>
          </w:tcPr>
          <w:p>
            <w:pPr>
              <w:spacing w:after="0"/>
              <w:rPr>
                <w:sz w:val="16"/>
                <w:szCs w:val="16"/>
                <w:color w:val="auto"/>
              </w:rPr>
            </w:pPr>
          </w:p>
        </w:tc>
        <w:tc>
          <w:tcPr>
            <w:tcW w:w="1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27,144</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liabilities</w:t>
            </w:r>
          </w:p>
        </w:tc>
        <w:tc>
          <w:tcPr>
            <w:tcW w:w="1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740,491</w:t>
            </w:r>
          </w:p>
        </w:tc>
        <w:tc>
          <w:tcPr>
            <w:tcW w:w="180" w:type="dxa"/>
            <w:vAlign w:val="bottom"/>
            <w:tcBorders>
              <w:bottom w:val="single" w:sz="8" w:color="CFF0FC"/>
            </w:tcBorders>
          </w:tcPr>
          <w:p>
            <w:pPr>
              <w:spacing w:after="0"/>
              <w:rPr>
                <w:sz w:val="15"/>
                <w:szCs w:val="15"/>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719,961</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COMMITMENTS AND CONTINGENT LIABILITIES (Note 15)</w:t>
            </w:r>
          </w:p>
        </w:tc>
        <w:tc>
          <w:tcPr>
            <w:tcW w:w="1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SHAREHOLDERS’ EQUITY:</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rPr>
              <w:t>Preferred shares, par value, $0.01 per share; 50,000,000 shares authorized; zero issued</w:t>
            </w:r>
          </w:p>
        </w:tc>
        <w:tc>
          <w:tcPr>
            <w:tcW w:w="19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and outstanding at June 30, 2020 and December 31, 2019, respectively</w:t>
            </w:r>
          </w:p>
        </w:tc>
        <w:tc>
          <w:tcPr>
            <w:tcW w:w="1960" w:type="dxa"/>
            <w:vAlign w:val="bottom"/>
            <w:gridSpan w:val="2"/>
            <w:vMerge w:val="continue"/>
            <w:shd w:val="clear" w:color="auto" w:fill="CFF0FC"/>
          </w:tcPr>
          <w:p>
            <w:pPr>
              <w:spacing w:after="0"/>
              <w:rPr>
                <w:sz w:val="17"/>
                <w:szCs w:val="17"/>
                <w:color w:val="auto"/>
              </w:rPr>
            </w:pPr>
          </w:p>
        </w:tc>
        <w:tc>
          <w:tcPr>
            <w:tcW w:w="1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260"/>
              <w:spacing w:after="0" w:line="162" w:lineRule="exact"/>
              <w:rPr>
                <w:sz w:val="20"/>
                <w:szCs w:val="20"/>
                <w:color w:val="auto"/>
              </w:rPr>
            </w:pPr>
            <w:r>
              <w:rPr>
                <w:rFonts w:ascii="Arial" w:cs="Arial" w:eastAsia="Arial" w:hAnsi="Arial"/>
                <w:sz w:val="18"/>
                <w:szCs w:val="18"/>
                <w:color w:val="auto"/>
                <w:w w:val="95"/>
              </w:rPr>
              <w:t>Ordinary shares, par value, $0.01 per share; 450,000,000 shares authorized; 162,119,961 and</w:t>
            </w: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80" w:type="dxa"/>
            <w:vAlign w:val="bottom"/>
          </w:tcPr>
          <w:p>
            <w:pPr>
              <w:ind w:left="380"/>
              <w:spacing w:after="0" w:line="176" w:lineRule="exact"/>
              <w:rPr>
                <w:sz w:val="20"/>
                <w:szCs w:val="20"/>
                <w:color w:val="auto"/>
              </w:rPr>
            </w:pPr>
            <w:r>
              <w:rPr>
                <w:rFonts w:ascii="Arial" w:cs="Arial" w:eastAsia="Arial" w:hAnsi="Arial"/>
                <w:sz w:val="18"/>
                <w:szCs w:val="18"/>
                <w:color w:val="auto"/>
                <w:w w:val="92"/>
              </w:rPr>
              <w:t>160,489,888 shares issued; 159,028,355 and 157,779,002 shares outstanding at June 30, 2020</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1,618</w:t>
            </w:r>
          </w:p>
        </w:tc>
        <w:tc>
          <w:tcPr>
            <w:tcW w:w="18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03"/>
        </w:trPr>
        <w:tc>
          <w:tcPr>
            <w:tcW w:w="7480" w:type="dxa"/>
            <w:vAlign w:val="bottom"/>
          </w:tcPr>
          <w:p>
            <w:pPr>
              <w:ind w:left="380"/>
              <w:spacing w:after="0" w:line="202" w:lineRule="exact"/>
              <w:rPr>
                <w:sz w:val="20"/>
                <w:szCs w:val="20"/>
                <w:color w:val="auto"/>
              </w:rPr>
            </w:pPr>
            <w:r>
              <w:rPr>
                <w:rFonts w:ascii="Arial" w:cs="Arial" w:eastAsia="Arial" w:hAnsi="Arial"/>
                <w:sz w:val="18"/>
                <w:szCs w:val="18"/>
                <w:color w:val="auto"/>
              </w:rPr>
              <w:t>and December 31, 2019, respectively</w:t>
            </w:r>
          </w:p>
        </w:tc>
        <w:tc>
          <w:tcPr>
            <w:tcW w:w="1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w w:val="95"/>
              </w:rPr>
              <w:t>Treasury shares, at cost (3,091,606 and 2,710,886 shares at June 30, 2020 and December 31,</w:t>
            </w:r>
          </w:p>
        </w:tc>
        <w:tc>
          <w:tcPr>
            <w:tcW w:w="1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(125,792)</w:t>
            </w:r>
          </w:p>
        </w:tc>
        <w:tc>
          <w:tcPr>
            <w:tcW w:w="180" w:type="dxa"/>
            <w:vAlign w:val="bottom"/>
            <w:shd w:val="clear" w:color="auto" w:fill="CFF0FC"/>
          </w:tcPr>
          <w:p>
            <w:pPr>
              <w:spacing w:after="0"/>
              <w:rPr>
                <w:sz w:val="14"/>
                <w:szCs w:val="14"/>
                <w:color w:val="auto"/>
              </w:rPr>
            </w:pP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(118,386)</w:t>
            </w: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2019, respectively)</w:t>
            </w:r>
          </w:p>
        </w:tc>
        <w:tc>
          <w:tcPr>
            <w:tcW w:w="17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Additional paid-in capital</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2,636,194</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2,586,030</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Accumulated other comprehensive loss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(101)</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Accumulated deficit</w:t>
            </w: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(1,450,073)</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(1,381,988)</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shareholders’ equity</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1,061,846</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1,085,442</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Arial" w:cs="Arial" w:eastAsia="Arial" w:hAnsi="Arial"/>
                <w:sz w:val="18"/>
                <w:szCs w:val="18"/>
                <w:color w:val="auto"/>
              </w:rPr>
              <w:t>TOTAL LIABILITIES AND SHAREHOLDERS’ EQUITY</w:t>
            </w:r>
          </w:p>
        </w:tc>
        <w:tc>
          <w:tcPr>
            <w:tcW w:w="1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$1,802,337</w:t>
            </w:r>
          </w:p>
        </w:tc>
        <w:tc>
          <w:tcPr>
            <w:tcW w:w="180" w:type="dxa"/>
            <w:vAlign w:val="bottom"/>
          </w:tcPr>
          <w:p>
            <w:pPr>
              <w:spacing w:after="0"/>
              <w:rPr>
                <w:sz w:val="15"/>
                <w:szCs w:val="15"/>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$1,805,403</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24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w w:val="99"/>
              </w:rPr>
              <w:t>(In thousands, except per share amounts)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260"/>
              <w:spacing w:after="0" w:line="189" w:lineRule="exact"/>
              <w:rPr>
                <w:sz w:val="20"/>
                <w:szCs w:val="20"/>
                <w:color w:val="auto"/>
              </w:rPr>
            </w:pPr>
            <w:r>
              <w:rPr>
                <w:rFonts w:ascii="Arial" w:cs="Arial" w:eastAsia="Arial" w:hAnsi="Arial"/>
                <w:sz w:val="18"/>
                <w:szCs w:val="18"/>
                <w:color w:val="auto"/>
              </w:rPr>
              <w:t>Product sales, net</w:t>
            </w:r>
          </w:p>
        </w:tc>
        <w:tc>
          <w:tcPr>
            <w:tcW w:w="54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130,415</w:t>
            </w:r>
          </w:p>
        </w:tc>
        <w:tc>
          <w:tcPr>
            <w:tcW w:w="220" w:type="dxa"/>
            <w:vAlign w:val="bottom"/>
          </w:tcPr>
          <w:p>
            <w:pPr>
              <w:spacing w:after="0"/>
              <w:rPr>
                <w:sz w:val="16"/>
                <w:szCs w:val="16"/>
                <w:color w:val="auto"/>
              </w:rPr>
            </w:pPr>
          </w:p>
        </w:tc>
        <w:tc>
          <w:tcPr>
            <w:tcW w:w="30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136,635</w:t>
            </w:r>
          </w:p>
        </w:tc>
        <w:tc>
          <w:tcPr>
            <w:tcW w:w="22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260,141</w:t>
            </w:r>
          </w:p>
        </w:tc>
        <w:tc>
          <w:tcPr>
            <w:tcW w:w="26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236,116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Manufacturing and royalty revenues</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116,505</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127,897</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232,756</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236,812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260"/>
              <w:spacing w:after="0" w:line="189" w:lineRule="exact"/>
              <w:rPr>
                <w:sz w:val="20"/>
                <w:szCs w:val="20"/>
                <w:color w:val="auto"/>
              </w:rPr>
            </w:pPr>
            <w:r>
              <w:rPr>
                <w:rFonts w:ascii="Arial" w:cs="Arial" w:eastAsia="Arial" w:hAnsi="Arial"/>
                <w:sz w:val="18"/>
                <w:szCs w:val="18"/>
                <w:color w:val="auto"/>
              </w:rPr>
              <w:t>Research and development revenue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609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14,340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852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29,046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License revenue</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247,529</w:t>
            </w:r>
          </w:p>
        </w:tc>
        <w:tc>
          <w:tcPr>
            <w:tcW w:w="22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279,872</w:t>
            </w:r>
          </w:p>
        </w:tc>
        <w:tc>
          <w:tcPr>
            <w:tcW w:w="22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493,749</w:t>
            </w:r>
          </w:p>
        </w:tc>
        <w:tc>
          <w:tcPr>
            <w:tcW w:w="26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502,974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EXPENSES:</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540" w:type="dxa"/>
            <w:vAlign w:val="bottom"/>
          </w:tcPr>
          <w:p>
            <w:pPr>
              <w:ind w:left="260"/>
              <w:spacing w:after="0" w:line="162" w:lineRule="exact"/>
              <w:rPr>
                <w:sz w:val="20"/>
                <w:szCs w:val="20"/>
                <w:color w:val="auto"/>
              </w:rPr>
            </w:pPr>
            <w:r>
              <w:rPr>
                <w:rFonts w:ascii="Arial" w:cs="Arial" w:eastAsia="Arial" w:hAnsi="Arial"/>
                <w:sz w:val="18"/>
                <w:szCs w:val="18"/>
                <w:color w:val="auto"/>
                <w:w w:val="99"/>
              </w:rPr>
              <w:t>Cost of goods manufactured and sold (exclusive of amortization of</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45,053</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46,223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92,264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91,584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rPr>
              <w:t>acquired intangible assets shown below)</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94,222</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104,435</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187,501</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207,005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260"/>
              <w:spacing w:after="0" w:line="189" w:lineRule="exact"/>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132,025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155,075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265,397</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296,295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Amortization of acquired intangible assets</w:t>
            </w:r>
          </w:p>
        </w:tc>
        <w:tc>
          <w:tcPr>
            <w:tcW w:w="28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9,890</w:t>
            </w:r>
          </w:p>
        </w:tc>
        <w:tc>
          <w:tcPr>
            <w:tcW w:w="2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10,062</w:t>
            </w:r>
          </w:p>
        </w:tc>
        <w:tc>
          <w:tcPr>
            <w:tcW w:w="2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19,618</w:t>
            </w:r>
          </w:p>
        </w:tc>
        <w:tc>
          <w:tcPr>
            <w:tcW w:w="2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20,014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281,190</w:t>
            </w:r>
          </w:p>
        </w:tc>
        <w:tc>
          <w:tcPr>
            <w:tcW w:w="2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315,795</w:t>
            </w:r>
          </w:p>
        </w:tc>
        <w:tc>
          <w:tcPr>
            <w:tcW w:w="2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564,780</w:t>
            </w: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614,898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OPERATING LOSS</w:t>
            </w:r>
          </w:p>
        </w:tc>
        <w:tc>
          <w:tcPr>
            <w:tcW w:w="28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(33,661)</w:t>
            </w:r>
          </w:p>
        </w:tc>
        <w:tc>
          <w:tcPr>
            <w:tcW w:w="2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(35,923)</w:t>
            </w:r>
          </w:p>
        </w:tc>
        <w:tc>
          <w:tcPr>
            <w:tcW w:w="2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(71,031)</w:t>
            </w:r>
          </w:p>
        </w:tc>
        <w:tc>
          <w:tcPr>
            <w:tcW w:w="26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(111,924)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1,788</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3,706</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4,548</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7,276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260"/>
              <w:spacing w:after="0" w:line="189" w:lineRule="exact"/>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(2,122)</w:t>
            </w:r>
          </w:p>
        </w:tc>
        <w:tc>
          <w:tcPr>
            <w:tcW w:w="30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(3,520)</w:t>
            </w:r>
          </w:p>
        </w:tc>
        <w:tc>
          <w:tcPr>
            <w:tcW w:w="260" w:type="dxa"/>
            <w:vAlign w:val="bottom"/>
          </w:tcPr>
          <w:p>
            <w:pPr>
              <w:spacing w:after="0"/>
              <w:rPr>
                <w:sz w:val="16"/>
                <w:szCs w:val="16"/>
                <w:color w:val="auto"/>
              </w:rPr>
            </w:pPr>
          </w:p>
        </w:tc>
        <w:tc>
          <w:tcPr>
            <w:tcW w:w="11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(4,979)</w:t>
            </w:r>
          </w:p>
        </w:tc>
        <w:tc>
          <w:tcPr>
            <w:tcW w:w="260" w:type="dxa"/>
            <w:vAlign w:val="bottom"/>
          </w:tcPr>
          <w:p>
            <w:pPr>
              <w:spacing w:after="0"/>
              <w:rPr>
                <w:sz w:val="16"/>
                <w:szCs w:val="16"/>
                <w:color w:val="auto"/>
              </w:rPr>
            </w:pPr>
          </w:p>
        </w:tc>
        <w:tc>
          <w:tcPr>
            <w:tcW w:w="10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5,900</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8"/>
                <w:szCs w:val="18"/>
                <w:color w:val="auto"/>
              </w:rPr>
              <w:t>(6,500)</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12,700</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(29,100)</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2,337</w:t>
            </w:r>
          </w:p>
        </w:tc>
        <w:tc>
          <w:tcPr>
            <w:tcW w:w="2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1,851</w:t>
            </w:r>
          </w:p>
        </w:tc>
        <w:tc>
          <w:tcPr>
            <w:tcW w:w="2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1,679</w:t>
            </w:r>
          </w:p>
        </w:tc>
        <w:tc>
          <w:tcPr>
            <w:tcW w:w="2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130</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other income (expense), net</w:t>
            </w:r>
          </w:p>
        </w:tc>
        <w:tc>
          <w:tcPr>
            <w:tcW w:w="28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7,903</w:t>
            </w:r>
          </w:p>
        </w:tc>
        <w:tc>
          <w:tcPr>
            <w:tcW w:w="2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(4,463)</w:t>
            </w:r>
          </w:p>
        </w:tc>
        <w:tc>
          <w:tcPr>
            <w:tcW w:w="2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13,948</w:t>
            </w:r>
          </w:p>
        </w:tc>
        <w:tc>
          <w:tcPr>
            <w:tcW w:w="26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(28,714)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(25,758)</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(40,386)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(57,083)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(140,638)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INCOME TAX PROVISION (BENEFIT)</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3,673</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1,604</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11,002</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NET LOSS</w:t>
            </w:r>
          </w:p>
        </w:tc>
        <w:tc>
          <w:tcPr>
            <w:tcW w:w="2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(29,431)</w:t>
            </w:r>
          </w:p>
        </w:tc>
        <w:tc>
          <w:tcPr>
            <w:tcW w:w="2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(41,990)</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(68,085)</w:t>
            </w:r>
          </w:p>
        </w:tc>
        <w:tc>
          <w:tcPr>
            <w:tcW w:w="2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(138,388)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540" w:type="dxa"/>
            <w:vAlign w:val="bottom"/>
            <w:shd w:val="clear" w:color="auto" w:fill="CFF0FC"/>
          </w:tcPr>
          <w:p>
            <w:pPr>
              <w:spacing w:after="0" w:line="170" w:lineRule="exact"/>
              <w:rPr>
                <w:sz w:val="20"/>
                <w:szCs w:val="20"/>
                <w:color w:val="auto"/>
              </w:rPr>
            </w:pPr>
            <w:r>
              <w:rPr>
                <w:rFonts w:ascii="Arial" w:cs="Arial" w:eastAsia="Arial" w:hAnsi="Arial"/>
                <w:sz w:val="18"/>
                <w:szCs w:val="18"/>
                <w:color w:val="auto"/>
              </w:rPr>
              <w:t>LOSS PER ORDINARY SHARE:</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line="189" w:lineRule="exact"/>
              <w:rPr>
                <w:sz w:val="20"/>
                <w:szCs w:val="20"/>
                <w:color w:val="auto"/>
              </w:rPr>
            </w:pPr>
            <w:r>
              <w:rPr>
                <w:rFonts w:ascii="Arial" w:cs="Arial" w:eastAsia="Arial" w:hAnsi="Arial"/>
                <w:sz w:val="18"/>
                <w:szCs w:val="18"/>
                <w:color w:val="auto"/>
              </w:rPr>
              <w:t>Basic and diluted</w:t>
            </w:r>
          </w:p>
        </w:tc>
        <w:tc>
          <w:tcPr>
            <w:tcW w:w="54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(0.19)</w:t>
            </w:r>
          </w:p>
        </w:tc>
        <w:tc>
          <w:tcPr>
            <w:tcW w:w="30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(0.27)</w:t>
            </w: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(0.43)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142"/>
        </w:trPr>
        <w:tc>
          <w:tcPr>
            <w:tcW w:w="55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6"/>
                <w:szCs w:val="16"/>
                <w:color w:val="auto"/>
              </w:rPr>
              <w:t>WEIGHTED AVERAGE NUMBER OF ORDINARY SHARES</w:t>
            </w:r>
          </w:p>
        </w:tc>
        <w:tc>
          <w:tcPr>
            <w:tcW w:w="2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OUTSTANDING:</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158,895</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156,991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158,495</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156,665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540" w:type="dxa"/>
            <w:vAlign w:val="bottom"/>
            <w:shd w:val="clear" w:color="auto" w:fill="CFF0FC"/>
          </w:tcPr>
          <w:p>
            <w:pPr>
              <w:spacing w:after="0" w:line="170" w:lineRule="exact"/>
              <w:rPr>
                <w:sz w:val="20"/>
                <w:szCs w:val="20"/>
                <w:color w:val="auto"/>
              </w:rPr>
            </w:pPr>
            <w:r>
              <w:rPr>
                <w:rFonts w:ascii="Arial" w:cs="Arial" w:eastAsia="Arial" w:hAnsi="Arial"/>
                <w:sz w:val="18"/>
                <w:szCs w:val="18"/>
                <w:color w:val="auto"/>
              </w:rPr>
              <w:t>COMPREHENSIVE LOSS:</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260"/>
              <w:spacing w:after="0" w:line="189" w:lineRule="exact"/>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(29,431)</w:t>
            </w:r>
          </w:p>
        </w:tc>
        <w:tc>
          <w:tcPr>
            <w:tcW w:w="30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(41,990)</w:t>
            </w: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(68,085)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(138,388)</w:t>
            </w:r>
          </w:p>
        </w:tc>
        <w:tc>
          <w:tcPr>
            <w:tcW w:w="0" w:type="dxa"/>
            <w:vAlign w:val="bottom"/>
          </w:tcPr>
          <w:p>
            <w:pPr>
              <w:spacing w:after="0"/>
              <w:rPr>
                <w:sz w:val="1"/>
                <w:szCs w:val="1"/>
                <w:color w:val="auto"/>
              </w:rPr>
            </w:pPr>
          </w:p>
        </w:tc>
      </w:tr>
      <w:tr>
        <w:trPr>
          <w:trHeight w:val="162"/>
        </w:trPr>
        <w:tc>
          <w:tcPr>
            <w:tcW w:w="554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w w:val="95"/>
              </w:rPr>
              <w:t>Unrealized gain, net of a tax provision of $409, $265, $496 and $494,</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1,398</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respectively</w:t>
            </w:r>
          </w:p>
        </w:tc>
        <w:tc>
          <w:tcPr>
            <w:tcW w:w="2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COMPREHENSIVE LOSS</w:t>
            </w:r>
          </w:p>
        </w:tc>
        <w:tc>
          <w:tcPr>
            <w:tcW w:w="28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(28,033)</w:t>
            </w:r>
          </w:p>
        </w:tc>
        <w:tc>
          <w:tcPr>
            <w:tcW w:w="220" w:type="dxa"/>
            <w:vAlign w:val="bottom"/>
          </w:tcPr>
          <w:p>
            <w:pPr>
              <w:spacing w:after="0"/>
              <w:rPr>
                <w:sz w:val="15"/>
                <w:szCs w:val="15"/>
                <w:color w:val="auto"/>
              </w:rPr>
            </w:pPr>
          </w:p>
        </w:tc>
        <w:tc>
          <w:tcPr>
            <w:tcW w:w="300" w:type="dxa"/>
            <w:vAlign w:val="bottom"/>
            <w:tcBorders>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(41,094)</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(66,370)</w:t>
            </w:r>
          </w:p>
        </w:tc>
        <w:tc>
          <w:tcPr>
            <w:tcW w:w="26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(136,722)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Six Months Ended</w:t>
      </w:r>
    </w:p>
    <w:p>
      <w:pPr>
        <w:jc w:val="center"/>
        <w:ind w:left="80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81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8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9"/>
        </w:trPr>
        <w:tc>
          <w:tcPr>
            <w:tcW w:w="81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(68,085)</w:t>
            </w:r>
          </w:p>
        </w:tc>
        <w:tc>
          <w:tcPr>
            <w:tcW w:w="420" w:type="dxa"/>
            <w:vAlign w:val="bottom"/>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(138,388)</w:t>
            </w: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Adjustments to reconcile net loss to cash flows from operating activities: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40,946</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39,556</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42,659</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52,861</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7,665</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(2,401)</w:t>
            </w: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(12,700)</w:t>
            </w: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29,100</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Other non-cash charges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690</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675</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19,731</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30,996</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Contract assets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(854)</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(4,460)</w:t>
            </w: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(13,782)</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(3,928)</w:t>
            </w: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7,645</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737</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8,594</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4,229</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(68,260)</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(9,918)</w:t>
            </w: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Contract liabilities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(2,364)</w:t>
            </w: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1,030</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(6,940)</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(4,593)</w:t>
            </w:r>
          </w:p>
        </w:tc>
      </w:tr>
      <w:tr>
        <w:trPr>
          <w:trHeight w:val="189"/>
        </w:trPr>
        <w:tc>
          <w:tcPr>
            <w:tcW w:w="8180" w:type="dxa"/>
            <w:vAlign w:val="bottom"/>
            <w:tcBorders>
              <w:bottom w:val="single" w:sz="8" w:color="CFF0FC"/>
            </w:tcBorders>
          </w:tcPr>
          <w:p>
            <w:pPr>
              <w:ind w:left="380"/>
              <w:spacing w:after="0" w:line="189" w:lineRule="exact"/>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351</w:t>
            </w:r>
          </w:p>
        </w:tc>
        <w:tc>
          <w:tcPr>
            <w:tcW w:w="26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3,539</w:t>
            </w:r>
          </w:p>
        </w:tc>
        <w:tc>
          <w:tcPr>
            <w:tcW w:w="100" w:type="dxa"/>
            <w:vAlign w:val="bottom"/>
            <w:tcBorders>
              <w:bottom w:val="single" w:sz="8" w:color="CFF0FC"/>
            </w:tcBorders>
          </w:tcPr>
          <w:p>
            <w:pPr>
              <w:spacing w:after="0"/>
              <w:rPr>
                <w:sz w:val="16"/>
                <w:szCs w:val="16"/>
                <w:color w:val="auto"/>
              </w:rPr>
            </w:pPr>
          </w:p>
        </w:tc>
      </w:tr>
      <w:tr>
        <w:trPr>
          <w:trHeight w:val="183"/>
        </w:trPr>
        <w:tc>
          <w:tcPr>
            <w:tcW w:w="8180" w:type="dxa"/>
            <w:vAlign w:val="bottom"/>
            <w:shd w:val="clear" w:color="auto" w:fill="CFF0FC"/>
          </w:tcPr>
          <w:p>
            <w:pPr>
              <w:ind w:left="500"/>
              <w:spacing w:after="0" w:line="182" w:lineRule="exact"/>
              <w:rPr>
                <w:sz w:val="20"/>
                <w:szCs w:val="20"/>
                <w:color w:val="auto"/>
              </w:rPr>
            </w:pPr>
            <w:r>
              <w:rPr>
                <w:rFonts w:ascii="Arial" w:cs="Arial" w:eastAsia="Arial" w:hAnsi="Arial"/>
                <w:sz w:val="18"/>
                <w:szCs w:val="18"/>
                <w:color w:val="auto"/>
              </w:rPr>
              <w:t>Cash flows used in operating activities</w:t>
            </w:r>
          </w:p>
        </w:tc>
        <w:tc>
          <w:tcPr>
            <w:tcW w:w="3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(44,704)</w:t>
            </w:r>
          </w:p>
        </w:tc>
        <w:tc>
          <w:tcPr>
            <w:tcW w:w="260" w:type="dxa"/>
            <w:vAlign w:val="bottom"/>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(965)</w:t>
            </w:r>
          </w:p>
        </w:tc>
        <w:tc>
          <w:tcPr>
            <w:tcW w:w="100" w:type="dxa"/>
            <w:vAlign w:val="bottom"/>
            <w:shd w:val="clear" w:color="auto" w:fill="CFF0FC"/>
          </w:tcPr>
          <w:p>
            <w:pPr>
              <w:spacing w:after="0"/>
              <w:rPr>
                <w:sz w:val="15"/>
                <w:szCs w:val="15"/>
                <w:color w:val="auto"/>
              </w:rPr>
            </w:pPr>
          </w:p>
        </w:tc>
      </w:tr>
      <w:tr>
        <w:trPr>
          <w:trHeight w:val="183"/>
        </w:trPr>
        <w:tc>
          <w:tcPr>
            <w:tcW w:w="8180" w:type="dxa"/>
            <w:vAlign w:val="bottom"/>
          </w:tcPr>
          <w:p>
            <w:pPr>
              <w:spacing w:after="0" w:line="182" w:lineRule="exact"/>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Additions of property, plant and equipment</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(30,372)</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(39,542)</w:t>
            </w: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Proceeds from the sale of equipment</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291</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Proceeds from contingent consideration</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(85,649)</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(121,809)</w:t>
            </w: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Sales and maturities of investments</w:t>
            </w: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147,859</w:t>
            </w:r>
          </w:p>
        </w:tc>
        <w:tc>
          <w:tcPr>
            <w:tcW w:w="26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79,104</w:t>
            </w:r>
          </w:p>
        </w:tc>
        <w:tc>
          <w:tcPr>
            <w:tcW w:w="100" w:type="dxa"/>
            <w:vAlign w:val="bottom"/>
            <w:shd w:val="clear" w:color="auto" w:fill="CFF0FC"/>
          </w:tcPr>
          <w:p>
            <w:pPr>
              <w:spacing w:after="0"/>
              <w:rPr>
                <w:sz w:val="16"/>
                <w:szCs w:val="16"/>
                <w:color w:val="auto"/>
              </w:rPr>
            </w:pPr>
          </w:p>
        </w:tc>
      </w:tr>
      <w:tr>
        <w:trPr>
          <w:trHeight w:val="182"/>
        </w:trPr>
        <w:tc>
          <w:tcPr>
            <w:tcW w:w="818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Cash flows provided by (used in) investing activities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31,843</w:t>
            </w:r>
          </w:p>
        </w:tc>
        <w:tc>
          <w:tcPr>
            <w:tcW w:w="26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(71,956)</w:t>
            </w:r>
          </w:p>
        </w:tc>
        <w:tc>
          <w:tcPr>
            <w:tcW w:w="100" w:type="dxa"/>
            <w:vAlign w:val="bottom"/>
            <w:tcBorders>
              <w:bottom w:val="single" w:sz="8" w:color="CFF0FC"/>
            </w:tcBorders>
          </w:tcPr>
          <w:p>
            <w:pPr>
              <w:spacing w:after="0"/>
              <w:rPr>
                <w:sz w:val="15"/>
                <w:szCs w:val="15"/>
                <w:color w:val="auto"/>
              </w:rPr>
            </w:pPr>
          </w:p>
        </w:tc>
      </w:tr>
      <w:tr>
        <w:trPr>
          <w:trHeight w:val="183"/>
        </w:trPr>
        <w:tc>
          <w:tcPr>
            <w:tcW w:w="81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Proceeds from the issuance of ordinary shares under share-based compensation arrangements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6,919</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12,608</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Employee taxes paid related to net share settlement of equity awards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(7,406)</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(9,074)</w:t>
            </w: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Principal payments of long-term debt</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(1,421)</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(1,421)</w:t>
            </w:r>
          </w:p>
        </w:tc>
      </w:tr>
      <w:tr>
        <w:trPr>
          <w:trHeight w:val="183"/>
        </w:trPr>
        <w:tc>
          <w:tcPr>
            <w:tcW w:w="8180" w:type="dxa"/>
            <w:vAlign w:val="bottom"/>
            <w:tcBorders>
              <w:top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Cash flows (used in) provided by financing activities</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(1,908)</w:t>
            </w:r>
          </w:p>
        </w:tc>
        <w:tc>
          <w:tcPr>
            <w:tcW w:w="260" w:type="dxa"/>
            <w:vAlign w:val="bottom"/>
            <w:tcBorders>
              <w:top w:val="single" w:sz="8" w:color="CFF0FC"/>
            </w:tcBorders>
            <w:shd w:val="clear" w:color="auto" w:fill="CFF0FC"/>
          </w:tcPr>
          <w:p>
            <w:pPr>
              <w:spacing w:after="0"/>
              <w:rPr>
                <w:sz w:val="15"/>
                <w:szCs w:val="15"/>
                <w:color w:val="auto"/>
              </w:rPr>
            </w:pPr>
          </w:p>
        </w:tc>
        <w:tc>
          <w:tcPr>
            <w:tcW w:w="420" w:type="dxa"/>
            <w:vAlign w:val="bottom"/>
            <w:tcBorders>
              <w:top w:val="single" w:sz="8" w:color="auto"/>
              <w:bottom w:val="single" w:sz="8" w:color="auto"/>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2,113</w:t>
            </w:r>
          </w:p>
        </w:tc>
        <w:tc>
          <w:tcPr>
            <w:tcW w:w="100" w:type="dxa"/>
            <w:vAlign w:val="bottom"/>
            <w:tcBorders>
              <w:top w:val="single" w:sz="8" w:color="CFF0FC"/>
            </w:tcBorders>
            <w:shd w:val="clear" w:color="auto" w:fill="CFF0FC"/>
          </w:tcPr>
          <w:p>
            <w:pPr>
              <w:spacing w:after="0"/>
              <w:rPr>
                <w:sz w:val="15"/>
                <w:szCs w:val="15"/>
                <w:color w:val="auto"/>
              </w:rPr>
            </w:pPr>
          </w:p>
        </w:tc>
      </w:tr>
      <w:tr>
        <w:trPr>
          <w:trHeight w:val="183"/>
        </w:trPr>
        <w:tc>
          <w:tcPr>
            <w:tcW w:w="8180" w:type="dxa"/>
            <w:vAlign w:val="bottom"/>
          </w:tcPr>
          <w:p>
            <w:pPr>
              <w:spacing w:after="0" w:line="182" w:lineRule="exact"/>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(14,769)</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(70,808)</w:t>
            </w:r>
          </w:p>
        </w:tc>
        <w:tc>
          <w:tcPr>
            <w:tcW w:w="100" w:type="dxa"/>
            <w:vAlign w:val="bottom"/>
          </w:tcPr>
          <w:p>
            <w:pPr>
              <w:spacing w:after="0"/>
              <w:rPr>
                <w:sz w:val="15"/>
                <w:szCs w:val="15"/>
                <w:color w:val="auto"/>
              </w:rPr>
            </w:pPr>
          </w:p>
        </w:tc>
      </w:tr>
      <w:tr>
        <w:trPr>
          <w:trHeight w:val="189"/>
        </w:trPr>
        <w:tc>
          <w:tcPr>
            <w:tcW w:w="81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CASH AND CASH EQUIVALENTS—Beginning of period</w:t>
            </w: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203,771</w:t>
            </w:r>
          </w:p>
        </w:tc>
        <w:tc>
          <w:tcPr>
            <w:tcW w:w="26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266,762</w:t>
            </w:r>
          </w:p>
        </w:tc>
        <w:tc>
          <w:tcPr>
            <w:tcW w:w="100" w:type="dxa"/>
            <w:vAlign w:val="bottom"/>
            <w:shd w:val="clear" w:color="auto" w:fill="CFF0FC"/>
          </w:tcPr>
          <w:p>
            <w:pPr>
              <w:spacing w:after="0"/>
              <w:rPr>
                <w:sz w:val="16"/>
                <w:szCs w:val="16"/>
                <w:color w:val="auto"/>
              </w:rPr>
            </w:pPr>
          </w:p>
        </w:tc>
      </w:tr>
      <w:tr>
        <w:trPr>
          <w:trHeight w:val="222"/>
        </w:trPr>
        <w:tc>
          <w:tcPr>
            <w:tcW w:w="818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CASH AND CASH EQUIVALENTS—End of period</w:t>
            </w: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189,002</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195,954</w:t>
            </w:r>
          </w:p>
        </w:tc>
        <w:tc>
          <w:tcPr>
            <w:tcW w:w="100" w:type="dxa"/>
            <w:vAlign w:val="bottom"/>
            <w:tcBorders>
              <w:bottom w:val="single" w:sz="8" w:color="CFF0FC"/>
            </w:tcBorders>
          </w:tcPr>
          <w:p>
            <w:pPr>
              <w:spacing w:after="0"/>
              <w:rPr>
                <w:sz w:val="19"/>
                <w:szCs w:val="19"/>
                <w:color w:val="auto"/>
              </w:rPr>
            </w:pPr>
          </w:p>
        </w:tc>
      </w:tr>
      <w:tr>
        <w:trPr>
          <w:trHeight w:val="170"/>
        </w:trPr>
        <w:tc>
          <w:tcPr>
            <w:tcW w:w="8180" w:type="dxa"/>
            <w:vAlign w:val="bottom"/>
            <w:shd w:val="clear" w:color="auto" w:fill="CFF0FC"/>
          </w:tcPr>
          <w:p>
            <w:pPr>
              <w:spacing w:after="0" w:line="170" w:lineRule="exact"/>
              <w:rPr>
                <w:sz w:val="20"/>
                <w:szCs w:val="20"/>
                <w:color w:val="auto"/>
              </w:rPr>
            </w:pPr>
            <w:r>
              <w:rPr>
                <w:rFonts w:ascii="Arial" w:cs="Arial" w:eastAsia="Arial" w:hAnsi="Arial"/>
                <w:sz w:val="18"/>
                <w:szCs w:val="18"/>
                <w:color w:val="auto"/>
              </w:rPr>
              <w:t>SUPPLEMENTAL CASH FLOW DISCLOSURE:</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Non-cash investing and financing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Purchased capital expenditures included in accounts payable and accrued expenses</w:t>
            </w:r>
          </w:p>
        </w:tc>
        <w:tc>
          <w:tcPr>
            <w:tcW w:w="320" w:type="dxa"/>
            <w:vAlign w:val="bottom"/>
            <w:shd w:val="clear" w:color="auto" w:fill="CFF0FC"/>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4,431</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2,994</w:t>
            </w:r>
          </w:p>
        </w:tc>
        <w:tc>
          <w:tcPr>
            <w:tcW w:w="100" w:type="dxa"/>
            <w:vAlign w:val="bottom"/>
            <w:shd w:val="clear" w:color="auto" w:fill="CFF0FC"/>
          </w:tcPr>
          <w:p>
            <w:pPr>
              <w:spacing w:after="0"/>
              <w:rPr>
                <w:sz w:val="16"/>
                <w:szCs w:val="16"/>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3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1"/>
        </w:trPr>
        <w:tc>
          <w:tcPr>
            <w:tcW w:w="3480" w:type="dxa"/>
            <w:vAlign w:val="bottom"/>
          </w:tcPr>
          <w:p>
            <w:pPr>
              <w:spacing w:after="0"/>
              <w:rPr>
                <w:sz w:val="14"/>
                <w:szCs w:val="14"/>
                <w:color w:val="auto"/>
              </w:rPr>
            </w:pPr>
          </w:p>
        </w:tc>
        <w:tc>
          <w:tcPr>
            <w:tcW w:w="1980" w:type="dxa"/>
            <w:vAlign w:val="bottom"/>
            <w:gridSpan w:val="5"/>
          </w:tcPr>
          <w:p>
            <w:pPr>
              <w:ind w:left="400"/>
              <w:spacing w:after="0"/>
              <w:rPr>
                <w:sz w:val="20"/>
                <w:szCs w:val="20"/>
                <w:color w:val="auto"/>
              </w:rPr>
            </w:pPr>
            <w:r>
              <w:rPr>
                <w:rFonts w:ascii="Arial" w:cs="Arial" w:eastAsia="Arial" w:hAnsi="Arial"/>
                <w:sz w:val="13"/>
                <w:szCs w:val="13"/>
                <w:b w:val="1"/>
                <w:bCs w:val="1"/>
                <w:color w:val="auto"/>
              </w:rPr>
              <w:t>Ordinary Shares</w:t>
            </w:r>
          </w:p>
        </w:tc>
        <w:tc>
          <w:tcPr>
            <w:tcW w:w="1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Comprehensive</w:t>
            </w:r>
          </w:p>
        </w:tc>
        <w:tc>
          <w:tcPr>
            <w:tcW w:w="1040" w:type="dxa"/>
            <w:vAlign w:val="bottom"/>
            <w:gridSpan w:val="3"/>
          </w:tcPr>
          <w:p>
            <w:pPr>
              <w:jc w:val="right"/>
              <w:ind w:right="128"/>
              <w:spacing w:after="0"/>
              <w:rPr>
                <w:sz w:val="20"/>
                <w:szCs w:val="20"/>
                <w:color w:val="auto"/>
              </w:rPr>
            </w:pPr>
            <w:r>
              <w:rPr>
                <w:rFonts w:ascii="Arial" w:cs="Arial" w:eastAsia="Arial" w:hAnsi="Arial"/>
                <w:sz w:val="13"/>
                <w:szCs w:val="13"/>
                <w:b w:val="1"/>
                <w:bCs w:val="1"/>
                <w:color w:val="auto"/>
              </w:rPr>
              <w:t>Accumulated</w:t>
            </w:r>
          </w:p>
        </w:tc>
        <w:tc>
          <w:tcPr>
            <w:tcW w:w="1880" w:type="dxa"/>
            <w:vAlign w:val="bottom"/>
            <w:gridSpan w:val="5"/>
          </w:tcPr>
          <w:p>
            <w:pPr>
              <w:jc w:val="right"/>
              <w:ind w:right="559"/>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104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2" w:lineRule="exact"/>
              <w:rPr>
                <w:sz w:val="20"/>
                <w:szCs w:val="20"/>
                <w:color w:val="auto"/>
              </w:rPr>
            </w:pPr>
            <w:r>
              <w:rPr>
                <w:rFonts w:ascii="Arial" w:cs="Arial" w:eastAsia="Arial" w:hAnsi="Arial"/>
                <w:sz w:val="13"/>
                <w:szCs w:val="13"/>
                <w:b w:val="1"/>
                <w:bCs w:val="1"/>
                <w:color w:val="auto"/>
                <w:w w:val="85"/>
              </w:rPr>
              <w:t>Loss</w:t>
            </w:r>
          </w:p>
        </w:tc>
        <w:tc>
          <w:tcPr>
            <w:tcW w:w="80" w:type="dxa"/>
            <w:vAlign w:val="bottom"/>
          </w:tcPr>
          <w:p>
            <w:pPr>
              <w:spacing w:after="0"/>
              <w:rPr>
                <w:sz w:val="12"/>
                <w:szCs w:val="12"/>
                <w:color w:val="auto"/>
              </w:rPr>
            </w:pPr>
          </w:p>
        </w:tc>
        <w:tc>
          <w:tcPr>
            <w:tcW w:w="960" w:type="dxa"/>
            <w:vAlign w:val="bottom"/>
            <w:gridSpan w:val="2"/>
          </w:tcPr>
          <w:p>
            <w:pPr>
              <w:jc w:val="right"/>
              <w:ind w:right="328"/>
              <w:spacing w:after="0" w:line="142" w:lineRule="exact"/>
              <w:rPr>
                <w:sz w:val="20"/>
                <w:szCs w:val="20"/>
                <w:color w:val="auto"/>
              </w:rPr>
            </w:pPr>
            <w:r>
              <w:rPr>
                <w:rFonts w:ascii="Arial" w:cs="Arial" w:eastAsia="Arial" w:hAnsi="Arial"/>
                <w:sz w:val="13"/>
                <w:szCs w:val="13"/>
                <w:b w:val="1"/>
                <w:bCs w:val="1"/>
                <w:color w:val="auto"/>
              </w:rPr>
              <w:t>Deficit</w:t>
            </w:r>
          </w:p>
        </w:tc>
        <w:tc>
          <w:tcPr>
            <w:tcW w:w="94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34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7"/>
          </w:tcPr>
          <w:p>
            <w:pPr>
              <w:jc w:val="right"/>
              <w:ind w:right="148"/>
              <w:spacing w:after="0" w:line="142" w:lineRule="exact"/>
              <w:rPr>
                <w:sz w:val="20"/>
                <w:szCs w:val="20"/>
                <w:color w:val="auto"/>
              </w:rPr>
            </w:pPr>
            <w:r>
              <w:rPr>
                <w:rFonts w:ascii="Arial" w:cs="Arial" w:eastAsia="Arial" w:hAnsi="Arial"/>
                <w:sz w:val="13"/>
                <w:szCs w:val="13"/>
                <w:b w:val="1"/>
                <w:bCs w:val="1"/>
                <w:color w:val="auto"/>
                <w:w w:val="92"/>
              </w:rPr>
              <w:t>(In thousands, except share data)</w:t>
            </w: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76"/>
        </w:trPr>
        <w:tc>
          <w:tcPr>
            <w:tcW w:w="348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2019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160,489,888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1,602</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2,586,030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(1,816)</w:t>
            </w:r>
          </w:p>
        </w:tc>
        <w:tc>
          <w:tcPr>
            <w:tcW w:w="104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(1,381,988)</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(2,710,886)</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(118,386)</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1,085,442</w:t>
            </w:r>
          </w:p>
        </w:tc>
        <w:tc>
          <w:tcPr>
            <w:tcW w:w="120" w:type="dxa"/>
            <w:vAlign w:val="bottom"/>
            <w:shd w:val="clear" w:color="auto" w:fill="CFF0FC"/>
          </w:tcPr>
          <w:p>
            <w:pPr>
              <w:spacing w:after="0"/>
              <w:rPr>
                <w:sz w:val="15"/>
                <w:szCs w:val="15"/>
                <w:color w:val="auto"/>
              </w:rPr>
            </w:pPr>
          </w:p>
        </w:tc>
      </w:tr>
      <w:tr>
        <w:trPr>
          <w:trHeight w:val="157"/>
        </w:trPr>
        <w:tc>
          <w:tcPr>
            <w:tcW w:w="3480" w:type="dxa"/>
            <w:vAlign w:val="bottom"/>
          </w:tcPr>
          <w:p>
            <w:pPr>
              <w:ind w:left="260"/>
              <w:spacing w:after="0" w:line="157" w:lineRule="exact"/>
              <w:rPr>
                <w:sz w:val="20"/>
                <w:szCs w:val="20"/>
                <w:color w:val="auto"/>
              </w:rPr>
            </w:pPr>
            <w:r>
              <w:rPr>
                <w:rFonts w:ascii="Arial" w:cs="Arial" w:eastAsia="Arial" w:hAnsi="Arial"/>
                <w:sz w:val="14"/>
                <w:szCs w:val="14"/>
                <w:color w:val="auto"/>
              </w:rPr>
              <w:t>Issuance of ordinary shares under employee stock</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1"/>
        </w:trPr>
        <w:tc>
          <w:tcPr>
            <w:tcW w:w="3480" w:type="dxa"/>
            <w:vAlign w:val="bottom"/>
          </w:tcPr>
          <w:p>
            <w:pPr>
              <w:ind w:left="38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258,137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3,071</w:t>
            </w:r>
          </w:p>
        </w:tc>
        <w:tc>
          <w:tcPr>
            <w:tcW w:w="120" w:type="dxa"/>
            <w:vAlign w:val="bottom"/>
          </w:tcPr>
          <w:p>
            <w:pPr>
              <w:spacing w:after="0"/>
              <w:rPr>
                <w:sz w:val="15"/>
                <w:szCs w:val="15"/>
                <w:color w:val="auto"/>
              </w:rPr>
            </w:pP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w w:val="98"/>
              </w:rPr>
              <w:t>Receipt of Alkermes' shares for the exercise of stock</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options or to satisfy minimum tax withholding</w:t>
            </w: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obligations related to share-based 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1,020,510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(372,846)</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(7,283)</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(7,283)</w:t>
            </w:r>
          </w:p>
        </w:tc>
      </w:tr>
      <w:tr>
        <w:trPr>
          <w:trHeight w:val="176"/>
        </w:trPr>
        <w:tc>
          <w:tcPr>
            <w:tcW w:w="348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20,125</w:t>
            </w:r>
          </w:p>
        </w:tc>
        <w:tc>
          <w:tcPr>
            <w:tcW w:w="120" w:type="dxa"/>
            <w:vAlign w:val="bottom"/>
          </w:tcPr>
          <w:p>
            <w:pPr>
              <w:spacing w:after="0"/>
              <w:rPr>
                <w:sz w:val="15"/>
                <w:szCs w:val="15"/>
                <w:color w:val="auto"/>
              </w:rPr>
            </w:pP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Unrealized gain on marketable securities, net of tax</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of $87</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FF0FC"/>
          </w:tcPr>
          <w:p>
            <w:pPr>
              <w:spacing w:after="0"/>
              <w:rPr>
                <w:sz w:val="15"/>
                <w:szCs w:val="15"/>
                <w:color w:val="auto"/>
              </w:rPr>
            </w:pPr>
          </w:p>
        </w:tc>
      </w:tr>
      <w:tr>
        <w:trPr>
          <w:trHeight w:val="175"/>
        </w:trPr>
        <w:tc>
          <w:tcPr>
            <w:tcW w:w="3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68"/>
              <w:spacing w:after="0"/>
              <w:rPr>
                <w:sz w:val="20"/>
                <w:szCs w:val="20"/>
                <w:color w:val="auto"/>
              </w:rPr>
            </w:pPr>
            <w:r>
              <w:rPr>
                <w:rFonts w:ascii="Arial" w:cs="Arial" w:eastAsia="Arial" w:hAnsi="Arial"/>
                <w:sz w:val="14"/>
                <w:szCs w:val="14"/>
                <w:color w:val="auto"/>
              </w:rPr>
              <w:t>(38,654)</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(38,654)</w:t>
            </w:r>
          </w:p>
        </w:tc>
      </w:tr>
      <w:tr>
        <w:trPr>
          <w:trHeight w:val="169"/>
        </w:trPr>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 March 31, 2020</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161,768,535</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1,615</w:t>
            </w: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2,609,213</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(1,499)</w:t>
            </w:r>
          </w:p>
        </w:tc>
        <w:tc>
          <w:tcPr>
            <w:tcW w:w="1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8"/>
              </w:rPr>
              <w:t>$ (1,420,642)</w:t>
            </w: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(3,083,732)</w:t>
            </w: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(125,669)</w:t>
            </w: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9"/>
              </w:rPr>
              <w:t>1,063,018</w:t>
            </w:r>
          </w:p>
        </w:tc>
        <w:tc>
          <w:tcPr>
            <w:tcW w:w="120" w:type="dxa"/>
            <w:vAlign w:val="bottom"/>
            <w:tcBorders>
              <w:top w:val="single" w:sz="8" w:color="CFF0FC"/>
            </w:tcBorders>
            <w:shd w:val="clear" w:color="auto" w:fill="CFF0FC"/>
          </w:tcPr>
          <w:p>
            <w:pPr>
              <w:spacing w:after="0"/>
              <w:rPr>
                <w:sz w:val="14"/>
                <w:szCs w:val="14"/>
                <w:color w:val="auto"/>
              </w:rPr>
            </w:pPr>
          </w:p>
        </w:tc>
      </w:tr>
      <w:tr>
        <w:trPr>
          <w:trHeight w:val="143"/>
        </w:trPr>
        <w:tc>
          <w:tcPr>
            <w:tcW w:w="3480" w:type="dxa"/>
            <w:vAlign w:val="bottom"/>
          </w:tcPr>
          <w:p>
            <w:pPr>
              <w:ind w:left="260"/>
              <w:spacing w:after="0" w:line="143" w:lineRule="exact"/>
              <w:rPr>
                <w:sz w:val="20"/>
                <w:szCs w:val="20"/>
                <w:color w:val="auto"/>
              </w:rPr>
            </w:pPr>
            <w:r>
              <w:rPr>
                <w:rFonts w:ascii="Arial" w:cs="Arial" w:eastAsia="Arial" w:hAnsi="Arial"/>
                <w:sz w:val="14"/>
                <w:szCs w:val="14"/>
                <w:color w:val="auto"/>
              </w:rPr>
              <w:t>Issuance of ordinary shares under employee stock</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3480" w:type="dxa"/>
            <w:vAlign w:val="bottom"/>
          </w:tcPr>
          <w:p>
            <w:pPr>
              <w:ind w:left="38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327,251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3,848</w:t>
            </w:r>
          </w:p>
        </w:tc>
        <w:tc>
          <w:tcPr>
            <w:tcW w:w="120" w:type="dxa"/>
            <w:vAlign w:val="bottom"/>
          </w:tcPr>
          <w:p>
            <w:pPr>
              <w:spacing w:after="0"/>
              <w:rPr>
                <w:sz w:val="14"/>
                <w:szCs w:val="14"/>
                <w:color w:val="auto"/>
              </w:rPr>
            </w:pPr>
          </w:p>
        </w:tc>
      </w:tr>
      <w:tr>
        <w:trPr>
          <w:trHeight w:val="143"/>
        </w:trPr>
        <w:tc>
          <w:tcPr>
            <w:tcW w:w="3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6"/>
              </w:rPr>
              <w:t>Receipt of Alkermes' shares for the purchase of stock</w:t>
            </w: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480" w:type="dxa"/>
            <w:vAlign w:val="bottom"/>
            <w:shd w:val="clear" w:color="auto" w:fill="CFF0FC"/>
          </w:tcPr>
          <w:p>
            <w:pPr>
              <w:ind w:left="380"/>
              <w:spacing w:after="0" w:line="149" w:lineRule="exact"/>
              <w:rPr>
                <w:sz w:val="20"/>
                <w:szCs w:val="20"/>
                <w:color w:val="auto"/>
              </w:rPr>
            </w:pPr>
            <w:r>
              <w:rPr>
                <w:rFonts w:ascii="Arial" w:cs="Arial" w:eastAsia="Arial" w:hAnsi="Arial"/>
                <w:sz w:val="14"/>
                <w:szCs w:val="14"/>
                <w:color w:val="auto"/>
              </w:rPr>
              <w:t>options or to satisfy minimum tax withholding</w:t>
            </w: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obligations related to share-based 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24,175</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(7,874)</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(123)</w:t>
            </w:r>
          </w:p>
        </w:tc>
      </w:tr>
      <w:tr>
        <w:trPr>
          <w:trHeight w:val="162"/>
        </w:trPr>
        <w:tc>
          <w:tcPr>
            <w:tcW w:w="348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23,136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23,136</w:t>
            </w:r>
          </w:p>
        </w:tc>
        <w:tc>
          <w:tcPr>
            <w:tcW w:w="120" w:type="dxa"/>
            <w:vAlign w:val="bottom"/>
          </w:tcPr>
          <w:p>
            <w:pPr>
              <w:spacing w:after="0"/>
              <w:rPr>
                <w:sz w:val="14"/>
                <w:szCs w:val="14"/>
                <w:color w:val="auto"/>
              </w:rPr>
            </w:pPr>
          </w:p>
        </w:tc>
      </w:tr>
      <w:tr>
        <w:trPr>
          <w:trHeight w:val="143"/>
        </w:trPr>
        <w:tc>
          <w:tcPr>
            <w:tcW w:w="3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Unrealized gain on marketable securities, net of tax</w:t>
            </w: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of $409</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1,398</w:t>
            </w:r>
          </w:p>
        </w:tc>
        <w:tc>
          <w:tcPr>
            <w:tcW w:w="120" w:type="dxa"/>
            <w:vAlign w:val="bottom"/>
            <w:shd w:val="clear" w:color="auto" w:fill="CFF0FC"/>
          </w:tcPr>
          <w:p>
            <w:pPr>
              <w:spacing w:after="0"/>
              <w:rPr>
                <w:sz w:val="14"/>
                <w:szCs w:val="14"/>
                <w:color w:val="auto"/>
              </w:rPr>
            </w:pPr>
          </w:p>
        </w:tc>
      </w:tr>
      <w:tr>
        <w:trPr>
          <w:trHeight w:val="162"/>
        </w:trPr>
        <w:tc>
          <w:tcPr>
            <w:tcW w:w="3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68"/>
              <w:spacing w:after="0"/>
              <w:rPr>
                <w:sz w:val="20"/>
                <w:szCs w:val="20"/>
                <w:color w:val="auto"/>
              </w:rPr>
            </w:pPr>
            <w:r>
              <w:rPr>
                <w:rFonts w:ascii="Arial" w:cs="Arial" w:eastAsia="Arial" w:hAnsi="Arial"/>
                <w:sz w:val="14"/>
                <w:szCs w:val="14"/>
                <w:color w:val="auto"/>
              </w:rPr>
              <w:t>(29,431)</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(29,431)</w:t>
            </w:r>
          </w:p>
        </w:tc>
      </w:tr>
      <w:tr>
        <w:trPr>
          <w:trHeight w:val="155"/>
        </w:trPr>
        <w:tc>
          <w:tcPr>
            <w:tcW w:w="34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June 30, 2020</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162,119,961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1,618</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2,636,194</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30"/>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 (1,450,073</w:t>
            </w:r>
          </w:p>
        </w:tc>
        <w:tc>
          <w:tcPr>
            <w:tcW w:w="200" w:type="dxa"/>
            <w:vAlign w:val="bottom"/>
            <w:tcBorders>
              <w:top w:val="single" w:sz="8" w:color="CFF0FC"/>
              <w:bottom w:val="single" w:sz="8" w:color="CFF0FC"/>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(3,091,606)</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(125,792</w:t>
            </w:r>
          </w:p>
        </w:tc>
        <w:tc>
          <w:tcPr>
            <w:tcW w:w="180" w:type="dxa"/>
            <w:vAlign w:val="bottom"/>
            <w:tcBorders>
              <w:top w:val="single" w:sz="8" w:color="CFF0FC"/>
              <w:bottom w:val="single" w:sz="8" w:color="CFF0FC"/>
            </w:tcBorders>
            <w:shd w:val="clear" w:color="auto" w:fill="CFF0FC"/>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1,061,846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3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9"/>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3360" w:type="dxa"/>
            <w:vAlign w:val="bottom"/>
          </w:tcPr>
          <w:p>
            <w:pPr>
              <w:spacing w:after="0"/>
              <w:rPr>
                <w:sz w:val="14"/>
                <w:szCs w:val="14"/>
                <w:color w:val="auto"/>
              </w:rPr>
            </w:pPr>
          </w:p>
        </w:tc>
        <w:tc>
          <w:tcPr>
            <w:tcW w:w="1820" w:type="dxa"/>
            <w:vAlign w:val="bottom"/>
            <w:gridSpan w:val="4"/>
          </w:tcPr>
          <w:p>
            <w:pPr>
              <w:jc w:val="right"/>
              <w:ind w:right="368"/>
              <w:spacing w:after="0"/>
              <w:rPr>
                <w:sz w:val="20"/>
                <w:szCs w:val="20"/>
                <w:color w:val="auto"/>
              </w:rPr>
            </w:pPr>
            <w:r>
              <w:rPr>
                <w:rFonts w:ascii="Arial" w:cs="Arial" w:eastAsia="Arial" w:hAnsi="Arial"/>
                <w:sz w:val="13"/>
                <w:szCs w:val="13"/>
                <w:b w:val="1"/>
                <w:bCs w:val="1"/>
                <w:color w:val="auto"/>
              </w:rPr>
              <w:t>Ordinary 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09"/>
              <w:spacing w:after="0"/>
              <w:rPr>
                <w:sz w:val="20"/>
                <w:szCs w:val="20"/>
                <w:color w:val="auto"/>
              </w:rPr>
            </w:pPr>
            <w:r>
              <w:rPr>
                <w:rFonts w:ascii="Arial" w:cs="Arial" w:eastAsia="Arial" w:hAnsi="Arial"/>
                <w:sz w:val="13"/>
                <w:szCs w:val="13"/>
                <w:b w:val="1"/>
                <w:bCs w:val="1"/>
                <w:color w:val="auto"/>
              </w:rPr>
              <w:t>Paid-In</w:t>
            </w:r>
          </w:p>
        </w:tc>
        <w:tc>
          <w:tcPr>
            <w:tcW w:w="1320" w:type="dxa"/>
            <w:vAlign w:val="bottom"/>
            <w:gridSpan w:val="4"/>
          </w:tcPr>
          <w:p>
            <w:pPr>
              <w:ind w:left="200"/>
              <w:spacing w:after="0"/>
              <w:rPr>
                <w:sz w:val="20"/>
                <w:szCs w:val="20"/>
                <w:color w:val="auto"/>
              </w:rPr>
            </w:pPr>
            <w:r>
              <w:rPr>
                <w:rFonts w:ascii="Arial" w:cs="Arial" w:eastAsia="Arial" w:hAnsi="Arial"/>
                <w:sz w:val="13"/>
                <w:szCs w:val="13"/>
                <w:b w:val="1"/>
                <w:bCs w:val="1"/>
                <w:color w:val="auto"/>
              </w:rPr>
              <w:t>Comprehensive</w:t>
            </w:r>
          </w:p>
        </w:tc>
        <w:tc>
          <w:tcPr>
            <w:tcW w:w="1000" w:type="dxa"/>
            <w:vAlign w:val="bottom"/>
            <w:gridSpan w:val="2"/>
          </w:tcPr>
          <w:p>
            <w:pPr>
              <w:jc w:val="right"/>
              <w:ind w:right="179"/>
              <w:spacing w:after="0"/>
              <w:rPr>
                <w:sz w:val="20"/>
                <w:szCs w:val="20"/>
                <w:color w:val="auto"/>
              </w:rPr>
            </w:pPr>
            <w:r>
              <w:rPr>
                <w:rFonts w:ascii="Arial" w:cs="Arial" w:eastAsia="Arial" w:hAnsi="Arial"/>
                <w:sz w:val="13"/>
                <w:szCs w:val="13"/>
                <w:b w:val="1"/>
                <w:bCs w:val="1"/>
                <w:color w:val="auto"/>
                <w:w w:val="93"/>
              </w:rPr>
              <w:t>Accumulated</w:t>
            </w:r>
          </w:p>
        </w:tc>
        <w:tc>
          <w:tcPr>
            <w:tcW w:w="1860" w:type="dxa"/>
            <w:vAlign w:val="bottom"/>
            <w:gridSpan w:val="6"/>
          </w:tcPr>
          <w:p>
            <w:pPr>
              <w:jc w:val="right"/>
              <w:ind w:right="539"/>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360" w:type="dxa"/>
            <w:vAlign w:val="bottom"/>
          </w:tcPr>
          <w:p>
            <w:pPr>
              <w:spacing w:after="0"/>
              <w:rPr>
                <w:sz w:val="12"/>
                <w:szCs w:val="12"/>
                <w:color w:val="auto"/>
              </w:rPr>
            </w:pPr>
          </w:p>
        </w:tc>
        <w:tc>
          <w:tcPr>
            <w:tcW w:w="840" w:type="dxa"/>
            <w:vAlign w:val="bottom"/>
            <w:tcBorders>
              <w:top w:val="single" w:sz="8" w:color="auto"/>
            </w:tcBorders>
          </w:tcPr>
          <w:p>
            <w:pPr>
              <w:jc w:val="right"/>
              <w:ind w:right="169"/>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09"/>
              <w:spacing w:after="0" w:line="142" w:lineRule="exact"/>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2" w:lineRule="exact"/>
              <w:rPr>
                <w:sz w:val="20"/>
                <w:szCs w:val="20"/>
                <w:color w:val="auto"/>
              </w:rPr>
            </w:pPr>
            <w:r>
              <w:rPr>
                <w:rFonts w:ascii="Arial" w:cs="Arial" w:eastAsia="Arial" w:hAnsi="Arial"/>
                <w:sz w:val="13"/>
                <w:szCs w:val="13"/>
                <w:b w:val="1"/>
                <w:bCs w:val="1"/>
                <w:color w:val="auto"/>
                <w:w w:val="85"/>
              </w:rPr>
              <w:t>Loss</w:t>
            </w:r>
          </w:p>
        </w:tc>
        <w:tc>
          <w:tcPr>
            <w:tcW w:w="1000" w:type="dxa"/>
            <w:vAlign w:val="bottom"/>
            <w:gridSpan w:val="2"/>
          </w:tcPr>
          <w:p>
            <w:pPr>
              <w:jc w:val="right"/>
              <w:ind w:right="379"/>
              <w:spacing w:after="0" w:line="142" w:lineRule="exact"/>
              <w:rPr>
                <w:sz w:val="20"/>
                <w:szCs w:val="20"/>
                <w:color w:val="auto"/>
              </w:rPr>
            </w:pPr>
            <w:r>
              <w:rPr>
                <w:rFonts w:ascii="Arial" w:cs="Arial" w:eastAsia="Arial" w:hAnsi="Arial"/>
                <w:sz w:val="13"/>
                <w:szCs w:val="13"/>
                <w:b w:val="1"/>
                <w:bCs w:val="1"/>
                <w:color w:val="auto"/>
              </w:rPr>
              <w:t>Deficit</w:t>
            </w:r>
          </w:p>
        </w:tc>
        <w:tc>
          <w:tcPr>
            <w:tcW w:w="88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33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6"/>
          </w:tcPr>
          <w:p>
            <w:pPr>
              <w:jc w:val="right"/>
              <w:ind w:right="219"/>
              <w:spacing w:after="0" w:line="142" w:lineRule="exact"/>
              <w:rPr>
                <w:sz w:val="20"/>
                <w:szCs w:val="20"/>
                <w:color w:val="auto"/>
              </w:rPr>
            </w:pPr>
            <w:r>
              <w:rPr>
                <w:rFonts w:ascii="Arial" w:cs="Arial" w:eastAsia="Arial" w:hAnsi="Arial"/>
                <w:sz w:val="13"/>
                <w:szCs w:val="13"/>
                <w:b w:val="1"/>
                <w:bCs w:val="1"/>
                <w:color w:val="auto"/>
                <w:w w:val="98"/>
              </w:rPr>
              <w:t>(In thousands, except share data)</w:t>
            </w: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36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2018</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158,180,833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2,467,323</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(3,280)</w:t>
            </w:r>
          </w:p>
        </w:tc>
        <w:tc>
          <w:tcPr>
            <w:tcW w:w="1000" w:type="dxa"/>
            <w:vAlign w:val="bottom"/>
            <w:gridSpan w:val="2"/>
            <w:shd w:val="clear" w:color="auto" w:fill="CFF0FC"/>
          </w:tcPr>
          <w:p>
            <w:pPr>
              <w:jc w:val="right"/>
              <w:ind w:right="139"/>
              <w:spacing w:after="0"/>
              <w:rPr>
                <w:sz w:val="20"/>
                <w:szCs w:val="20"/>
                <w:color w:val="auto"/>
              </w:rPr>
            </w:pPr>
            <w:r>
              <w:rPr>
                <w:rFonts w:ascii="Arial" w:cs="Arial" w:eastAsia="Arial" w:hAnsi="Arial"/>
                <w:sz w:val="14"/>
                <w:szCs w:val="14"/>
                <w:color w:val="auto"/>
                <w:w w:val="96"/>
              </w:rPr>
              <w:t>$ (1,185,368)</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(2,423,489)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(108,969)</w:t>
            </w:r>
          </w:p>
        </w:tc>
        <w:tc>
          <w:tcPr>
            <w:tcW w:w="20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1,171,285</w:t>
            </w:r>
          </w:p>
        </w:tc>
        <w:tc>
          <w:tcPr>
            <w:tcW w:w="60" w:type="dxa"/>
            <w:vAlign w:val="bottom"/>
            <w:shd w:val="clear" w:color="auto" w:fill="CFF0FC"/>
          </w:tcPr>
          <w:p>
            <w:pPr>
              <w:spacing w:after="0"/>
              <w:rPr>
                <w:sz w:val="14"/>
                <w:szCs w:val="14"/>
                <w:color w:val="auto"/>
              </w:rPr>
            </w:pPr>
          </w:p>
        </w:tc>
      </w:tr>
      <w:tr>
        <w:trPr>
          <w:trHeight w:val="143"/>
        </w:trPr>
        <w:tc>
          <w:tcPr>
            <w:tcW w:w="3360" w:type="dxa"/>
            <w:vAlign w:val="bottom"/>
          </w:tcPr>
          <w:p>
            <w:pPr>
              <w:ind w:left="260"/>
              <w:spacing w:after="0" w:line="143" w:lineRule="exact"/>
              <w:rPr>
                <w:sz w:val="20"/>
                <w:szCs w:val="20"/>
                <w:color w:val="auto"/>
              </w:rPr>
            </w:pPr>
            <w:r>
              <w:rPr>
                <w:rFonts w:ascii="Arial" w:cs="Arial" w:eastAsia="Arial" w:hAnsi="Arial"/>
                <w:sz w:val="14"/>
                <w:szCs w:val="14"/>
                <w:color w:val="auto"/>
                <w:w w:val="98"/>
              </w:rPr>
              <w:t>Issuance of ordinary shares under employee stock</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3360" w:type="dxa"/>
            <w:vAlign w:val="bottom"/>
          </w:tcPr>
          <w:p>
            <w:pPr>
              <w:ind w:left="38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656,352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10,547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10,554</w:t>
            </w:r>
          </w:p>
        </w:tc>
        <w:tc>
          <w:tcPr>
            <w:tcW w:w="60" w:type="dxa"/>
            <w:vAlign w:val="bottom"/>
          </w:tcPr>
          <w:p>
            <w:pPr>
              <w:spacing w:after="0"/>
              <w:rPr>
                <w:sz w:val="14"/>
                <w:szCs w:val="14"/>
                <w:color w:val="auto"/>
              </w:rPr>
            </w:pPr>
          </w:p>
        </w:tc>
      </w:tr>
      <w:tr>
        <w:trPr>
          <w:trHeight w:val="143"/>
        </w:trPr>
        <w:tc>
          <w:tcPr>
            <w:tcW w:w="33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Receipt of Alkermes' shares for the exercise of</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3360" w:type="dxa"/>
            <w:vAlign w:val="bottom"/>
            <w:shd w:val="clear" w:color="auto" w:fill="CFF0FC"/>
          </w:tcPr>
          <w:p>
            <w:pPr>
              <w:ind w:left="380"/>
              <w:spacing w:after="0" w:line="149" w:lineRule="exact"/>
              <w:rPr>
                <w:sz w:val="20"/>
                <w:szCs w:val="20"/>
                <w:color w:val="auto"/>
              </w:rPr>
            </w:pPr>
            <w:r>
              <w:rPr>
                <w:rFonts w:ascii="Arial" w:cs="Arial" w:eastAsia="Arial" w:hAnsi="Arial"/>
                <w:sz w:val="14"/>
                <w:szCs w:val="14"/>
                <w:color w:val="auto"/>
              </w:rPr>
              <w:t>stock options or to satisfy minimum tax</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3360" w:type="dxa"/>
            <w:vAlign w:val="bottom"/>
            <w:shd w:val="clear" w:color="auto" w:fill="CFF0FC"/>
          </w:tcPr>
          <w:p>
            <w:pPr>
              <w:ind w:left="380"/>
              <w:spacing w:after="0" w:line="149" w:lineRule="exact"/>
              <w:rPr>
                <w:sz w:val="20"/>
                <w:szCs w:val="20"/>
                <w:color w:val="auto"/>
              </w:rPr>
            </w:pPr>
            <w:r>
              <w:rPr>
                <w:rFonts w:ascii="Arial" w:cs="Arial" w:eastAsia="Arial" w:hAnsi="Arial"/>
                <w:sz w:val="14"/>
                <w:szCs w:val="14"/>
                <w:color w:val="auto"/>
              </w:rPr>
              <w:t>withholding obligations related to share-based</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740,689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(269,357)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(8,980)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(8,880)</w:t>
            </w:r>
          </w:p>
        </w:tc>
      </w:tr>
      <w:tr>
        <w:trPr>
          <w:trHeight w:val="162"/>
        </w:trPr>
        <w:tc>
          <w:tcPr>
            <w:tcW w:w="336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24,810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24,810</w:t>
            </w:r>
          </w:p>
        </w:tc>
        <w:tc>
          <w:tcPr>
            <w:tcW w:w="60" w:type="dxa"/>
            <w:vAlign w:val="bottom"/>
          </w:tcPr>
          <w:p>
            <w:pPr>
              <w:spacing w:after="0"/>
              <w:rPr>
                <w:sz w:val="14"/>
                <w:szCs w:val="14"/>
                <w:color w:val="auto"/>
              </w:rPr>
            </w:pPr>
          </w:p>
        </w:tc>
      </w:tr>
      <w:tr>
        <w:trPr>
          <w:trHeight w:val="143"/>
        </w:trPr>
        <w:tc>
          <w:tcPr>
            <w:tcW w:w="33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6"/>
              </w:rPr>
              <w:t>Unrealized gain on marketable securities, net of tax</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of $229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w:t>
            </w: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w:t>
            </w:r>
          </w:p>
        </w:tc>
        <w:tc>
          <w:tcPr>
            <w:tcW w:w="60" w:type="dxa"/>
            <w:vAlign w:val="bottom"/>
            <w:shd w:val="clear" w:color="auto" w:fill="CFF0FC"/>
          </w:tcPr>
          <w:p>
            <w:pPr>
              <w:spacing w:after="0"/>
              <w:rPr>
                <w:sz w:val="14"/>
                <w:szCs w:val="14"/>
                <w:color w:val="auto"/>
              </w:rPr>
            </w:pPr>
          </w:p>
        </w:tc>
      </w:tr>
      <w:tr>
        <w:trPr>
          <w:trHeight w:val="162"/>
        </w:trPr>
        <w:tc>
          <w:tcPr>
            <w:tcW w:w="33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(96,398)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(96,398)</w:t>
            </w:r>
          </w:p>
        </w:tc>
      </w:tr>
      <w:tr>
        <w:trPr>
          <w:trHeight w:val="155"/>
        </w:trPr>
        <w:tc>
          <w:tcPr>
            <w:tcW w:w="33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March 31, 2019</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159,577,874</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1,593</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2,502,773</w:t>
            </w:r>
          </w:p>
        </w:tc>
        <w:tc>
          <w:tcPr>
            <w:tcW w:w="2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(2,510)</w:t>
            </w: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 (1,281,766)</w:t>
            </w: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(2,692,846)</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(117,949)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1,102,141</w:t>
            </w:r>
          </w:p>
        </w:tc>
        <w:tc>
          <w:tcPr>
            <w:tcW w:w="60" w:type="dxa"/>
            <w:vAlign w:val="bottom"/>
            <w:tcBorders>
              <w:top w:val="single" w:sz="8" w:color="CFF0FC"/>
            </w:tcBorders>
            <w:shd w:val="clear" w:color="auto" w:fill="CFF0FC"/>
          </w:tcPr>
          <w:p>
            <w:pPr>
              <w:spacing w:after="0"/>
              <w:rPr>
                <w:sz w:val="13"/>
                <w:szCs w:val="13"/>
                <w:color w:val="auto"/>
              </w:rPr>
            </w:pPr>
          </w:p>
        </w:tc>
      </w:tr>
      <w:tr>
        <w:trPr>
          <w:trHeight w:val="143"/>
        </w:trPr>
        <w:tc>
          <w:tcPr>
            <w:tcW w:w="3360" w:type="dxa"/>
            <w:vAlign w:val="bottom"/>
          </w:tcPr>
          <w:p>
            <w:pPr>
              <w:ind w:left="260"/>
              <w:spacing w:after="0" w:line="143" w:lineRule="exact"/>
              <w:rPr>
                <w:sz w:val="20"/>
                <w:szCs w:val="20"/>
                <w:color w:val="auto"/>
              </w:rPr>
            </w:pPr>
            <w:r>
              <w:rPr>
                <w:rFonts w:ascii="Arial" w:cs="Arial" w:eastAsia="Arial" w:hAnsi="Arial"/>
                <w:sz w:val="14"/>
                <w:szCs w:val="14"/>
                <w:color w:val="auto"/>
                <w:w w:val="98"/>
              </w:rPr>
              <w:t>Issuance of ordinary shares under employee stock</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3360" w:type="dxa"/>
            <w:vAlign w:val="bottom"/>
          </w:tcPr>
          <w:p>
            <w:pPr>
              <w:ind w:left="38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197,953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2,052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2,054</w:t>
            </w:r>
          </w:p>
        </w:tc>
        <w:tc>
          <w:tcPr>
            <w:tcW w:w="60" w:type="dxa"/>
            <w:vAlign w:val="bottom"/>
          </w:tcPr>
          <w:p>
            <w:pPr>
              <w:spacing w:after="0"/>
              <w:rPr>
                <w:sz w:val="14"/>
                <w:szCs w:val="14"/>
                <w:color w:val="auto"/>
              </w:rPr>
            </w:pPr>
          </w:p>
        </w:tc>
      </w:tr>
      <w:tr>
        <w:trPr>
          <w:trHeight w:val="143"/>
        </w:trPr>
        <w:tc>
          <w:tcPr>
            <w:tcW w:w="33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Receipt of Alkermes' shares for the purchase of</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3360" w:type="dxa"/>
            <w:vAlign w:val="bottom"/>
            <w:shd w:val="clear" w:color="auto" w:fill="CFF0FC"/>
          </w:tcPr>
          <w:p>
            <w:pPr>
              <w:ind w:left="380"/>
              <w:spacing w:after="0" w:line="149" w:lineRule="exact"/>
              <w:rPr>
                <w:sz w:val="20"/>
                <w:szCs w:val="20"/>
                <w:color w:val="auto"/>
              </w:rPr>
            </w:pPr>
            <w:r>
              <w:rPr>
                <w:rFonts w:ascii="Arial" w:cs="Arial" w:eastAsia="Arial" w:hAnsi="Arial"/>
                <w:sz w:val="14"/>
                <w:szCs w:val="14"/>
                <w:color w:val="auto"/>
              </w:rPr>
              <w:t>stock options or to satisfy minimum tax</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3360" w:type="dxa"/>
            <w:vAlign w:val="bottom"/>
            <w:shd w:val="clear" w:color="auto" w:fill="CFF0FC"/>
          </w:tcPr>
          <w:p>
            <w:pPr>
              <w:ind w:left="380"/>
              <w:spacing w:after="0" w:line="149" w:lineRule="exact"/>
              <w:rPr>
                <w:sz w:val="20"/>
                <w:szCs w:val="20"/>
                <w:color w:val="auto"/>
              </w:rPr>
            </w:pPr>
            <w:r>
              <w:rPr>
                <w:rFonts w:ascii="Arial" w:cs="Arial" w:eastAsia="Arial" w:hAnsi="Arial"/>
                <w:sz w:val="14"/>
                <w:szCs w:val="14"/>
                <w:color w:val="auto"/>
              </w:rPr>
              <w:t>withholding obligations related to share-based</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20,289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(6,397)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(194)</w:t>
            </w:r>
          </w:p>
        </w:tc>
      </w:tr>
      <w:tr>
        <w:trPr>
          <w:trHeight w:val="162"/>
        </w:trPr>
        <w:tc>
          <w:tcPr>
            <w:tcW w:w="336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28,261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28,261</w:t>
            </w:r>
          </w:p>
        </w:tc>
        <w:tc>
          <w:tcPr>
            <w:tcW w:w="60" w:type="dxa"/>
            <w:vAlign w:val="bottom"/>
          </w:tcPr>
          <w:p>
            <w:pPr>
              <w:spacing w:after="0"/>
              <w:rPr>
                <w:sz w:val="14"/>
                <w:szCs w:val="14"/>
                <w:color w:val="auto"/>
              </w:rPr>
            </w:pPr>
          </w:p>
        </w:tc>
      </w:tr>
      <w:tr>
        <w:trPr>
          <w:trHeight w:val="143"/>
        </w:trPr>
        <w:tc>
          <w:tcPr>
            <w:tcW w:w="33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6"/>
              </w:rPr>
              <w:t>Unrealized gain on marketable securities, net of tax</w:t>
            </w: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3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of $265</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896</w:t>
            </w: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896</w:t>
            </w:r>
          </w:p>
        </w:tc>
        <w:tc>
          <w:tcPr>
            <w:tcW w:w="60" w:type="dxa"/>
            <w:vAlign w:val="bottom"/>
            <w:shd w:val="clear" w:color="auto" w:fill="CFF0FC"/>
          </w:tcPr>
          <w:p>
            <w:pPr>
              <w:spacing w:after="0"/>
              <w:rPr>
                <w:sz w:val="14"/>
                <w:szCs w:val="14"/>
                <w:color w:val="auto"/>
              </w:rPr>
            </w:pPr>
          </w:p>
        </w:tc>
      </w:tr>
      <w:tr>
        <w:trPr>
          <w:trHeight w:val="162"/>
        </w:trPr>
        <w:tc>
          <w:tcPr>
            <w:tcW w:w="33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(41,990)</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(41,990)</w:t>
            </w:r>
          </w:p>
        </w:tc>
      </w:tr>
      <w:tr>
        <w:trPr>
          <w:trHeight w:val="156"/>
        </w:trPr>
        <w:tc>
          <w:tcPr>
            <w:tcW w:w="33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June 30, 2019</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159,796,116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2,533,086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 (1,323,756</w:t>
            </w:r>
          </w:p>
        </w:tc>
        <w:tc>
          <w:tcPr>
            <w:tcW w:w="22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Arial" w:cs="Arial" w:eastAsia="Arial" w:hAnsi="Arial"/>
                <w:sz w:val="8"/>
                <w:szCs w:val="8"/>
                <w:color w:val="auto"/>
                <w:w w:val="73"/>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(2,699,243)</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(118,143</w:t>
            </w:r>
          </w:p>
        </w:tc>
        <w:tc>
          <w:tcPr>
            <w:tcW w:w="14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1,091,168</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62" w:lineRule="exact"/>
        <w:rPr>
          <w:sz w:val="20"/>
          <w:szCs w:val="20"/>
          <w:color w:val="auto"/>
        </w:rPr>
      </w:pPr>
    </w:p>
    <w:p>
      <w:pPr>
        <w:ind w:right="100" w:firstLine="416"/>
        <w:spacing w:after="0" w:line="296" w:lineRule="auto"/>
        <w:rPr>
          <w:sz w:val="20"/>
          <w:szCs w:val="20"/>
          <w:color w:val="auto"/>
        </w:rPr>
      </w:pPr>
      <w:r>
        <w:rPr>
          <w:rFonts w:ascii="Arial" w:cs="Arial" w:eastAsia="Arial" w:hAnsi="Arial"/>
          <w:sz w:val="16"/>
          <w:szCs w:val="16"/>
          <w:color w:val="auto"/>
        </w:rPr>
        <w:t>Alkermes plc is a fully 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Alkermes has a diversified portfolio of marketed products focused on CNS disorders such as addiction and schizophrenia and a pipeline of product candidates in the fields of neuroscience and oncology. Headquartered in Dublin, Ireland, the Company has a research and development (“R&amp;D”) center in Waltham, Massachusetts; an R&amp;D and manufacturing facility in Athlone, Ireland; and a manufacturing facility in Wilmington, Ohio.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The accompanying condensed consolidated financial statements of the Company for the three and six months ended June 30, 2020 and 2019 are unaudited and have been prepared on a basis substantially consistent with the audited financial statements for the year ended December 31, 2019. The year-end condensed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which are of a normal recurring nature, that are necessary to state fairly the results of operations for the reported periods.</w:t>
      </w:r>
    </w:p>
    <w:p>
      <w:pPr>
        <w:spacing w:after="0" w:line="152" w:lineRule="exact"/>
        <w:rPr>
          <w:sz w:val="20"/>
          <w:szCs w:val="20"/>
          <w:color w:val="auto"/>
        </w:rPr>
      </w:pPr>
    </w:p>
    <w:p>
      <w:pPr>
        <w:ind w:right="80" w:firstLine="416"/>
        <w:spacing w:after="0" w:line="263"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of the Company, which are contained in the Annual Report. The results of the Company’s operations for any interim period are not necessarily indicative of the results of the Company’s operations for any other interim period or for any full fiscal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85" w:lineRule="exact"/>
        <w:rPr>
          <w:sz w:val="20"/>
          <w:szCs w:val="20"/>
          <w:color w:val="auto"/>
        </w:rPr>
      </w:pPr>
    </w:p>
    <w:p>
      <w:pPr>
        <w:ind w:right="400" w:firstLine="416"/>
        <w:spacing w:after="0" w:line="263" w:lineRule="auto"/>
        <w:rPr>
          <w:sz w:val="20"/>
          <w:szCs w:val="20"/>
          <w:color w:val="auto"/>
        </w:rPr>
      </w:pPr>
      <w:r>
        <w:rPr>
          <w:rFonts w:ascii="Arial" w:cs="Arial" w:eastAsia="Arial" w:hAnsi="Arial"/>
          <w:sz w:val="18"/>
          <w:szCs w:val="18"/>
          <w:color w:val="auto"/>
        </w:rPr>
        <w:t xml:space="preserve">The condensed consolidated financial statements include the accounts of Alkermes plc and its wholly-owned subsidiaries as disclosed in Note 2,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in the “Notes to Consolidated Financial Statements” accompanying the Annual Report.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and transactions have been eliminated.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98" w:lineRule="exact"/>
        <w:rPr>
          <w:sz w:val="20"/>
          <w:szCs w:val="20"/>
          <w:color w:val="auto"/>
        </w:rPr>
      </w:pPr>
    </w:p>
    <w:p>
      <w:pPr>
        <w:ind w:right="100" w:firstLine="416"/>
        <w:spacing w:after="0" w:line="291" w:lineRule="auto"/>
        <w:rPr>
          <w:sz w:val="20"/>
          <w:szCs w:val="20"/>
          <w:color w:val="auto"/>
        </w:rPr>
      </w:pPr>
      <w:r>
        <w:rPr>
          <w:rFonts w:ascii="Arial" w:cs="Arial" w:eastAsia="Arial" w:hAnsi="Arial"/>
          <w:sz w:val="16"/>
          <w:szCs w:val="16"/>
          <w:color w:val="auto"/>
        </w:rPr>
        <w:t>The preparation of the Company’s condensed consolidated financial statements in accordance with GAAP requires management to make estimates, judgments and assumptions that may affect the reported amounts of assets, liabilities, revenues and expenses, and related disclosure of contingent assets and liabilities. On an ongoing basis, the Company evaluates its estimates, judgments and methodologies, including those related to revenue from contracts with its customers and related allowances, impairment and amortization of intangibles and long-lived assets, share-based compensation, income taxes including the valuation allowance for deferred tax assets, valuation of investments, contingent consideration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85" w:lineRule="exact"/>
        <w:rPr>
          <w:sz w:val="20"/>
          <w:szCs w:val="20"/>
          <w:color w:val="auto"/>
        </w:rPr>
      </w:pPr>
    </w:p>
    <w:p>
      <w:pPr>
        <w:ind w:right="40" w:firstLine="416"/>
        <w:spacing w:after="0" w:line="263" w:lineRule="auto"/>
        <w:rPr>
          <w:sz w:val="20"/>
          <w:szCs w:val="20"/>
          <w:color w:val="auto"/>
        </w:rPr>
      </w:pPr>
      <w:r>
        <w:rPr>
          <w:rFonts w:ascii="Arial" w:cs="Arial" w:eastAsia="Arial" w:hAnsi="Arial"/>
          <w:sz w:val="18"/>
          <w:szCs w:val="18"/>
          <w:color w:val="auto"/>
        </w:rPr>
        <w:t>The Company operates as one business segment, which is the business of developing, manufacturing and commercializing medicines. The Company’s chief decision maker, the Chief Executive Officer and Chairman of the Company’s board of directors, reviews the Company’s operating results on an aggregate basis and manages the Company’s operations as a single operating unit.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85"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In March 2020, COVID-19 was declared a global pandemic by the World Health Organization. To date, COVID-19 has surfaced in nearly all regions around the world and resulted in travel restrictions and business slowdowns or shutdowns in affected areas. Almost all U.S. states, many local jurisdictions and countries around the world have issued “shelter-in-place” orders, quarantines, executive orders and similar government orders, and recommendations for their residents to control the spread of COVID-19. Such orders, restrictions and recommendations, and the perception that additional orders, restrictions or recommendations could occur, have resulted in widespread closures of businesses, work stoppages, slowdowns and delays, work-from-home policies and travel restrictions, among other effects. Although some local, state and national governments have begun to relax “shelter-in-place” orders, social distancing requirements and other restrictive measures, and while the Company has begun to observe, and expects to continue to observe, a gradual normalization in patient and healthcare provider practices, the impacts and extent of the relaxing of such restrictions and the expected normalization of such practices are not yet known, and it remains difficult to predict the nature and extent of the future impacts that the pandemic will have on the Company’s business.</w:t>
      </w:r>
    </w:p>
    <w:p>
      <w:pPr>
        <w:spacing w:after="0" w:line="145"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The Company continues to closely monitor and rapidly respond to the ongoing impact of COVID-19 on its employees, communities and business operations. Due to numerous uncertainties surrounding the ongoing COVID-19 pandemic, the Company is unable to predict the extent of the impact that the COVID-19 pandemic may continue to have on the Company’s future financial condition and operating results. These uncertainties include, among other things, the ultimate severity and duration of the pandemic; governmental, business or other actions that have been, or will be, taken in response to the pandemic, including continued restrictions on travel and mobility, business closures and operating restrictions, and imposition of social distancing measures; impacts of the pandemic on the vendors or distribution channels in the Company’s supply chain and on the Company’s ability to continue to manufacture its products; impacts of the pandemic on the conduct of the Company’s clinical trials, including with respect to enrollment rates, availability of investigators and clinical trial sites, and monitoring of data; impacts of the pandemic on healthcare systems that serve people living with opioid dependence, alcohol dependence and schizophrenia; impacts of the pandemic on the regulatory agencies with which the Company interacts in the development, review, approval and commercialization of its medicines; impacts of the pandemic on reimbursement for the Company’s products, including the Company’s Medicaid rebate liability, and for services related to the use of its products; and impacts of the pandemic on the U.S., Irish and global economies more broadly.</w:t>
      </w:r>
    </w:p>
    <w:p>
      <w:pPr>
        <w:spacing w:after="0" w:line="152" w:lineRule="exact"/>
        <w:rPr>
          <w:sz w:val="20"/>
          <w:szCs w:val="20"/>
          <w:color w:val="auto"/>
        </w:rPr>
      </w:pPr>
    </w:p>
    <w:p>
      <w:pPr>
        <w:ind w:right="20" w:firstLine="416"/>
        <w:spacing w:after="0" w:line="257" w:lineRule="auto"/>
        <w:rPr>
          <w:sz w:val="20"/>
          <w:szCs w:val="20"/>
          <w:color w:val="auto"/>
        </w:rPr>
      </w:pPr>
      <w:r>
        <w:rPr>
          <w:rFonts w:ascii="Arial" w:cs="Arial" w:eastAsia="Arial" w:hAnsi="Arial"/>
          <w:sz w:val="18"/>
          <w:szCs w:val="18"/>
          <w:color w:val="auto"/>
        </w:rPr>
        <w:t>The Company relies upon third parties for many aspects of its business, including the provision of goods and services related to the manufacture of its clinical products and its, and its partners’, marketed products, the conduct of its clinical trials, and the sale of marketed products from which the Company receives manufacturing and royalty revenue. Any prolonged material disruption to the third parties on which the Company relies could negatively impact the Company’s ability to conduct business in the manner and on the timelines presently planned, which could have a material adverse impact on the Company’s business, results of operations and financial condition.</w:t>
      </w:r>
    </w:p>
    <w:p>
      <w:pPr>
        <w:spacing w:after="0" w:line="147" w:lineRule="exact"/>
        <w:rPr>
          <w:sz w:val="20"/>
          <w:szCs w:val="20"/>
          <w:color w:val="auto"/>
        </w:rPr>
      </w:pPr>
    </w:p>
    <w:p>
      <w:pPr>
        <w:ind w:right="60" w:firstLine="416"/>
        <w:spacing w:after="0" w:line="257" w:lineRule="auto"/>
        <w:rPr>
          <w:sz w:val="20"/>
          <w:szCs w:val="20"/>
          <w:color w:val="auto"/>
        </w:rPr>
      </w:pPr>
      <w:r>
        <w:rPr>
          <w:rFonts w:ascii="Arial" w:cs="Arial" w:eastAsia="Arial" w:hAnsi="Arial"/>
          <w:sz w:val="18"/>
          <w:szCs w:val="18"/>
          <w:color w:val="auto"/>
        </w:rPr>
        <w:t>The marketed products from which the Company derives revenue, including manufacturing and royalty revenue, are primarily injectable medications administered by healthcare professionals. Given developments that have transpired to date, and may continue to transpire, in response to the pandemic, including the implementation of “shelter-in-place” policies, social distancing requirements and other restrictive measures, commercial sales of these marketed products have been adversely impacted to varying degrees and the Company expects commercial sales of these marketed products to continue to be adversely impacted while the pandemic persists.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As it relates to the Company’s proprietary marketed products, during the three months ended June 30, 2020, the Company saw the commercial impact of the COVID-19 pandemic, particularly with respect to VIVITROL units sold, which decreased 9% compared to the three months ended March 31, 2020. This decrease was primarily due to the impacts of COVID-19 on patient practices and COVID-19-related limitations on access to healthcare provider facilities where VIVITROL could be administered and related services could be provided. ARISTADA gross sales during the three months ended June 30, 2020 increased 11% compared to the three months ended March 31, 2020, despite COVID-19-related impacts on access to healthcare provider facilities and patient flow. During the three months ended June 30, 2020, the Company took actions to support uninterrupted access to its proprietary marketed products, including through expansion of its injection-site network, and in June, began to see some stabilization in VIVITROL units sold; however, the Company currently expects commercial sales of its marketed products, particularly VIVITROL, to continue to be impacted by the COVID-19 pandemic over the next few quarters, including, for VIVITROL, as a result of the impact that the decrease in patient volume during the three months ended June 30, 2020 is expected to have on overall unit demand in the second half of 2020.</w:t>
      </w:r>
    </w:p>
    <w:p>
      <w:pPr>
        <w:spacing w:after="0" w:line="131" w:lineRule="exact"/>
        <w:rPr>
          <w:sz w:val="20"/>
          <w:szCs w:val="20"/>
          <w:color w:val="auto"/>
        </w:rPr>
      </w:pPr>
    </w:p>
    <w:p>
      <w:pPr>
        <w:ind w:firstLine="416"/>
        <w:spacing w:after="0" w:line="246" w:lineRule="auto"/>
        <w:rPr>
          <w:sz w:val="20"/>
          <w:szCs w:val="20"/>
          <w:color w:val="auto"/>
        </w:rPr>
      </w:pPr>
      <w:r>
        <w:rPr>
          <w:rFonts w:ascii="Arial" w:cs="Arial" w:eastAsia="Arial" w:hAnsi="Arial"/>
          <w:sz w:val="17"/>
          <w:szCs w:val="17"/>
          <w:color w:val="auto"/>
        </w:rPr>
        <w:t>The Company continues to operate its manufacturing facilities and supply its medicines. While the Company continues to conduct R&amp;D activities, including its ongoing clinical trials, the COVID-19 pandemic has impacted, and may continue to impact, the timelines of certain of its early-stage discovery efforts and clinical trials. The Company is working with its internal teams, its clinical investigators, R&amp;D vendors and critical supply chain vendors to continually assess, and mitigate, any potential adverse impacts of COVID-19 on its manufacturing operations and R&amp;D activities.</w:t>
      </w:r>
    </w:p>
    <w:p>
      <w:pPr>
        <w:spacing w:after="0" w:line="130" w:lineRule="exact"/>
        <w:rPr>
          <w:sz w:val="20"/>
          <w:szCs w:val="20"/>
          <w:color w:val="auto"/>
        </w:rPr>
      </w:pPr>
    </w:p>
    <w:p>
      <w:pPr>
        <w:ind w:right="60" w:firstLine="416"/>
        <w:spacing w:after="0" w:line="231" w:lineRule="auto"/>
        <w:rPr>
          <w:sz w:val="20"/>
          <w:szCs w:val="20"/>
          <w:color w:val="auto"/>
        </w:rPr>
      </w:pPr>
      <w:r>
        <w:rPr>
          <w:rFonts w:ascii="Arial" w:cs="Arial" w:eastAsia="Arial" w:hAnsi="Arial"/>
          <w:sz w:val="18"/>
          <w:szCs w:val="18"/>
          <w:color w:val="auto"/>
        </w:rPr>
        <w:t>Despite disruptions to the Company’s business operations and the business operations of third parties on which it relies, the COVID-19 pandemic has not significantly impacted the Company’s operating results and financial condition to date, except with relation to net sales of VIVITROL, as noted above. These items are discussed in greater detail later in the “Results of Operations” section in “Part I, Item 2—Management’s Discussion and Analysis of Financial Condition and Results of Operations” in this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85" w:lineRule="exact"/>
        <w:rPr>
          <w:sz w:val="20"/>
          <w:szCs w:val="20"/>
          <w:color w:val="auto"/>
        </w:rPr>
      </w:pPr>
    </w:p>
    <w:p>
      <w:pPr>
        <w:ind w:right="280" w:firstLine="416"/>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08" w:lineRule="exact"/>
        <w:rPr>
          <w:sz w:val="20"/>
          <w:szCs w:val="20"/>
          <w:color w:val="auto"/>
        </w:rPr>
      </w:pPr>
    </w:p>
    <w:p>
      <w:pPr>
        <w:ind w:right="40" w:firstLine="416"/>
        <w:spacing w:after="0" w:line="286" w:lineRule="auto"/>
        <w:rPr>
          <w:sz w:val="20"/>
          <w:szCs w:val="20"/>
          <w:color w:val="auto"/>
        </w:rPr>
      </w:pPr>
      <w:r>
        <w:rPr>
          <w:rFonts w:ascii="Arial" w:cs="Arial" w:eastAsia="Arial" w:hAnsi="Arial"/>
          <w:sz w:val="16"/>
          <w:szCs w:val="16"/>
          <w:color w:val="auto"/>
        </w:rPr>
        <w:t xml:space="preserve">In June 2016, the FASB issued Accounting Standards Update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to provide financial statement users with more decision-useful information about the expected credit losses on financial instruments and other commitments to extend credit held by a reporting entity at each reporting date. To achieve this objective, the amendments in this ASU replace the incurred loss impairment methodology in current GAAP with a methodology that reflects expected credit losses and requires consideration of a broader range of reasonable and supportable information to inform credit loss estimates. This standard primarily impacts how firms account for credit losses and requires an impairment model, known as the current expected credit loss model, that is based on expected losses rather than incurred losses. Companies are required to carry an allowance for expected credit losses for most debt instruments (except those carried at fair value), trade receivables, lease receivables, reinsurance receivables, financial guarantee contracts and loan commitments. For available-for-sale debt securities with unrealized losses, the standard now requires allowances to be recorded instead of reducing the amortized cost of the investment. The standard limits the amount of credit losses to be recognized for available-for-sale debt securities to the amount by which the carrying value exceeds fair value and requires the reversal of previous recognized credit losses if fair value increases. The Company’s investment portfolio primarily consists of available-for-sale securities carried at fair value. Further, the Company’s trade receivables do not have abnormally long terms and the Company has historically rarely written off trade receivables. The Company adopted this standard on January 1, 2020 and the adoption of this standard did not have a material impact on the Company’s consolidated financial statements.</w:t>
      </w:r>
    </w:p>
    <w:p>
      <w:pPr>
        <w:spacing w:after="0" w:line="147"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xml:space="preserve">, which aims to improve the effectiveness of fair value measurement disclosures. The amendments in this ASU modify the disclosure requirements on fair value measurements based on the concepts in FASB Concepts Statement, </w:t>
      </w:r>
      <w:r>
        <w:rPr>
          <w:rFonts w:ascii="Arial" w:cs="Arial" w:eastAsia="Arial" w:hAnsi="Arial"/>
          <w:sz w:val="18"/>
          <w:szCs w:val="18"/>
          <w:i w:val="1"/>
          <w:iCs w:val="1"/>
          <w:color w:val="auto"/>
        </w:rPr>
        <w:t>Conceptual Framework for Financial Reporting - Chapter 8: Notes to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including the consideration of costs and benefits. The Company adopted this standard on January 1, 2020 and the adoption of this standard had no impact on the Company’s financial statement disclosures.</w:t>
      </w:r>
    </w:p>
    <w:p>
      <w:pPr>
        <w:spacing w:after="0" w:line="130" w:lineRule="exact"/>
        <w:rPr>
          <w:sz w:val="20"/>
          <w:szCs w:val="20"/>
          <w:color w:val="auto"/>
        </w:rPr>
      </w:pPr>
    </w:p>
    <w:p>
      <w:pPr>
        <w:ind w:right="40" w:firstLine="416"/>
        <w:spacing w:after="0" w:line="272"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 Computing Arrangement That</w:t>
      </w:r>
      <w:r>
        <w:rPr>
          <w:rFonts w:ascii="Arial" w:cs="Arial" w:eastAsia="Arial" w:hAnsi="Arial"/>
          <w:sz w:val="17"/>
          <w:szCs w:val="17"/>
          <w:color w:val="auto"/>
        </w:rPr>
        <w:t xml:space="preserve"> </w:t>
      </w:r>
      <w:r>
        <w:rPr>
          <w:rFonts w:ascii="Arial" w:cs="Arial" w:eastAsia="Arial" w:hAnsi="Arial"/>
          <w:sz w:val="17"/>
          <w:szCs w:val="17"/>
          <w:i w:val="1"/>
          <w:iCs w:val="1"/>
          <w:color w:val="auto"/>
        </w:rPr>
        <w:t>Is a Service Contract</w:t>
      </w:r>
      <w:r>
        <w:rPr>
          <w:rFonts w:ascii="Arial" w:cs="Arial" w:eastAsia="Arial" w:hAnsi="Arial"/>
          <w:sz w:val="17"/>
          <w:szCs w:val="17"/>
          <w:color w:val="auto"/>
        </w:rPr>
        <w:t>, which aligns the requirements for capitalizing implementation costs incurred in a hosting arrangement that is a service contract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requirements for capitalizing implementation costs incurred to develop or obtain internal-use software (and hosting arrangements that include an internal-use software license). This ASU also requires the entity to expense the capitalized implementation costs of a hosting arrangement that is a service contract over the term of the hosting arrangement, which includes reasonably certain renewals. The Company adopted this standard on January 1, 2020 using the prospective transition method, whereby it applied the requirements to any eligible costs incurred after adoption. The Company has not incurred any material eligible costs during the six months ended June 30, 2020.</w:t>
      </w:r>
    </w:p>
    <w:p>
      <w:pPr>
        <w:spacing w:after="0" w:line="137" w:lineRule="exact"/>
        <w:rPr>
          <w:sz w:val="20"/>
          <w:szCs w:val="20"/>
          <w:color w:val="auto"/>
        </w:rPr>
      </w:pPr>
    </w:p>
    <w:p>
      <w:pPr>
        <w:ind w:right="200" w:firstLine="416"/>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which simplifies the accounting for income taxes by removing certain exceptions to the general principles of Accounting Standards Codification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The amendments also improve consistent application of, and simplify, GAAP for other areas of Topic 740 by clarifying and amending existing guidance. The Company adopted this standard on January 1, 2020 and the adoption of this standard had no material impact on the Company’s consolidated financial statements.</w:t>
      </w:r>
    </w:p>
    <w:p>
      <w:pPr>
        <w:spacing w:after="0" w:line="16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which provides optional guidance for a limited period of time to ease the potential burden in accounting for (or recognizing the effects of) reference rate reform on financial reporting. This amendment applies to all entities, subject to meeting certain criteria, that have contracts, hedging relationships, and other transactions that reference LIBOR or another reference rate expected to be discontinued because of reference rate reform. This ASU became effective immediately and may be applied prospectively to contract modifications made and hedging relationships entered into or evaluated on or before December 31, 2022. The Company is currently assessing the impact that this ASU will have on its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189" w:lineRule="exact"/>
        <w:rPr>
          <w:sz w:val="20"/>
          <w:szCs w:val="20"/>
          <w:color w:val="auto"/>
        </w:rPr>
      </w:pPr>
    </w:p>
    <w:p>
      <w:pPr>
        <w:ind w:right="100" w:firstLine="416"/>
        <w:spacing w:after="0" w:line="275" w:lineRule="auto"/>
        <w:rPr>
          <w:sz w:val="20"/>
          <w:szCs w:val="20"/>
          <w:color w:val="auto"/>
        </w:rPr>
      </w:pPr>
      <w:r>
        <w:rPr>
          <w:rFonts w:ascii="Arial" w:cs="Arial" w:eastAsia="Arial" w:hAnsi="Arial"/>
          <w:sz w:val="17"/>
          <w:szCs w:val="17"/>
          <w:color w:val="auto"/>
        </w:rPr>
        <w:t xml:space="preserve">Under FASB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the Company recognizes revenues when its customer obtains control of promised goods or services, in an amount that reflects the consideration the Company expects to receive in exchange for those goods or services. The Company recognizes revenues following the five-step model prescribed under Topic 606: (i) identify contract(s) with a customer; (ii) identify the performance obligation(s) in the contract(s); (iii) determine the transaction price; (iv) allocate the transaction price to the performance obligation(s) in the contract(s); and (v) recognize revenues when (or as) the Company satisfies the performance obligation(s).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Product Sales, Net</w:t>
      </w:r>
    </w:p>
    <w:p>
      <w:pPr>
        <w:spacing w:after="0" w:line="198" w:lineRule="exact"/>
        <w:rPr>
          <w:sz w:val="20"/>
          <w:szCs w:val="20"/>
          <w:color w:val="auto"/>
        </w:rPr>
      </w:pPr>
    </w:p>
    <w:p>
      <w:pPr>
        <w:ind w:right="200" w:firstLine="416"/>
        <w:spacing w:after="0" w:line="263" w:lineRule="auto"/>
        <w:rPr>
          <w:sz w:val="20"/>
          <w:szCs w:val="20"/>
          <w:color w:val="auto"/>
        </w:rPr>
      </w:pPr>
      <w:r>
        <w:rPr>
          <w:rFonts w:ascii="Arial" w:cs="Arial" w:eastAsia="Arial" w:hAnsi="Arial"/>
          <w:sz w:val="18"/>
          <w:szCs w:val="18"/>
          <w:color w:val="auto"/>
        </w:rPr>
        <w:t>The Company’s product sales, net consist of sales of VIVITROL and ARISTADA (together with ARISTADA INITIO) in the U.S., primarily to wholesalers, specialty distributors and specialty pharmacies. Product sales, net are recognized when the customer obtains control of the product, which is when the product has been received by the customer.</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and six months ended June 30, 2020 and 2019, the Company recorded product sales, net,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40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20" w:type="dxa"/>
            <w:vAlign w:val="bottom"/>
            <w:tcBorders>
              <w:bottom w:val="single" w:sz="8" w:color="CFF0FC"/>
            </w:tcBorders>
            <w:vMerge w:val="continue"/>
          </w:tcPr>
          <w:p>
            <w:pPr>
              <w:spacing w:after="0"/>
              <w:rPr>
                <w:sz w:val="12"/>
                <w:szCs w:val="12"/>
                <w:color w:val="auto"/>
              </w:rPr>
            </w:pPr>
          </w:p>
        </w:tc>
        <w:tc>
          <w:tcPr>
            <w:tcW w:w="172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VIVITROL</w:t>
            </w:r>
          </w:p>
        </w:tc>
        <w:tc>
          <w:tcPr>
            <w:tcW w:w="17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71,646</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88,199</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150,415</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157,382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ARISTADA/ARISTADA INITIO</w:t>
            </w:r>
          </w:p>
        </w:tc>
        <w:tc>
          <w:tcPr>
            <w:tcW w:w="17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58,769</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48,436</w:t>
            </w:r>
          </w:p>
        </w:tc>
        <w:tc>
          <w:tcPr>
            <w:tcW w:w="2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109,726</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78,734</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2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product sales, net</w:t>
            </w:r>
          </w:p>
        </w:tc>
        <w:tc>
          <w:tcPr>
            <w:tcW w:w="17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130,415</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136,635</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260,141</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236,116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2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Manufacturing and Royalty Revenues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three and six months ended June 30, 2020 and 2019, the Company recorded manufacturing and royalty revenues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7"/>
          </w:tcPr>
          <w:p>
            <w:pPr>
              <w:jc w:val="center"/>
              <w:ind w:right="74"/>
              <w:spacing w:after="0"/>
              <w:rPr>
                <w:sz w:val="20"/>
                <w:szCs w:val="20"/>
                <w:color w:val="auto"/>
              </w:rPr>
            </w:pPr>
            <w:r>
              <w:rPr>
                <w:rFonts w:ascii="Arial" w:cs="Arial" w:eastAsia="Arial" w:hAnsi="Arial"/>
                <w:sz w:val="14"/>
                <w:szCs w:val="14"/>
                <w:b w:val="1"/>
                <w:bCs w:val="1"/>
                <w:color w:val="auto"/>
                <w:w w:val="93"/>
              </w:rPr>
              <w:t>Three Months Ended June 30, 2020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339"/>
              <w:spacing w:after="0"/>
              <w:rPr>
                <w:sz w:val="20"/>
                <w:szCs w:val="20"/>
                <w:color w:val="auto"/>
              </w:rPr>
            </w:pPr>
            <w:r>
              <w:rPr>
                <w:rFonts w:ascii="Arial" w:cs="Arial" w:eastAsia="Arial" w:hAnsi="Arial"/>
                <w:sz w:val="14"/>
                <w:szCs w:val="14"/>
                <w:b w:val="1"/>
                <w:bCs w:val="1"/>
                <w:color w:val="auto"/>
              </w:rPr>
              <w:t>Six Months Ended June 30, 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0"/>
                <w:szCs w:val="10"/>
                <w:color w:val="auto"/>
              </w:rPr>
            </w:pPr>
          </w:p>
        </w:tc>
        <w:tc>
          <w:tcPr>
            <w:tcW w:w="94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Manufacturing</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37"/>
              <w:spacing w:after="0" w:line="115" w:lineRule="exact"/>
              <w:rPr>
                <w:sz w:val="20"/>
                <w:szCs w:val="20"/>
                <w:color w:val="auto"/>
              </w:rPr>
            </w:pPr>
            <w:r>
              <w:rPr>
                <w:rFonts w:ascii="Arial" w:cs="Arial" w:eastAsia="Arial" w:hAnsi="Arial"/>
                <w:sz w:val="13"/>
                <w:szCs w:val="13"/>
                <w:b w:val="1"/>
                <w:bCs w:val="1"/>
                <w:color w:val="auto"/>
              </w:rPr>
              <w:t>Royalty</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0"/>
                <w:szCs w:val="10"/>
                <w:color w:val="auto"/>
              </w:rPr>
            </w:pPr>
          </w:p>
        </w:tc>
        <w:tc>
          <w:tcPr>
            <w:tcW w:w="116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Manufacturing</w:t>
            </w:r>
          </w:p>
        </w:tc>
        <w:tc>
          <w:tcPr>
            <w:tcW w:w="720" w:type="dxa"/>
            <w:vAlign w:val="bottom"/>
          </w:tcPr>
          <w:p>
            <w:pPr>
              <w:ind w:left="120"/>
              <w:spacing w:after="0" w:line="115" w:lineRule="exact"/>
              <w:rPr>
                <w:sz w:val="20"/>
                <w:szCs w:val="20"/>
                <w:color w:val="auto"/>
              </w:rPr>
            </w:pPr>
            <w:r>
              <w:rPr>
                <w:rFonts w:ascii="Arial" w:cs="Arial" w:eastAsia="Arial" w:hAnsi="Arial"/>
                <w:sz w:val="13"/>
                <w:szCs w:val="13"/>
                <w:b w:val="1"/>
                <w:bCs w:val="1"/>
                <w:color w:val="auto"/>
              </w:rPr>
              <w:t>Royalty</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180" w:type="dxa"/>
            <w:vAlign w:val="bottom"/>
            <w:tcBorders>
              <w:bottom w:val="single" w:sz="8" w:color="CFF0FC"/>
            </w:tcBorders>
            <w:vMerge w:val="continue"/>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Revenue</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Revenue</w:t>
            </w:r>
          </w:p>
        </w:tc>
        <w:tc>
          <w:tcPr>
            <w:tcW w:w="22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Revenue</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INVEGA SUSTENNA/XEPLION &amp; INVEGA</w:t>
            </w:r>
          </w:p>
        </w:tc>
        <w:tc>
          <w:tcPr>
            <w:tcW w:w="900" w:type="dxa"/>
            <w:vAlign w:val="bottom"/>
            <w:gridSpan w:val="2"/>
            <w:vMerge w:val="restart"/>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69,385</w:t>
            </w:r>
          </w:p>
        </w:tc>
        <w:tc>
          <w:tcPr>
            <w:tcW w:w="42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69,385</w:t>
            </w:r>
          </w:p>
        </w:tc>
        <w:tc>
          <w:tcPr>
            <w:tcW w:w="22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4"/>
              </w:rPr>
              <w:t>$ 124,312</w:t>
            </w:r>
          </w:p>
        </w:tc>
        <w:tc>
          <w:tcPr>
            <w:tcW w:w="94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$ 124,312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TRINZA/TREVICTA</w:t>
            </w:r>
          </w:p>
        </w:tc>
        <w:tc>
          <w:tcPr>
            <w:tcW w:w="900" w:type="dxa"/>
            <w:vAlign w:val="bottom"/>
            <w:gridSpan w:val="2"/>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340" w:type="dxa"/>
            <w:vAlign w:val="bottom"/>
            <w:gridSpan w:val="2"/>
            <w:vMerge w:val="continue"/>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420" w:type="dxa"/>
            <w:vAlign w:val="bottom"/>
            <w:gridSpan w:val="2"/>
            <w:vMerge w:val="continue"/>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940" w:type="dxa"/>
            <w:vAlign w:val="bottom"/>
            <w:gridSpan w:val="3"/>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80" w:type="dxa"/>
            <w:vAlign w:val="bottom"/>
          </w:tcPr>
          <w:p>
            <w:pPr>
              <w:spacing w:after="0" w:line="189" w:lineRule="exact"/>
              <w:rPr>
                <w:sz w:val="20"/>
                <w:szCs w:val="20"/>
                <w:color w:val="auto"/>
              </w:rPr>
            </w:pPr>
            <w:r>
              <w:rPr>
                <w:rFonts w:ascii="Arial" w:cs="Arial" w:eastAsia="Arial" w:hAnsi="Arial"/>
                <w:sz w:val="18"/>
                <w:szCs w:val="18"/>
                <w:color w:val="auto"/>
              </w:rPr>
              <w:t>RISPERDAL CONSTA</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10,193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3,536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13,729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33,776</w:t>
            </w: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7,269</w:t>
            </w:r>
          </w:p>
        </w:tc>
        <w:tc>
          <w:tcPr>
            <w:tcW w:w="94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41,045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w:t>
            </w: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15,148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18,243</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33,391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31,776</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35,623</w:t>
            </w:r>
          </w:p>
        </w:tc>
        <w:tc>
          <w:tcPr>
            <w:tcW w:w="940" w:type="dxa"/>
            <w:vAlign w:val="bottom"/>
            <w:gridSpan w:val="3"/>
            <w:shd w:val="clear" w:color="auto" w:fill="CFF0FC"/>
          </w:tcPr>
          <w:p>
            <w:pPr>
              <w:jc w:val="right"/>
              <w:spacing w:after="0" w:line="189" w:lineRule="exact"/>
              <w:rPr>
                <w:sz w:val="20"/>
                <w:szCs w:val="20"/>
                <w:color w:val="auto"/>
              </w:rPr>
            </w:pPr>
            <w:r>
              <w:rPr>
                <w:rFonts w:ascii="Arial" w:cs="Arial" w:eastAsia="Arial" w:hAnsi="Arial"/>
                <w:sz w:val="18"/>
                <w:szCs w:val="18"/>
                <w:color w:val="auto"/>
              </w:rPr>
              <w:t>67,399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25,341</w:t>
            </w: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91,164</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116,505</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65,552</w:t>
            </w:r>
          </w:p>
        </w:tc>
        <w:tc>
          <w:tcPr>
            <w:tcW w:w="2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4"/>
              </w:rPr>
              <w:t>$ 167,204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2"/>
              </w:rPr>
              <w:t>$ 232,756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ind w:right="74"/>
              <w:spacing w:after="0"/>
              <w:rPr>
                <w:sz w:val="20"/>
                <w:szCs w:val="20"/>
                <w:color w:val="auto"/>
              </w:rPr>
            </w:pPr>
            <w:r>
              <w:rPr>
                <w:rFonts w:ascii="Arial" w:cs="Arial" w:eastAsia="Arial" w:hAnsi="Arial"/>
                <w:sz w:val="14"/>
                <w:szCs w:val="14"/>
                <w:b w:val="1"/>
                <w:bCs w:val="1"/>
                <w:color w:val="auto"/>
                <w:w w:val="93"/>
              </w:rPr>
              <w:t>Three Months Ended June 30, 2019</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339"/>
              <w:spacing w:after="0"/>
              <w:rPr>
                <w:sz w:val="20"/>
                <w:szCs w:val="20"/>
                <w:color w:val="auto"/>
              </w:rPr>
            </w:pPr>
            <w:r>
              <w:rPr>
                <w:rFonts w:ascii="Arial" w:cs="Arial" w:eastAsia="Arial" w:hAnsi="Arial"/>
                <w:sz w:val="14"/>
                <w:szCs w:val="14"/>
                <w:b w:val="1"/>
                <w:bCs w:val="1"/>
                <w:color w:val="auto"/>
              </w:rPr>
              <w:t>Six Months Ended June 30, 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0"/>
                <w:szCs w:val="10"/>
                <w:color w:val="auto"/>
              </w:rPr>
            </w:pPr>
          </w:p>
        </w:tc>
        <w:tc>
          <w:tcPr>
            <w:tcW w:w="94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Manufacturing</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37"/>
              <w:spacing w:after="0" w:line="115" w:lineRule="exact"/>
              <w:rPr>
                <w:sz w:val="20"/>
                <w:szCs w:val="20"/>
                <w:color w:val="auto"/>
              </w:rPr>
            </w:pPr>
            <w:r>
              <w:rPr>
                <w:rFonts w:ascii="Arial" w:cs="Arial" w:eastAsia="Arial" w:hAnsi="Arial"/>
                <w:sz w:val="13"/>
                <w:szCs w:val="13"/>
                <w:b w:val="1"/>
                <w:bCs w:val="1"/>
                <w:color w:val="auto"/>
              </w:rPr>
              <w:t>Royalty</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0"/>
                <w:szCs w:val="10"/>
                <w:color w:val="auto"/>
              </w:rPr>
            </w:pPr>
          </w:p>
        </w:tc>
        <w:tc>
          <w:tcPr>
            <w:tcW w:w="116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Manufacturing</w:t>
            </w:r>
          </w:p>
        </w:tc>
        <w:tc>
          <w:tcPr>
            <w:tcW w:w="720" w:type="dxa"/>
            <w:vAlign w:val="bottom"/>
          </w:tcPr>
          <w:p>
            <w:pPr>
              <w:ind w:left="120"/>
              <w:spacing w:after="0" w:line="115" w:lineRule="exact"/>
              <w:rPr>
                <w:sz w:val="20"/>
                <w:szCs w:val="20"/>
                <w:color w:val="auto"/>
              </w:rPr>
            </w:pPr>
            <w:r>
              <w:rPr>
                <w:rFonts w:ascii="Arial" w:cs="Arial" w:eastAsia="Arial" w:hAnsi="Arial"/>
                <w:sz w:val="13"/>
                <w:szCs w:val="13"/>
                <w:b w:val="1"/>
                <w:bCs w:val="1"/>
                <w:color w:val="auto"/>
              </w:rPr>
              <w:t>Royalty</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180" w:type="dxa"/>
            <w:vAlign w:val="bottom"/>
            <w:tcBorders>
              <w:bottom w:val="single" w:sz="8" w:color="CFF0FC"/>
            </w:tcBorders>
            <w:vMerge w:val="continue"/>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Revenue</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Revenue</w:t>
            </w:r>
          </w:p>
        </w:tc>
        <w:tc>
          <w:tcPr>
            <w:tcW w:w="22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Revenue</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INVEGA SUSTENNA/XEPLION &amp; INVEGA</w:t>
            </w:r>
          </w:p>
        </w:tc>
        <w:tc>
          <w:tcPr>
            <w:tcW w:w="900" w:type="dxa"/>
            <w:vAlign w:val="bottom"/>
            <w:gridSpan w:val="2"/>
            <w:vMerge w:val="restart"/>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67,289</w:t>
            </w:r>
          </w:p>
        </w:tc>
        <w:tc>
          <w:tcPr>
            <w:tcW w:w="42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67,289</w:t>
            </w:r>
          </w:p>
        </w:tc>
        <w:tc>
          <w:tcPr>
            <w:tcW w:w="22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4"/>
              </w:rPr>
              <w:t>$ 120,586</w:t>
            </w:r>
          </w:p>
        </w:tc>
        <w:tc>
          <w:tcPr>
            <w:tcW w:w="94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$ 120,586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TRINZA/TREVICTA</w:t>
            </w:r>
          </w:p>
        </w:tc>
        <w:tc>
          <w:tcPr>
            <w:tcW w:w="900" w:type="dxa"/>
            <w:vAlign w:val="bottom"/>
            <w:gridSpan w:val="2"/>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340" w:type="dxa"/>
            <w:vAlign w:val="bottom"/>
            <w:gridSpan w:val="2"/>
            <w:vMerge w:val="continue"/>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420" w:type="dxa"/>
            <w:vAlign w:val="bottom"/>
            <w:gridSpan w:val="2"/>
            <w:vMerge w:val="continue"/>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940" w:type="dxa"/>
            <w:vAlign w:val="bottom"/>
            <w:gridSpan w:val="3"/>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80" w:type="dxa"/>
            <w:vAlign w:val="bottom"/>
          </w:tcPr>
          <w:p>
            <w:pPr>
              <w:spacing w:after="0" w:line="189" w:lineRule="exact"/>
              <w:rPr>
                <w:sz w:val="20"/>
                <w:szCs w:val="20"/>
                <w:color w:val="auto"/>
              </w:rPr>
            </w:pPr>
            <w:r>
              <w:rPr>
                <w:rFonts w:ascii="Arial" w:cs="Arial" w:eastAsia="Arial" w:hAnsi="Arial"/>
                <w:sz w:val="18"/>
                <w:szCs w:val="18"/>
                <w:color w:val="auto"/>
              </w:rPr>
              <w:t>RISPERDAL CONSTA</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20,506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4,068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24,574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38,428</w:t>
            </w: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8,453</w:t>
            </w:r>
          </w:p>
        </w:tc>
        <w:tc>
          <w:tcPr>
            <w:tcW w:w="94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46,881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w:t>
            </w: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17,873</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18,161</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36,034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30,898</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38,447</w:t>
            </w:r>
          </w:p>
        </w:tc>
        <w:tc>
          <w:tcPr>
            <w:tcW w:w="940" w:type="dxa"/>
            <w:vAlign w:val="bottom"/>
            <w:gridSpan w:val="3"/>
            <w:shd w:val="clear" w:color="auto" w:fill="CFF0FC"/>
          </w:tcPr>
          <w:p>
            <w:pPr>
              <w:jc w:val="right"/>
              <w:spacing w:after="0" w:line="189" w:lineRule="exact"/>
              <w:rPr>
                <w:sz w:val="20"/>
                <w:szCs w:val="20"/>
                <w:color w:val="auto"/>
              </w:rPr>
            </w:pPr>
            <w:r>
              <w:rPr>
                <w:rFonts w:ascii="Arial" w:cs="Arial" w:eastAsia="Arial" w:hAnsi="Arial"/>
                <w:sz w:val="18"/>
                <w:szCs w:val="18"/>
                <w:color w:val="auto"/>
              </w:rPr>
              <w:t>69,345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38,379</w:t>
            </w:r>
          </w:p>
        </w:tc>
        <w:tc>
          <w:tcPr>
            <w:tcW w:w="2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89,518</w:t>
            </w:r>
          </w:p>
        </w:tc>
        <w:tc>
          <w:tcPr>
            <w:tcW w:w="220" w:type="dxa"/>
            <w:vAlign w:val="bottom"/>
          </w:tcPr>
          <w:p>
            <w:pPr>
              <w:spacing w:after="0"/>
              <w:rPr>
                <w:sz w:val="15"/>
                <w:szCs w:val="15"/>
                <w:color w:val="auto"/>
              </w:rPr>
            </w:pPr>
          </w:p>
        </w:tc>
        <w:tc>
          <w:tcPr>
            <w:tcW w:w="200" w:type="dxa"/>
            <w:vAlign w:val="bottom"/>
            <w:tcBorders>
              <w:top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127,897</w:t>
            </w: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69,326</w:t>
            </w:r>
          </w:p>
        </w:tc>
        <w:tc>
          <w:tcPr>
            <w:tcW w:w="220" w:type="dxa"/>
            <w:vAlign w:val="bottom"/>
          </w:tcPr>
          <w:p>
            <w:pPr>
              <w:spacing w:after="0"/>
              <w:rPr>
                <w:sz w:val="15"/>
                <w:szCs w:val="15"/>
                <w:color w:val="auto"/>
              </w:rPr>
            </w:pPr>
          </w:p>
        </w:tc>
        <w:tc>
          <w:tcPr>
            <w:tcW w:w="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84"/>
              </w:rPr>
              <w:t>$ 167,486</w:t>
            </w:r>
          </w:p>
        </w:tc>
        <w:tc>
          <w:tcPr>
            <w:tcW w:w="240" w:type="dxa"/>
            <w:vAlign w:val="bottom"/>
            <w:gridSpan w:val="2"/>
          </w:tcPr>
          <w:p>
            <w:pPr>
              <w:spacing w:after="0"/>
              <w:rPr>
                <w:sz w:val="15"/>
                <w:szCs w:val="15"/>
                <w:color w:val="auto"/>
              </w:rPr>
            </w:pPr>
          </w:p>
        </w:tc>
        <w:tc>
          <w:tcPr>
            <w:tcW w:w="7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82"/>
              </w:rPr>
              <w:t>$ 236,812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Research and Development Revenue</w:t>
      </w:r>
    </w:p>
    <w:p>
      <w:pPr>
        <w:spacing w:after="0" w:line="185" w:lineRule="exact"/>
        <w:rPr>
          <w:sz w:val="20"/>
          <w:szCs w:val="20"/>
          <w:color w:val="auto"/>
        </w:rPr>
      </w:pPr>
    </w:p>
    <w:p>
      <w:pPr>
        <w:jc w:val="both"/>
        <w:ind w:right="180" w:firstLine="416"/>
        <w:spacing w:after="0" w:line="279" w:lineRule="auto"/>
        <w:rPr>
          <w:sz w:val="20"/>
          <w:szCs w:val="20"/>
          <w:color w:val="auto"/>
        </w:rPr>
      </w:pPr>
      <w:r>
        <w:rPr>
          <w:rFonts w:ascii="Arial" w:cs="Arial" w:eastAsia="Arial" w:hAnsi="Arial"/>
          <w:sz w:val="17"/>
          <w:szCs w:val="17"/>
          <w:color w:val="auto"/>
        </w:rPr>
        <w:t>The Company recorded R&amp;D revenue of $0.6 million and $0.9 million during the three and six months ended June 30, 2020, respectively, of which $0.1 million and $0.2 million, respectively, related to its license and collaboration agreement with Biogen for VUMERITY. The Company recorded R&amp;D revenue of $14.3 million and $29.0 million during the three and six months ended June 30, 2019, respectively, of which $13.6 million and $27.4 million, respectively, related to its license and collaboration agreement with Biogen for VUMERITY.</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expects to earn an additional $0.3 million in R&amp;D revenue under this agreement with Biogen through the end of 2020.</w:t>
      </w:r>
    </w:p>
    <w:p>
      <w:pPr>
        <w:spacing w:after="0" w:line="198" w:lineRule="exact"/>
        <w:rPr>
          <w:sz w:val="20"/>
          <w:szCs w:val="20"/>
          <w:color w:val="auto"/>
        </w:rPr>
      </w:pPr>
    </w:p>
    <w:p>
      <w:pPr>
        <w:ind w:right="220" w:firstLine="416"/>
        <w:spacing w:after="0" w:line="275" w:lineRule="auto"/>
        <w:rPr>
          <w:sz w:val="20"/>
          <w:szCs w:val="20"/>
          <w:color w:val="auto"/>
        </w:rPr>
      </w:pPr>
      <w:r>
        <w:rPr>
          <w:rFonts w:ascii="Arial" w:cs="Arial" w:eastAsia="Arial" w:hAnsi="Arial"/>
          <w:sz w:val="17"/>
          <w:szCs w:val="17"/>
          <w:u w:val="single" w:color="auto"/>
          <w:color w:val="auto"/>
        </w:rPr>
        <w:t>Contract Assets</w:t>
      </w:r>
      <w:r>
        <w:rPr>
          <w:rFonts w:ascii="Arial" w:cs="Arial" w:eastAsia="Arial" w:hAnsi="Arial"/>
          <w:sz w:val="17"/>
          <w:szCs w:val="17"/>
          <w:color w:val="auto"/>
        </w:rPr>
        <w:t>— Contract assets include unbilled amounts under certain of the Company’s contracts with customers where revenue is recognized over time. Total contract assets as of June 30, 2020 include $9.2 million of assets that are classified as “Current assets” in the accompanying condensed consolidated balance sheet, as they related to manufacturing processes that are completed in ten days to eight weeks, and $5.0 million that is classified as “Other assets” in the accompanying condensed consolidated balance sheet, as it consists of consideration from the Company’s collaboration with Biogen related to VUMERITY, which the Company expects to receive in approximately three years.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contract assets at June 30, 2020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Contract Assets</w:t>
            </w:r>
          </w:p>
        </w:tc>
        <w:tc>
          <w:tcPr>
            <w:tcW w:w="0" w:type="dxa"/>
            <w:vAlign w:val="bottom"/>
          </w:tcPr>
          <w:p>
            <w:pPr>
              <w:spacing w:after="0"/>
              <w:rPr>
                <w:sz w:val="1"/>
                <w:szCs w:val="1"/>
                <w:color w:val="auto"/>
              </w:rPr>
            </w:pPr>
          </w:p>
        </w:tc>
      </w:tr>
      <w:tr>
        <w:trPr>
          <w:trHeight w:val="183"/>
        </w:trPr>
        <w:tc>
          <w:tcPr>
            <w:tcW w:w="852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Contract assets at December 31, 2019</w:t>
            </w:r>
          </w:p>
        </w:tc>
        <w:tc>
          <w:tcPr>
            <w:tcW w:w="74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13,386</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20" w:type="dxa"/>
            <w:vAlign w:val="bottom"/>
            <w:gridSpan w:val="3"/>
          </w:tcPr>
          <w:p>
            <w:pPr>
              <w:ind w:left="260"/>
              <w:spacing w:after="0" w:line="189" w:lineRule="exact"/>
              <w:rPr>
                <w:sz w:val="20"/>
                <w:szCs w:val="20"/>
                <w:color w:val="auto"/>
              </w:rPr>
            </w:pPr>
            <w:r>
              <w:rPr>
                <w:rFonts w:ascii="Arial" w:cs="Arial" w:eastAsia="Arial" w:hAnsi="Arial"/>
                <w:sz w:val="18"/>
                <w:szCs w:val="18"/>
                <w:color w:val="auto"/>
              </w:rPr>
              <w:t>Additions</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Arial" w:cs="Arial" w:eastAsia="Arial" w:hAnsi="Arial"/>
                <w:sz w:val="18"/>
                <w:szCs w:val="18"/>
                <w:color w:val="auto"/>
              </w:rPr>
              <w:t>22,199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gridSpan w:val="3"/>
            <w:shd w:val="clear" w:color="auto" w:fill="CFF0FC"/>
          </w:tcPr>
          <w:p>
            <w:pPr>
              <w:ind w:left="260"/>
              <w:spacing w:after="0" w:line="189" w:lineRule="exact"/>
              <w:rPr>
                <w:sz w:val="20"/>
                <w:szCs w:val="20"/>
                <w:color w:val="auto"/>
              </w:rPr>
            </w:pPr>
            <w:r>
              <w:rPr>
                <w:rFonts w:ascii="Arial" w:cs="Arial" w:eastAsia="Arial" w:hAnsi="Arial"/>
                <w:sz w:val="18"/>
                <w:szCs w:val="18"/>
                <w:color w:val="auto"/>
              </w:rPr>
              <w:t>Transferred to receivables, net</w:t>
            </w: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(21,345)</w:t>
            </w:r>
          </w:p>
        </w:tc>
        <w:tc>
          <w:tcPr>
            <w:tcW w:w="0" w:type="dxa"/>
            <w:vAlign w:val="bottom"/>
          </w:tcPr>
          <w:p>
            <w:pPr>
              <w:spacing w:after="0"/>
              <w:rPr>
                <w:sz w:val="1"/>
                <w:szCs w:val="1"/>
                <w:color w:val="auto"/>
              </w:rPr>
            </w:pPr>
          </w:p>
        </w:tc>
      </w:tr>
      <w:tr>
        <w:trPr>
          <w:trHeight w:val="183"/>
        </w:trPr>
        <w:tc>
          <w:tcPr>
            <w:tcW w:w="8520" w:type="dxa"/>
            <w:vAlign w:val="bottom"/>
            <w:gridSpan w:val="3"/>
          </w:tcPr>
          <w:p>
            <w:pPr>
              <w:spacing w:after="0" w:line="182" w:lineRule="exact"/>
              <w:rPr>
                <w:sz w:val="20"/>
                <w:szCs w:val="20"/>
                <w:color w:val="auto"/>
              </w:rPr>
            </w:pPr>
            <w:r>
              <w:rPr>
                <w:rFonts w:ascii="Arial" w:cs="Arial" w:eastAsia="Arial" w:hAnsi="Arial"/>
                <w:sz w:val="18"/>
                <w:szCs w:val="18"/>
                <w:color w:val="auto"/>
              </w:rPr>
              <w:t>Contract assets at June 30, 2020</w:t>
            </w:r>
          </w:p>
        </w:tc>
        <w:tc>
          <w:tcPr>
            <w:tcW w:w="7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14,240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Contract Liabilities—Contract liabilities consist of contractual obligations related to deferred revenue.</w:t>
            </w: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0" w:type="dxa"/>
            <w:vAlign w:val="bottom"/>
          </w:tcPr>
          <w:p>
            <w:pPr>
              <w:spacing w:after="0"/>
              <w:rPr>
                <w:sz w:val="24"/>
                <w:szCs w:val="24"/>
                <w:color w:val="auto"/>
              </w:rPr>
            </w:pPr>
          </w:p>
        </w:tc>
        <w:tc>
          <w:tcPr>
            <w:tcW w:w="81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Total contract liabilities at June 30, 2020 were as follows: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5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183"/>
        </w:trPr>
        <w:tc>
          <w:tcPr>
            <w:tcW w:w="852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Contract liabilities at December 31, 2019</w:t>
            </w:r>
          </w:p>
        </w:tc>
        <w:tc>
          <w:tcPr>
            <w:tcW w:w="74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28,834</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20" w:type="dxa"/>
            <w:vAlign w:val="bottom"/>
            <w:gridSpan w:val="3"/>
          </w:tcPr>
          <w:p>
            <w:pPr>
              <w:ind w:left="260"/>
              <w:spacing w:after="0" w:line="189" w:lineRule="exact"/>
              <w:rPr>
                <w:sz w:val="20"/>
                <w:szCs w:val="20"/>
                <w:color w:val="auto"/>
              </w:rPr>
            </w:pPr>
            <w:r>
              <w:rPr>
                <w:rFonts w:ascii="Arial" w:cs="Arial" w:eastAsia="Arial" w:hAnsi="Arial"/>
                <w:sz w:val="18"/>
                <w:szCs w:val="18"/>
                <w:color w:val="auto"/>
              </w:rPr>
              <w:t>Additions</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520" w:type="dxa"/>
            <w:vAlign w:val="bottom"/>
            <w:gridSpan w:val="3"/>
            <w:shd w:val="clear" w:color="auto" w:fill="CFF0FC"/>
          </w:tcPr>
          <w:p>
            <w:pPr>
              <w:ind w:left="260"/>
              <w:spacing w:after="0" w:line="189" w:lineRule="exact"/>
              <w:rPr>
                <w:sz w:val="20"/>
                <w:szCs w:val="20"/>
                <w:color w:val="auto"/>
              </w:rPr>
            </w:pPr>
            <w:r>
              <w:rPr>
                <w:rFonts w:ascii="Arial" w:cs="Arial" w:eastAsia="Arial" w:hAnsi="Arial"/>
                <w:sz w:val="18"/>
                <w:szCs w:val="18"/>
                <w:color w:val="auto"/>
              </w:rPr>
              <w:t>Amounts recognized into revenue</w:t>
            </w: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183"/>
        </w:trPr>
        <w:tc>
          <w:tcPr>
            <w:tcW w:w="8520" w:type="dxa"/>
            <w:vAlign w:val="bottom"/>
            <w:gridSpan w:val="3"/>
          </w:tcPr>
          <w:p>
            <w:pPr>
              <w:spacing w:after="0" w:line="182" w:lineRule="exact"/>
              <w:rPr>
                <w:sz w:val="20"/>
                <w:szCs w:val="20"/>
                <w:color w:val="auto"/>
              </w:rPr>
            </w:pPr>
            <w:r>
              <w:rPr>
                <w:rFonts w:ascii="Arial" w:cs="Arial" w:eastAsia="Arial" w:hAnsi="Arial"/>
                <w:sz w:val="18"/>
                <w:szCs w:val="18"/>
                <w:color w:val="auto"/>
              </w:rPr>
              <w:t>Contract liabilities at June 30, 2020</w:t>
            </w:r>
          </w:p>
        </w:tc>
        <w:tc>
          <w:tcPr>
            <w:tcW w:w="7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26,470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520" w:type="dxa"/>
            <w:vAlign w:val="bottom"/>
            <w:gridSpan w:val="3"/>
            <w:vMerge w:val="restart"/>
          </w:tcPr>
          <w:p>
            <w:pPr>
              <w:ind w:left="5540"/>
              <w:spacing w:after="0"/>
              <w:rPr>
                <w:sz w:val="20"/>
                <w:szCs w:val="20"/>
                <w:color w:val="auto"/>
              </w:rPr>
            </w:pPr>
            <w:r>
              <w:rPr>
                <w:rFonts w:ascii="Arial" w:cs="Arial" w:eastAsia="Arial" w:hAnsi="Arial"/>
                <w:sz w:val="18"/>
                <w:szCs w:val="18"/>
                <w:color w:val="auto"/>
              </w:rPr>
              <w:t>14</w:t>
            </w: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52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6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Investments consisted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Gross Unrealized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Losses</w:t>
            </w:r>
          </w:p>
        </w:tc>
        <w:tc>
          <w:tcPr>
            <w:tcW w:w="9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19"/>
        </w:trPr>
        <w:tc>
          <w:tcPr>
            <w:tcW w:w="510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Less than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12"/>
              <w:spacing w:after="0" w:line="119" w:lineRule="exact"/>
              <w:rPr>
                <w:sz w:val="20"/>
                <w:szCs w:val="20"/>
                <w:color w:val="auto"/>
              </w:rPr>
            </w:pPr>
            <w:r>
              <w:rPr>
                <w:rFonts w:ascii="Arial" w:cs="Arial" w:eastAsia="Arial" w:hAnsi="Arial"/>
                <w:sz w:val="13"/>
                <w:szCs w:val="13"/>
                <w:b w:val="1"/>
                <w:bCs w:val="1"/>
                <w:color w:val="auto"/>
              </w:rPr>
              <w:t>Greater than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71"/>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One Year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One Year</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5100" w:type="dxa"/>
            <w:vAlign w:val="bottom"/>
            <w:tcBorders>
              <w:top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Short-term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24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163,761</w:t>
            </w:r>
          </w:p>
        </w:tc>
        <w:tc>
          <w:tcPr>
            <w:tcW w:w="420" w:type="dxa"/>
            <w:vAlign w:val="bottom"/>
            <w:gridSpan w:val="2"/>
            <w:shd w:val="clear" w:color="auto" w:fill="CFF0FC"/>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1,774</w:t>
            </w:r>
          </w:p>
        </w:tc>
        <w:tc>
          <w:tcPr>
            <w:tcW w:w="3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(13)</w:t>
            </w:r>
          </w:p>
        </w:tc>
        <w:tc>
          <w:tcPr>
            <w:tcW w:w="18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165,519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98,689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827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99,514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77,624</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919</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78,528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500"/>
              <w:spacing w:after="0" w:line="202" w:lineRule="exact"/>
              <w:rPr>
                <w:sz w:val="20"/>
                <w:szCs w:val="20"/>
                <w:color w:val="auto"/>
              </w:rPr>
            </w:pPr>
            <w:r>
              <w:rPr>
                <w:rFonts w:ascii="Arial" w:cs="Arial" w:eastAsia="Arial" w:hAnsi="Arial"/>
                <w:sz w:val="18"/>
                <w:szCs w:val="18"/>
                <w:color w:val="auto"/>
              </w:rPr>
              <w:t>Total short-term investments</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340,074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3,520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343,561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Long-term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3,452</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3,449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3,452</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3,449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tcPr>
          <w:p>
            <w:pPr>
              <w:ind w:left="260"/>
              <w:spacing w:after="0" w:line="182" w:lineRule="exact"/>
              <w:rPr>
                <w:sz w:val="20"/>
                <w:szCs w:val="20"/>
                <w:color w:val="auto"/>
              </w:rPr>
            </w:pPr>
            <w:r>
              <w:rPr>
                <w:rFonts w:ascii="Arial" w:cs="Arial" w:eastAsia="Arial" w:hAnsi="Arial"/>
                <w:sz w:val="18"/>
                <w:szCs w:val="18"/>
                <w:color w:val="auto"/>
              </w:rPr>
              <w:t>Held-to-maturity securities: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1,820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Arial" w:cs="Arial" w:eastAsia="Arial" w:hAnsi="Arial"/>
                <w:sz w:val="18"/>
                <w:szCs w:val="18"/>
                <w:color w:val="auto"/>
              </w:rPr>
              <w:t>Fixed term deposit account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1,668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96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1,764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3,488</w:t>
            </w: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3,584</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tcPr>
          <w:p>
            <w:pPr>
              <w:ind w:left="500"/>
              <w:spacing w:after="0" w:line="182" w:lineRule="exact"/>
              <w:rPr>
                <w:sz w:val="20"/>
                <w:szCs w:val="20"/>
                <w:color w:val="auto"/>
              </w:rPr>
            </w:pPr>
            <w:r>
              <w:rPr>
                <w:rFonts w:ascii="Arial" w:cs="Arial" w:eastAsia="Arial" w:hAnsi="Arial"/>
                <w:sz w:val="18"/>
                <w:szCs w:val="18"/>
                <w:color w:val="auto"/>
              </w:rPr>
              <w:t>Total long-term investments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6,940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7,033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FF0FC"/>
          </w:tcPr>
          <w:p>
            <w:pPr>
              <w:spacing w:after="0" w:line="202" w:lineRule="exact"/>
              <w:rPr>
                <w:sz w:val="20"/>
                <w:szCs w:val="20"/>
                <w:color w:val="auto"/>
              </w:rPr>
            </w:pPr>
            <w:r>
              <w:rPr>
                <w:rFonts w:ascii="Arial" w:cs="Arial" w:eastAsia="Arial" w:hAnsi="Arial"/>
                <w:sz w:val="18"/>
                <w:szCs w:val="18"/>
                <w:color w:val="auto"/>
              </w:rPr>
              <w:t>Total investments</w:t>
            </w:r>
          </w:p>
        </w:tc>
        <w:tc>
          <w:tcPr>
            <w:tcW w:w="1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347,014</w:t>
            </w:r>
          </w:p>
        </w:tc>
        <w:tc>
          <w:tcPr>
            <w:tcW w:w="22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3,616</w:t>
            </w:r>
          </w:p>
        </w:tc>
        <w:tc>
          <w:tcPr>
            <w:tcW w:w="20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(33)</w:t>
            </w:r>
          </w:p>
        </w:tc>
        <w:tc>
          <w:tcPr>
            <w:tcW w:w="140" w:type="dxa"/>
            <w:vAlign w:val="bottom"/>
            <w:vMerge w:val="continue"/>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350,594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bottom w:val="single" w:sz="8" w:color="CFF0FC"/>
            </w:tcBorders>
            <w:vMerge w:val="restart"/>
          </w:tcPr>
          <w:p>
            <w:pPr>
              <w:ind w:left="196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8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90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9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24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144,161</w:t>
            </w:r>
          </w:p>
        </w:tc>
        <w:tc>
          <w:tcPr>
            <w:tcW w:w="420" w:type="dxa"/>
            <w:vAlign w:val="bottom"/>
            <w:gridSpan w:val="2"/>
            <w:shd w:val="clear" w:color="auto" w:fill="CFF0FC"/>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676</w:t>
            </w:r>
          </w:p>
        </w:tc>
        <w:tc>
          <w:tcPr>
            <w:tcW w:w="3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144,837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112,948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434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113,380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72,753</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248</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72,991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580"/>
              <w:spacing w:after="0" w:line="202" w:lineRule="exact"/>
              <w:rPr>
                <w:sz w:val="20"/>
                <w:szCs w:val="20"/>
                <w:color w:val="auto"/>
              </w:rPr>
            </w:pPr>
            <w:r>
              <w:rPr>
                <w:rFonts w:ascii="Arial" w:cs="Arial" w:eastAsia="Arial" w:hAnsi="Arial"/>
                <w:sz w:val="18"/>
                <w:szCs w:val="18"/>
                <w:color w:val="auto"/>
              </w:rPr>
              <w:t>Total short-term investments</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329,862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1,358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331,208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Long-term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51,070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51,018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20,806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20,788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4,000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3,996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75,876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75,802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tcBorders>
              <w:top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Held-to-maturity securities:</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1,820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Fixed term deposit account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1,667</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3,487</w:t>
            </w:r>
          </w:p>
        </w:tc>
        <w:tc>
          <w:tcPr>
            <w:tcW w:w="2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102</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3,589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long-term investments</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79,363</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79,391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line="202" w:lineRule="exact"/>
              <w:rPr>
                <w:sz w:val="20"/>
                <w:szCs w:val="20"/>
                <w:color w:val="auto"/>
              </w:rPr>
            </w:pPr>
            <w:r>
              <w:rPr>
                <w:rFonts w:ascii="Arial" w:cs="Arial" w:eastAsia="Arial" w:hAnsi="Arial"/>
                <w:sz w:val="18"/>
                <w:szCs w:val="18"/>
                <w:color w:val="auto"/>
              </w:rPr>
              <w:t>Total investments</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409,225</w:t>
            </w:r>
          </w:p>
        </w:tc>
        <w:tc>
          <w:tcPr>
            <w:tcW w:w="220" w:type="dxa"/>
            <w:vAlign w:val="bottom"/>
            <w:vMerge w:val="continue"/>
          </w:tcPr>
          <w:p>
            <w:pPr>
              <w:spacing w:after="0"/>
              <w:rPr>
                <w:sz w:val="15"/>
                <w:szCs w:val="15"/>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1,460</w:t>
            </w:r>
          </w:p>
        </w:tc>
        <w:tc>
          <w:tcPr>
            <w:tcW w:w="200" w:type="dxa"/>
            <w:vAlign w:val="bottom"/>
            <w:vMerge w:val="continue"/>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1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(8)</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410,599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16"/>
        <w:spacing w:after="0" w:line="255" w:lineRule="auto"/>
        <w:rPr>
          <w:sz w:val="20"/>
          <w:szCs w:val="20"/>
          <w:color w:val="auto"/>
        </w:rPr>
      </w:pPr>
      <w:r>
        <w:rPr>
          <w:rFonts w:ascii="Arial" w:cs="Arial" w:eastAsia="Arial" w:hAnsi="Arial"/>
          <w:sz w:val="18"/>
          <w:szCs w:val="18"/>
          <w:color w:val="auto"/>
        </w:rPr>
        <w:t>At June 30, 2020, the Company believed that the unrealized losses on its available-for-sale investments were temporary and were not due to credit losses. The investments with unrealized losses consisted primarily of corporate debt securities. In making the determination that the decline in fair value of these securities was temporary, the Company considered various factors, including, but not limited to: the length of time each security was in an unrealized loss position; the extent to which fair value was less than cost; financial condition and near-term prospects of the issuers of the securities; the Company’s intent not to sell these securities; and the assessment that it is more likely than not that the Company would not be required to sell these securities before the recovery of their amortized cost basis.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The proceeds from the sales and maturities of marketable securities, which were identified using the specific identification method and were primarily reinvested,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316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Proceeds from the sales and maturities of marketable securities</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147,859</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79,104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Realized gains</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51</w:t>
            </w:r>
          </w:p>
        </w:tc>
        <w:tc>
          <w:tcPr>
            <w:tcW w:w="280" w:type="dxa"/>
            <w:vAlign w:val="bottom"/>
          </w:tcPr>
          <w:p>
            <w:pPr>
              <w:spacing w:after="0"/>
              <w:rPr>
                <w:sz w:val="16"/>
                <w:szCs w:val="16"/>
                <w:color w:val="auto"/>
              </w:rPr>
            </w:pP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Realized losses</w:t>
            </w:r>
          </w:p>
        </w:tc>
        <w:tc>
          <w:tcPr>
            <w:tcW w:w="360" w:type="dxa"/>
            <w:vAlign w:val="bottom"/>
            <w:shd w:val="clear" w:color="auto" w:fill="CFF0FC"/>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available-for-sale and held-to-maturity securities at June 30, 2020 had contractual maturities in the following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ind w:left="540"/>
              <w:spacing w:after="0"/>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4"/>
                <w:szCs w:val="14"/>
                <w:color w:val="auto"/>
              </w:rPr>
            </w:pPr>
          </w:p>
        </w:tc>
        <w:tc>
          <w:tcPr>
            <w:tcW w:w="2480" w:type="dxa"/>
            <w:vAlign w:val="bottom"/>
            <w:gridSpan w:val="5"/>
          </w:tcPr>
          <w:p>
            <w:pPr>
              <w:ind w:left="560"/>
              <w:spacing w:after="0"/>
              <w:rPr>
                <w:sz w:val="20"/>
                <w:szCs w:val="20"/>
                <w:color w:val="auto"/>
              </w:rPr>
            </w:pPr>
            <w:r>
              <w:rPr>
                <w:rFonts w:ascii="Arial" w:cs="Arial" w:eastAsia="Arial" w:hAnsi="Arial"/>
                <w:sz w:val="14"/>
                <w:szCs w:val="14"/>
                <w:b w:val="1"/>
                <w:bCs w:val="1"/>
                <w:color w:val="auto"/>
              </w:rPr>
              <w:t>Held-to-maturity</w:t>
            </w:r>
          </w:p>
        </w:tc>
        <w:tc>
          <w:tcPr>
            <w:tcW w:w="0" w:type="dxa"/>
            <w:vAlign w:val="bottom"/>
          </w:tcPr>
          <w:p>
            <w:pPr>
              <w:spacing w:after="0"/>
              <w:rPr>
                <w:sz w:val="1"/>
                <w:szCs w:val="1"/>
                <w:color w:val="auto"/>
              </w:rPr>
            </w:pPr>
          </w:p>
        </w:tc>
      </w:tr>
      <w:tr>
        <w:trPr>
          <w:trHeight w:val="119"/>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Estimated</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Within 1 year</w:t>
            </w: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239,195</w:t>
            </w: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240,864</w:t>
            </w: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ind w:left="560"/>
              <w:spacing w:after="0" w:line="182" w:lineRule="exact"/>
              <w:rPr>
                <w:sz w:val="20"/>
                <w:szCs w:val="20"/>
                <w:color w:val="auto"/>
              </w:rPr>
            </w:pPr>
            <w:r>
              <w:rPr>
                <w:rFonts w:ascii="Arial" w:cs="Arial" w:eastAsia="Arial" w:hAnsi="Arial"/>
                <w:sz w:val="18"/>
                <w:szCs w:val="18"/>
                <w:color w:val="auto"/>
                <w:w w:val="88"/>
              </w:rPr>
              <w:t>1,820</w:t>
            </w:r>
          </w:p>
        </w:tc>
        <w:tc>
          <w:tcPr>
            <w:tcW w:w="2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1,820</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After 1 year through 5 years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104,331</w:t>
            </w:r>
          </w:p>
        </w:tc>
        <w:tc>
          <w:tcPr>
            <w:tcW w:w="2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106,146</w:t>
            </w:r>
          </w:p>
        </w:tc>
        <w:tc>
          <w:tcPr>
            <w:tcW w:w="2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560"/>
              <w:spacing w:after="0" w:line="189" w:lineRule="exact"/>
              <w:rPr>
                <w:sz w:val="20"/>
                <w:szCs w:val="20"/>
                <w:color w:val="auto"/>
              </w:rPr>
            </w:pPr>
            <w:r>
              <w:rPr>
                <w:rFonts w:ascii="Arial" w:cs="Arial" w:eastAsia="Arial" w:hAnsi="Arial"/>
                <w:sz w:val="18"/>
                <w:szCs w:val="18"/>
                <w:color w:val="auto"/>
                <w:w w:val="88"/>
              </w:rPr>
              <w:t>1,668</w:t>
            </w:r>
          </w:p>
        </w:tc>
        <w:tc>
          <w:tcPr>
            <w:tcW w:w="2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1,764</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343,526</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347,010</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ind w:left="560"/>
              <w:spacing w:after="0" w:line="182" w:lineRule="exact"/>
              <w:rPr>
                <w:sz w:val="20"/>
                <w:szCs w:val="20"/>
                <w:color w:val="auto"/>
              </w:rPr>
            </w:pPr>
            <w:r>
              <w:rPr>
                <w:rFonts w:ascii="Arial" w:cs="Arial" w:eastAsia="Arial" w:hAnsi="Arial"/>
                <w:sz w:val="18"/>
                <w:szCs w:val="18"/>
                <w:color w:val="auto"/>
                <w:w w:val="88"/>
              </w:rPr>
              <w:t>3,488</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3,584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w:t>
      </w:r>
    </w:p>
    <w:p>
      <w:pPr>
        <w:spacing w:after="0" w:line="202" w:lineRule="exact"/>
        <w:rPr>
          <w:sz w:val="20"/>
          <w:szCs w:val="20"/>
          <w:color w:val="auto"/>
        </w:rPr>
      </w:pPr>
    </w:p>
    <w:p>
      <w:pPr>
        <w:ind w:right="40" w:firstLine="416"/>
        <w:spacing w:after="0" w:line="342" w:lineRule="auto"/>
        <w:rPr>
          <w:sz w:val="20"/>
          <w:szCs w:val="20"/>
          <w:color w:val="auto"/>
        </w:rPr>
      </w:pPr>
      <w:r>
        <w:rPr>
          <w:rFonts w:ascii="Arial" w:cs="Arial" w:eastAsia="Arial" w:hAnsi="Arial"/>
          <w:sz w:val="16"/>
          <w:szCs w:val="16"/>
          <w:color w:val="auto"/>
        </w:rPr>
        <w:t>The following table presents information about the Company’s assets and liabilities at June 30, 2020 and December 31, 2019 that are measured at fair value on a recurring basis and indicates the fair value hierarchy of the valuation techniques the Company utilized to determine such fair value: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1,764</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1,764</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99,514</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63,669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35,845</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168,968</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167,015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1,953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78,528</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78,528</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45,063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45,063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393,837</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65,433</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281,388</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47,016</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24"/>
                <w:szCs w:val="2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8,064</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8,064</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117,376</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73,795</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43,581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195,855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193,902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1,953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93,779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93,779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32,400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32,400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447,474</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81,859</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331,262</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34,353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16"/>
        <w:spacing w:after="0" w:line="277" w:lineRule="auto"/>
        <w:rPr>
          <w:sz w:val="20"/>
          <w:szCs w:val="20"/>
          <w:color w:val="auto"/>
        </w:rPr>
      </w:pPr>
      <w:r>
        <w:rPr>
          <w:rFonts w:ascii="Arial" w:cs="Arial" w:eastAsia="Arial" w:hAnsi="Arial"/>
          <w:sz w:val="18"/>
          <w:szCs w:val="18"/>
          <w:color w:val="auto"/>
        </w:rPr>
        <w:t>The Company transfers its financial assets and liabilities, measured at fair value on a recurring basis, between the fair value hierarchies at the end of each reporting period.</w:t>
      </w:r>
    </w:p>
    <w:p>
      <w:pPr>
        <w:spacing w:after="0" w:line="130" w:lineRule="exact"/>
        <w:rPr>
          <w:sz w:val="20"/>
          <w:szCs w:val="20"/>
          <w:color w:val="auto"/>
        </w:rPr>
      </w:pPr>
    </w:p>
    <w:p>
      <w:pPr>
        <w:ind w:right="480" w:firstLine="416"/>
        <w:spacing w:after="0" w:line="308" w:lineRule="auto"/>
        <w:rPr>
          <w:sz w:val="20"/>
          <w:szCs w:val="20"/>
          <w:color w:val="auto"/>
        </w:rPr>
      </w:pPr>
      <w:r>
        <w:rPr>
          <w:rFonts w:ascii="Arial" w:cs="Arial" w:eastAsia="Arial" w:hAnsi="Arial"/>
          <w:sz w:val="17"/>
          <w:szCs w:val="17"/>
          <w:color w:val="auto"/>
        </w:rPr>
        <w:t>There were no transfers of any securities between the fair value hierarchies during the six months ended June 30, 2020. The following table is a rollforward of the fair value of the Company’s assets whose fair values were determined using Level 3 inputs at June 30,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526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January 1, 2020</w:t>
            </w:r>
          </w:p>
        </w:tc>
        <w:tc>
          <w:tcPr>
            <w:tcW w:w="40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34,353</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26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4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12,700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w w:val="94"/>
              </w:rPr>
              <w:t>Payments due to the Company related to contingent consideration</w:t>
            </w:r>
          </w:p>
        </w:tc>
        <w:tc>
          <w:tcPr>
            <w:tcW w:w="40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5260" w:type="dxa"/>
            <w:vAlign w:val="bottom"/>
          </w:tcPr>
          <w:p>
            <w:pPr>
              <w:spacing w:after="0" w:line="182" w:lineRule="exact"/>
              <w:rPr>
                <w:sz w:val="20"/>
                <w:szCs w:val="20"/>
                <w:color w:val="auto"/>
              </w:rPr>
            </w:pPr>
            <w:r>
              <w:rPr>
                <w:rFonts w:ascii="Arial" w:cs="Arial" w:eastAsia="Arial" w:hAnsi="Arial"/>
                <w:sz w:val="18"/>
                <w:szCs w:val="18"/>
                <w:color w:val="auto"/>
              </w:rPr>
              <w:t>Balance, June 30, 2020</w:t>
            </w:r>
          </w:p>
        </w:tc>
        <w:tc>
          <w:tcPr>
            <w:tcW w:w="40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47,016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000" w:type="dxa"/>
            <w:vAlign w:val="bottom"/>
            <w:vMerge w:val="restart"/>
          </w:tcPr>
          <w:p>
            <w:pPr>
              <w:jc w:val="right"/>
              <w:ind w:right="345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9" w:lineRule="exact"/>
        <w:rPr>
          <w:sz w:val="20"/>
          <w:szCs w:val="20"/>
          <w:color w:val="auto"/>
        </w:rPr>
      </w:pPr>
    </w:p>
    <w:p>
      <w:pPr>
        <w:ind w:right="120" w:firstLine="416"/>
        <w:spacing w:after="0" w:line="296" w:lineRule="auto"/>
        <w:rPr>
          <w:sz w:val="20"/>
          <w:szCs w:val="20"/>
          <w:color w:val="auto"/>
        </w:rPr>
      </w:pPr>
      <w:r>
        <w:rPr>
          <w:rFonts w:ascii="Arial" w:cs="Arial" w:eastAsia="Arial" w:hAnsi="Arial"/>
          <w:sz w:val="16"/>
          <w:szCs w:val="16"/>
          <w:color w:val="auto"/>
        </w:rPr>
        <w:t>The Company’s investments in U.S. government and agency debt securities, international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34" w:lineRule="exact"/>
        <w:rPr>
          <w:sz w:val="20"/>
          <w:szCs w:val="20"/>
          <w:color w:val="auto"/>
        </w:rPr>
      </w:pPr>
    </w:p>
    <w:p>
      <w:pPr>
        <w:ind w:right="140" w:firstLine="416"/>
        <w:spacing w:after="0" w:line="255" w:lineRule="auto"/>
        <w:rPr>
          <w:sz w:val="20"/>
          <w:szCs w:val="20"/>
          <w:color w:val="auto"/>
        </w:rPr>
      </w:pPr>
      <w:r>
        <w:rPr>
          <w:rFonts w:ascii="Arial" w:cs="Arial" w:eastAsia="Arial" w:hAnsi="Arial"/>
          <w:sz w:val="18"/>
          <w:szCs w:val="18"/>
          <w:color w:val="auto"/>
        </w:rPr>
        <w:t xml:space="preserve">The Company’s contingent consideration relates to the Company’s sale in April 2015 of its Gainesville, GA manufacturing facility, the related manufacturing and royalty revenue associated with certain products manufactured at the facility, and the rights to IV/IM and parenteral forms of Meloxicam (collectively, the “Gainesville Transaction”) to Recro Pharma, Inc. (“Recro”) and Recro Pharma LLC. As part of the Gainesville Transaction, the Company obtained rights to receive contingent payments upon the achievement by Meloxicam products of certain regulatory and sales milestones and royalties on future net sales of Meloxicam products. Additional details regarding the Gainesville Transaction can be found in Note 5, </w:t>
      </w:r>
      <w:r>
        <w:rPr>
          <w:rFonts w:ascii="Arial" w:cs="Arial" w:eastAsia="Arial" w:hAnsi="Arial"/>
          <w:sz w:val="18"/>
          <w:szCs w:val="18"/>
          <w:i w:val="1"/>
          <w:iCs w:val="1"/>
          <w:color w:val="auto"/>
        </w:rPr>
        <w:t>Fair Value</w:t>
      </w:r>
      <w:r>
        <w:rPr>
          <w:rFonts w:ascii="Arial" w:cs="Arial" w:eastAsia="Arial" w:hAnsi="Arial"/>
          <w:sz w:val="18"/>
          <w:szCs w:val="18"/>
          <w:color w:val="auto"/>
        </w:rPr>
        <w:t>, in the Notes to Consolidated Financial Statements in the Annual Report.</w:t>
      </w:r>
    </w:p>
    <w:p>
      <w:pPr>
        <w:spacing w:after="0" w:line="152" w:lineRule="exact"/>
        <w:rPr>
          <w:sz w:val="20"/>
          <w:szCs w:val="20"/>
          <w:color w:val="auto"/>
        </w:rPr>
      </w:pPr>
    </w:p>
    <w:p>
      <w:pPr>
        <w:jc w:val="both"/>
        <w:ind w:right="300" w:firstLine="416"/>
        <w:spacing w:after="0" w:line="263" w:lineRule="auto"/>
        <w:rPr>
          <w:sz w:val="20"/>
          <w:szCs w:val="20"/>
          <w:color w:val="auto"/>
        </w:rPr>
      </w:pPr>
      <w:r>
        <w:rPr>
          <w:rFonts w:ascii="Arial" w:cs="Arial" w:eastAsia="Arial" w:hAnsi="Arial"/>
          <w:sz w:val="18"/>
          <w:szCs w:val="18"/>
          <w:color w:val="auto"/>
        </w:rPr>
        <w:t>In November 2019, Recro completed a spin out of its acute care segment into a new entity named Baudax Bio, Inc. (“Baudax”), a publicly traded pharmaceutical company. As part of this transaction, Recro’s obligations to pay certain of the contingent consideration from the Gainesville Transaction were assigned and/or transferred to Baudax.</w:t>
      </w:r>
    </w:p>
    <w:p>
      <w:pPr>
        <w:spacing w:after="0" w:line="143" w:lineRule="exact"/>
        <w:rPr>
          <w:sz w:val="20"/>
          <w:szCs w:val="20"/>
          <w:color w:val="auto"/>
        </w:rPr>
      </w:pPr>
    </w:p>
    <w:p>
      <w:pPr>
        <w:ind w:right="40" w:firstLine="416"/>
        <w:spacing w:after="0" w:line="291" w:lineRule="auto"/>
        <w:rPr>
          <w:sz w:val="20"/>
          <w:szCs w:val="20"/>
          <w:color w:val="auto"/>
        </w:rPr>
      </w:pPr>
      <w:r>
        <w:rPr>
          <w:rFonts w:ascii="Arial" w:cs="Arial" w:eastAsia="Arial" w:hAnsi="Arial"/>
          <w:sz w:val="16"/>
          <w:szCs w:val="16"/>
          <w:color w:val="auto"/>
        </w:rPr>
        <w:t xml:space="preserve">On February 20, 2020, ANJESO (formerly referred to as Meloxicam IV/IM), was approved by the U.S. Food and Drug Administration (the “FDA”). At June 30, 2020 and December 31, 2019, the Company determined that the value of the contingent consideration was $45.1 million and $32.4 million, respectively. The Company recorded an increase of $5.9 million and $12.7 million during the three and six months ended June 30, 2020, respectively, and a decrease of $6.5 million and $29.1 million during the three and six months ended June 30, 2019, respectively, within “Change in the fair value of contingent consideration” in the accompanying condensed consolidated statements of operations and comprehensive loss. The fair value of the contingent consideration was developed using the same valuation approaches as described in Note 5,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in the Notes to Consolidated Financial Statements in the Annual Report, using a discount rate of 16% in all three valuation approaches at June 30, 2020 and December 31, 2019.</w:t>
      </w:r>
    </w:p>
    <w:p>
      <w:pPr>
        <w:spacing w:after="0" w:line="139" w:lineRule="exact"/>
        <w:rPr>
          <w:sz w:val="20"/>
          <w:szCs w:val="20"/>
          <w:color w:val="auto"/>
        </w:rPr>
      </w:pPr>
    </w:p>
    <w:p>
      <w:pPr>
        <w:ind w:right="280" w:firstLine="416"/>
        <w:spacing w:after="0" w:line="277" w:lineRule="auto"/>
        <w:rPr>
          <w:sz w:val="20"/>
          <w:szCs w:val="20"/>
          <w:color w:val="auto"/>
        </w:rPr>
      </w:pPr>
      <w:r>
        <w:rPr>
          <w:rFonts w:ascii="Arial" w:cs="Arial" w:eastAsia="Arial" w:hAnsi="Arial"/>
          <w:sz w:val="18"/>
          <w:szCs w:val="18"/>
          <w:color w:val="auto"/>
        </w:rPr>
        <w:t>The carrying amounts reflected in the consolidated balance sheets for cash and cash equivalents, accounts receivable, contract assets, other current assets, accounts payable and accrued expenses approximate fair value due to their short-term nature.</w:t>
      </w:r>
    </w:p>
    <w:p>
      <w:pPr>
        <w:spacing w:after="0" w:line="130" w:lineRule="exact"/>
        <w:rPr>
          <w:sz w:val="20"/>
          <w:szCs w:val="20"/>
          <w:color w:val="auto"/>
        </w:rPr>
      </w:pPr>
    </w:p>
    <w:p>
      <w:pPr>
        <w:ind w:right="200" w:firstLine="416"/>
        <w:spacing w:after="0" w:line="301" w:lineRule="auto"/>
        <w:rPr>
          <w:sz w:val="20"/>
          <w:szCs w:val="20"/>
          <w:color w:val="auto"/>
        </w:rPr>
      </w:pPr>
      <w:r>
        <w:rPr>
          <w:rFonts w:ascii="Arial" w:cs="Arial" w:eastAsia="Arial" w:hAnsi="Arial"/>
          <w:sz w:val="16"/>
          <w:szCs w:val="16"/>
          <w:color w:val="auto"/>
        </w:rPr>
        <w:t xml:space="preserve">The estimated fair value of the Company’s long-term debt under the amended and restated credit agreement (such debt, the “2023 Term Loans”), which was based on quoted market price indications (Level 2 in the fair value hierarchy) and which may not be representative of actual values that could have been, or will be, realized in the future, was $264.0 million and $277.9 million at June 30, 2020 and December 31, 2019, respectively. Please refer to Note 11,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in these “Notes to Condensed Consolidated Financial Statements” in this Form 10-Q for additional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02" w:lineRule="exact"/>
        <w:rPr>
          <w:sz w:val="20"/>
          <w:szCs w:val="20"/>
          <w:color w:val="auto"/>
        </w:rPr>
      </w:pPr>
    </w:p>
    <w:p>
      <w:pPr>
        <w:ind w:right="420" w:firstLine="416"/>
        <w:spacing w:after="0" w:line="277" w:lineRule="auto"/>
        <w:rPr>
          <w:sz w:val="20"/>
          <w:szCs w:val="20"/>
          <w:color w:val="auto"/>
        </w:rPr>
      </w:pPr>
      <w:r>
        <w:rPr>
          <w:rFonts w:ascii="Arial" w:cs="Arial" w:eastAsia="Arial" w:hAnsi="Arial"/>
          <w:sz w:val="18"/>
          <w:szCs w:val="18"/>
          <w:color w:val="auto"/>
        </w:rPr>
        <w:t>Inventory is stated at the lower of cost and net realizable value. Cost is determined using the first-in, first-out method. Inventory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Raw materials</w:t>
            </w: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42,978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34,577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43,010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54,061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Finished goods</w:t>
            </w:r>
            <w:r>
              <w:rPr>
                <w:rFonts w:ascii="Arial" w:cs="Arial" w:eastAsia="Arial" w:hAnsi="Arial"/>
                <w:sz w:val="15"/>
                <w:szCs w:val="15"/>
                <w:color w:val="auto"/>
              </w:rPr>
              <w:t>(1)</w:t>
            </w:r>
          </w:p>
        </w:tc>
        <w:tc>
          <w:tcPr>
            <w:tcW w:w="3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30,470</w:t>
            </w:r>
          </w:p>
        </w:tc>
        <w:tc>
          <w:tcPr>
            <w:tcW w:w="28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13,165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60"/>
              <w:spacing w:after="0" w:line="182" w:lineRule="exact"/>
              <w:rPr>
                <w:sz w:val="20"/>
                <w:szCs w:val="20"/>
                <w:color w:val="auto"/>
              </w:rPr>
            </w:pPr>
            <w:r>
              <w:rPr>
                <w:rFonts w:ascii="Arial" w:cs="Arial" w:eastAsia="Arial" w:hAnsi="Arial"/>
                <w:sz w:val="18"/>
                <w:szCs w:val="18"/>
                <w:color w:val="auto"/>
              </w:rPr>
              <w:t>Total inventory</w:t>
            </w: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116,458</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101,803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20" w:right="60" w:hanging="407"/>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June 30, 2020 and December 31, 2019, the Company had $28.6 million and $7.6 million, respectively, of finished goods inventory located at its third-party warehouse and shipping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5314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plant and equipment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FF0FC"/>
            </w:tcBorders>
            <w:vMerge w:val="continue"/>
          </w:tcPr>
          <w:p>
            <w:pPr>
              <w:spacing w:after="0"/>
              <w:rPr>
                <w:sz w:val="14"/>
                <w:szCs w:val="14"/>
                <w:color w:val="auto"/>
              </w:rPr>
            </w:pPr>
          </w:p>
        </w:tc>
        <w:tc>
          <w:tcPr>
            <w:tcW w:w="14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Land</w:t>
            </w: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6,560</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6,560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Building and improvements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60"/>
              <w:spacing w:after="0" w:line="189" w:lineRule="exact"/>
              <w:rPr>
                <w:sz w:val="20"/>
                <w:szCs w:val="20"/>
                <w:color w:val="auto"/>
              </w:rPr>
            </w:pPr>
            <w:r>
              <w:rPr>
                <w:rFonts w:ascii="Arial" w:cs="Arial" w:eastAsia="Arial" w:hAnsi="Arial"/>
                <w:sz w:val="18"/>
                <w:szCs w:val="18"/>
                <w:color w:val="auto"/>
              </w:rPr>
              <w:t>178,193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177,087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Furniture, fixtures and equipment</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348,798</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340,146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Leasehold improvements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60"/>
              <w:spacing w:after="0" w:line="189" w:lineRule="exact"/>
              <w:rPr>
                <w:sz w:val="20"/>
                <w:szCs w:val="20"/>
                <w:color w:val="auto"/>
              </w:rPr>
            </w:pPr>
            <w:r>
              <w:rPr>
                <w:rFonts w:ascii="Arial" w:cs="Arial" w:eastAsia="Arial" w:hAnsi="Arial"/>
                <w:sz w:val="18"/>
                <w:szCs w:val="18"/>
                <w:color w:val="auto"/>
              </w:rPr>
              <w:t>52,327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20,737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Construction in progress</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114,218</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134,683</w:t>
            </w:r>
          </w:p>
        </w:tc>
        <w:tc>
          <w:tcPr>
            <w:tcW w:w="120" w:type="dxa"/>
            <w:vAlign w:val="bottom"/>
            <w:tcBorders>
              <w:bottom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Pr>
          <w:p>
            <w:pPr>
              <w:ind w:left="260"/>
              <w:spacing w:after="0" w:line="182" w:lineRule="exact"/>
              <w:rPr>
                <w:sz w:val="20"/>
                <w:szCs w:val="20"/>
                <w:color w:val="auto"/>
              </w:rPr>
            </w:pPr>
            <w:r>
              <w:rPr>
                <w:rFonts w:ascii="Arial" w:cs="Arial" w:eastAsia="Arial" w:hAnsi="Arial"/>
                <w:sz w:val="18"/>
                <w:szCs w:val="18"/>
                <w:color w:val="auto"/>
              </w:rPr>
              <w:t>Subtotal</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60"/>
              <w:spacing w:after="0" w:line="182" w:lineRule="exact"/>
              <w:rPr>
                <w:sz w:val="20"/>
                <w:szCs w:val="20"/>
                <w:color w:val="auto"/>
              </w:rPr>
            </w:pPr>
            <w:r>
              <w:rPr>
                <w:rFonts w:ascii="Arial" w:cs="Arial" w:eastAsia="Arial" w:hAnsi="Arial"/>
                <w:sz w:val="18"/>
                <w:szCs w:val="18"/>
                <w:color w:val="auto"/>
              </w:rPr>
              <w:t>700,096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679,213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Less: accumulated depreciation</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(338,289)</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(317,045)</w:t>
            </w:r>
          </w:p>
        </w:tc>
        <w:tc>
          <w:tcPr>
            <w:tcW w:w="0" w:type="dxa"/>
            <w:vAlign w:val="bottom"/>
          </w:tcPr>
          <w:p>
            <w:pPr>
              <w:spacing w:after="0"/>
              <w:rPr>
                <w:sz w:val="1"/>
                <w:szCs w:val="1"/>
                <w:color w:val="auto"/>
              </w:rPr>
            </w:pPr>
          </w:p>
        </w:tc>
      </w:tr>
      <w:tr>
        <w:trPr>
          <w:trHeight w:val="183"/>
        </w:trPr>
        <w:tc>
          <w:tcPr>
            <w:tcW w:w="4920" w:type="dxa"/>
            <w:vAlign w:val="bottom"/>
          </w:tcPr>
          <w:p>
            <w:pPr>
              <w:ind w:left="260"/>
              <w:spacing w:after="0" w:line="182" w:lineRule="exact"/>
              <w:rPr>
                <w:sz w:val="20"/>
                <w:szCs w:val="20"/>
                <w:color w:val="auto"/>
              </w:rPr>
            </w:pPr>
            <w:r>
              <w:rPr>
                <w:rFonts w:ascii="Arial" w:cs="Arial" w:eastAsia="Arial" w:hAnsi="Arial"/>
                <w:sz w:val="18"/>
                <w:szCs w:val="18"/>
                <w:color w:val="auto"/>
              </w:rPr>
              <w:t>Total property, plant and equipment, net</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0"/>
              <w:spacing w:after="0" w:line="182" w:lineRule="exact"/>
              <w:rPr>
                <w:sz w:val="20"/>
                <w:szCs w:val="20"/>
                <w:color w:val="auto"/>
              </w:rPr>
            </w:pPr>
            <w:r>
              <w:rPr>
                <w:rFonts w:ascii="Arial" w:cs="Arial" w:eastAsia="Arial" w:hAnsi="Arial"/>
                <w:sz w:val="18"/>
                <w:szCs w:val="18"/>
                <w:color w:val="auto"/>
              </w:rPr>
              <w:t>361,807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362,168</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8. GOODWILL AND INTANGIBLE ASSETS</w:t>
            </w: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420"/>
              <w:spacing w:after="0"/>
              <w:rPr>
                <w:sz w:val="20"/>
                <w:szCs w:val="20"/>
                <w:color w:val="auto"/>
              </w:rPr>
            </w:pPr>
            <w:r>
              <w:rPr>
                <w:rFonts w:ascii="Arial" w:cs="Arial" w:eastAsia="Arial" w:hAnsi="Arial"/>
                <w:sz w:val="18"/>
                <w:szCs w:val="18"/>
                <w:color w:val="auto"/>
                <w:w w:val="98"/>
              </w:rPr>
              <w:t>Goodwill and intangible assets consisted of the following:</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16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Weighted Amortizable</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right"/>
              <w:ind w:right="110"/>
              <w:spacing w:after="0" w:line="115" w:lineRule="exact"/>
              <w:rPr>
                <w:sz w:val="20"/>
                <w:szCs w:val="20"/>
                <w:color w:val="auto"/>
              </w:rPr>
            </w:pPr>
            <w:r>
              <w:rPr>
                <w:rFonts w:ascii="Arial" w:cs="Arial" w:eastAsia="Arial" w:hAnsi="Arial"/>
                <w:sz w:val="13"/>
                <w:szCs w:val="13"/>
                <w:b w:val="1"/>
                <w:bCs w:val="1"/>
                <w:color w:val="auto"/>
              </w:rPr>
              <w:t>Gross Carrying</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3"/>
          </w:tcPr>
          <w:p>
            <w:pPr>
              <w:ind w:left="160"/>
              <w:spacing w:after="0" w:line="115"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200"/>
              <w:spacing w:after="0" w:line="115" w:lineRule="exact"/>
              <w:rPr>
                <w:sz w:val="20"/>
                <w:szCs w:val="20"/>
                <w:color w:val="auto"/>
              </w:rPr>
            </w:pPr>
            <w:r>
              <w:rPr>
                <w:rFonts w:ascii="Arial" w:cs="Arial" w:eastAsia="Arial" w:hAnsi="Arial"/>
                <w:sz w:val="13"/>
                <w:szCs w:val="13"/>
                <w:b w:val="1"/>
                <w:bCs w:val="1"/>
                <w:color w:val="auto"/>
              </w:rPr>
              <w:t>Net Carrying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920" w:type="dxa"/>
            <w:vAlign w:val="bottom"/>
            <w:vMerge w:val="continue"/>
          </w:tcPr>
          <w:p>
            <w:pPr>
              <w:spacing w:after="0"/>
              <w:rPr>
                <w:sz w:val="14"/>
                <w:szCs w:val="14"/>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4"/>
                <w:szCs w:val="14"/>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492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Goodwill</w:t>
            </w:r>
          </w:p>
        </w:tc>
        <w:tc>
          <w:tcPr>
            <w:tcW w:w="1480" w:type="dxa"/>
            <w:vAlign w:val="bottom"/>
            <w:tcBorders>
              <w:top w:val="single" w:sz="8" w:color="auto"/>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92,873</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92,873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2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Collaboration agreements</w:t>
            </w:r>
          </w:p>
        </w:tc>
        <w:tc>
          <w:tcPr>
            <w:tcW w:w="148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12</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465,590</w:t>
            </w:r>
          </w:p>
        </w:tc>
        <w:tc>
          <w:tcPr>
            <w:tcW w:w="34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320" w:type="dxa"/>
            <w:vAlign w:val="bottom"/>
            <w:gridSpan w:val="3"/>
            <w:shd w:val="clear" w:color="auto" w:fill="CFF0FC"/>
          </w:tcPr>
          <w:p>
            <w:pPr>
              <w:jc w:val="right"/>
              <w:spacing w:after="0" w:line="189" w:lineRule="exact"/>
              <w:rPr>
                <w:sz w:val="20"/>
                <w:szCs w:val="20"/>
                <w:color w:val="auto"/>
              </w:rPr>
            </w:pPr>
            <w:r>
              <w:rPr>
                <w:rFonts w:ascii="Arial" w:cs="Arial" w:eastAsia="Arial" w:hAnsi="Arial"/>
                <w:sz w:val="18"/>
                <w:szCs w:val="18"/>
                <w:color w:val="auto"/>
              </w:rPr>
              <w:t>(363,081)</w:t>
            </w:r>
          </w:p>
        </w:tc>
        <w:tc>
          <w:tcPr>
            <w:tcW w:w="3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102,509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260"/>
              <w:spacing w:after="0" w:line="189" w:lineRule="exact"/>
              <w:rPr>
                <w:sz w:val="20"/>
                <w:szCs w:val="20"/>
                <w:color w:val="auto"/>
              </w:rPr>
            </w:pPr>
            <w:r>
              <w:rPr>
                <w:rFonts w:ascii="Arial" w:cs="Arial" w:eastAsia="Arial" w:hAnsi="Arial"/>
                <w:sz w:val="18"/>
                <w:szCs w:val="18"/>
                <w:color w:val="auto"/>
              </w:rPr>
              <w:t>NanoCrystal technology</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89"/>
              </w:rPr>
              <w:t>13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74,600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(50,561)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24,039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4920" w:type="dxa"/>
            <w:vAlign w:val="bottom"/>
            <w:shd w:val="clear" w:color="auto" w:fill="CFF0FC"/>
          </w:tcPr>
          <w:p>
            <w:pPr>
              <w:ind w:left="260"/>
              <w:spacing w:after="0"/>
              <w:rPr>
                <w:sz w:val="20"/>
                <w:szCs w:val="20"/>
                <w:color w:val="auto"/>
              </w:rPr>
            </w:pPr>
            <w:r>
              <w:rPr>
                <w:rFonts w:ascii="Arial" w:cs="Arial" w:eastAsia="Arial" w:hAnsi="Arial"/>
                <w:sz w:val="1"/>
                <w:szCs w:val="1"/>
                <w:color w:val="auto"/>
              </w:rPr>
              <w:t>OCR   technologies</w:t>
            </w:r>
          </w:p>
        </w:tc>
        <w:tc>
          <w:tcPr>
            <w:tcW w:w="1480" w:type="dxa"/>
            <w:vAlign w:val="bottom"/>
            <w:shd w:val="clear" w:color="auto" w:fill="CFF0FC"/>
          </w:tcPr>
          <w:p>
            <w:pPr>
              <w:jc w:val="center"/>
              <w:spacing w:after="0"/>
              <w:rPr>
                <w:sz w:val="20"/>
                <w:szCs w:val="20"/>
                <w:color w:val="auto"/>
              </w:rPr>
            </w:pPr>
            <w:r>
              <w:rPr>
                <w:rFonts w:ascii="Arial" w:cs="Arial" w:eastAsia="Arial" w:hAnsi="Arial"/>
                <w:sz w:val="1"/>
                <w:szCs w:val="1"/>
                <w:color w:val="auto"/>
              </w:rPr>
              <w:t>12</w:t>
            </w: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
                <w:szCs w:val="1"/>
                <w:color w:val="auto"/>
              </w:rPr>
              <w:t>42,560</w:t>
            </w: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20" w:type="dxa"/>
            <w:vAlign w:val="bottom"/>
            <w:gridSpan w:val="3"/>
            <w:shd w:val="clear" w:color="auto" w:fill="CFF0FC"/>
          </w:tcPr>
          <w:p>
            <w:pPr>
              <w:jc w:val="right"/>
              <w:spacing w:after="0"/>
              <w:rPr>
                <w:sz w:val="20"/>
                <w:szCs w:val="20"/>
                <w:color w:val="auto"/>
              </w:rPr>
            </w:pPr>
            <w:r>
              <w:rPr>
                <w:rFonts w:ascii="Arial" w:cs="Arial" w:eastAsia="Arial" w:hAnsi="Arial"/>
                <w:sz w:val="1"/>
                <w:szCs w:val="1"/>
                <w:color w:val="auto"/>
              </w:rPr>
              <w:t>(38,083)</w:t>
            </w: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
                <w:szCs w:val="1"/>
                <w:color w:val="auto"/>
              </w:rPr>
              <w:t>4,477</w:t>
            </w: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20" w:type="dxa"/>
            <w:vAlign w:val="bottom"/>
            <w:shd w:val="clear" w:color="auto" w:fill="CFF0FC"/>
          </w:tcPr>
          <w:p>
            <w:pPr>
              <w:ind w:left="620"/>
              <w:spacing w:after="0"/>
              <w:rPr>
                <w:sz w:val="20"/>
                <w:szCs w:val="20"/>
                <w:color w:val="auto"/>
              </w:rPr>
            </w:pPr>
            <w:r>
              <w:rPr>
                <w:rFonts w:ascii="Arial" w:cs="Arial" w:eastAsia="Arial" w:hAnsi="Arial"/>
                <w:sz w:val="15"/>
                <w:szCs w:val="15"/>
                <w:color w:val="auto"/>
              </w:rPr>
              <w:t>(1)</w:t>
            </w: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20" w:type="dxa"/>
            <w:vAlign w:val="bottom"/>
          </w:tcPr>
          <w:p>
            <w:pPr>
              <w:ind w:left="380"/>
              <w:spacing w:after="0" w:line="182" w:lineRule="exact"/>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582,750</w:t>
            </w:r>
          </w:p>
        </w:tc>
        <w:tc>
          <w:tcPr>
            <w:tcW w:w="2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(451,725)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131,025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820" w:hanging="40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OCR refers to the Company’s oral controlled release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314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78" w:lineRule="exact"/>
        <w:rPr>
          <w:sz w:val="20"/>
          <w:szCs w:val="20"/>
          <w:color w:val="auto"/>
        </w:rPr>
      </w:pPr>
    </w:p>
    <w:p>
      <w:pPr>
        <w:ind w:right="80" w:firstLine="416"/>
        <w:spacing w:after="0" w:line="296" w:lineRule="auto"/>
        <w:rPr>
          <w:sz w:val="20"/>
          <w:szCs w:val="20"/>
          <w:color w:val="auto"/>
        </w:rPr>
      </w:pPr>
      <w:r>
        <w:rPr>
          <w:rFonts w:ascii="Arial" w:cs="Arial" w:eastAsia="Arial" w:hAnsi="Arial"/>
          <w:sz w:val="16"/>
          <w:szCs w:val="16"/>
          <w:color w:val="auto"/>
        </w:rPr>
        <w:t>Based on the Company’s most recent analysis, amortization of intangible assets included within its condensed consolidated balance sheet at June 30, 2020 is expected to be approximately $40.0 million, $40.0 million, $35.0 million, $35.0 million and $1.0 million in the years ending December 31, 2020 through 2024, respectively. Although the Company believes such available information and assumptions are reasonable, given the inherent risks and uncertainties underlying its expectations regarding such future revenues, there is the potential for the Company’s actual results to vary significantly from such expectations. If revenues are projected to change, the related amortization of the intangible assets will change in proportion to the change in revenues.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89" w:lineRule="exact"/>
        <w:rPr>
          <w:sz w:val="20"/>
          <w:szCs w:val="20"/>
          <w:color w:val="auto"/>
        </w:rPr>
      </w:pPr>
    </w:p>
    <w:p>
      <w:pPr>
        <w:jc w:val="both"/>
        <w:ind w:right="220" w:firstLine="566"/>
        <w:spacing w:after="0" w:line="259" w:lineRule="auto"/>
        <w:rPr>
          <w:sz w:val="20"/>
          <w:szCs w:val="20"/>
          <w:color w:val="auto"/>
        </w:rPr>
      </w:pPr>
      <w:r>
        <w:rPr>
          <w:rFonts w:ascii="Arial" w:cs="Arial" w:eastAsia="Arial" w:hAnsi="Arial"/>
          <w:sz w:val="18"/>
          <w:szCs w:val="18"/>
          <w:color w:val="auto"/>
        </w:rPr>
        <w:t>In March 2018, the Company entered into a lease agreement for approximately 220,000 square feet of office and laboratory space at 900 Winter Street, Waltham, Massachusetts (“900 Winter Street”). The initial term of the operating lease for 900 Winter Street commenced on January 20, 2020 and expires in 2035, with an option to extend for an additional 10 years. The Company did not assume this option would be exercised in the calculation of its right-of-use asset and lease liability amounts.</w:t>
      </w:r>
    </w:p>
    <w:p>
      <w:pPr>
        <w:spacing w:after="0" w:line="187" w:lineRule="exact"/>
        <w:rPr>
          <w:sz w:val="20"/>
          <w:szCs w:val="20"/>
          <w:color w:val="auto"/>
        </w:rPr>
      </w:pPr>
    </w:p>
    <w:p>
      <w:pPr>
        <w:ind w:right="140" w:firstLine="416"/>
        <w:spacing w:after="0" w:line="277" w:lineRule="auto"/>
        <w:rPr>
          <w:sz w:val="20"/>
          <w:szCs w:val="20"/>
          <w:color w:val="auto"/>
        </w:rPr>
      </w:pPr>
      <w:r>
        <w:rPr>
          <w:rFonts w:ascii="Arial" w:cs="Arial" w:eastAsia="Arial" w:hAnsi="Arial"/>
          <w:sz w:val="18"/>
          <w:szCs w:val="18"/>
          <w:color w:val="auto"/>
        </w:rPr>
        <w:t>The Company has determined that the identified operating lease did not contain non-lease components and required no further allocation of the total lease cost. Additionally, the agreement in place did not contain information to determine the rate implicit in the lease.</w:t>
      </w:r>
    </w:p>
    <w:p>
      <w:pPr>
        <w:spacing w:after="0" w:line="170" w:lineRule="exact"/>
        <w:rPr>
          <w:sz w:val="20"/>
          <w:szCs w:val="20"/>
          <w:color w:val="auto"/>
        </w:rPr>
      </w:pPr>
    </w:p>
    <w:p>
      <w:pPr>
        <w:ind w:firstLine="416"/>
        <w:spacing w:after="0" w:line="301" w:lineRule="auto"/>
        <w:rPr>
          <w:sz w:val="20"/>
          <w:szCs w:val="20"/>
          <w:color w:val="auto"/>
        </w:rPr>
      </w:pPr>
      <w:r>
        <w:rPr>
          <w:rFonts w:ascii="Arial" w:cs="Arial" w:eastAsia="Arial" w:hAnsi="Arial"/>
          <w:sz w:val="16"/>
          <w:szCs w:val="16"/>
          <w:color w:val="auto"/>
        </w:rPr>
        <w:t>At June 30, 2020, the weighted average incremental borrowing rate and the weighted average remaining lease term for all operating leases held by the Company were 5.57% and 14.1 years, respectively. During the three and six months ended June 30, 2020, cash paid for amounts included for the measurement of lease liabilities was $4.5 million and $6.9 million, respectively, compared to $2.3 million and $4.6 million during the three and six months ended June 30, 2019, respectively. The Company recorded operating lease expense of $4.7 million and $8.6 million, during the three and six</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2020, respectively, compared to $2.1 million and $4.2 million during the three and six months ended June 30, 2019, respectively.</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lease payments under non-cancelable leases as of June 30, 2020 and December 31, 2019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98"/>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3"/>
                <w:szCs w:val="13"/>
                <w:b w:val="1"/>
                <w:bCs w:val="1"/>
                <w:color w:val="auto"/>
              </w:rPr>
              <w:t>(1)</w:t>
            </w:r>
          </w:p>
        </w:tc>
        <w:tc>
          <w:tcPr>
            <w:tcW w:w="120" w:type="dxa"/>
            <w:vAlign w:val="bottom"/>
            <w:tcBorders>
              <w:bottom w:val="single" w:sz="8" w:color="CFF0FC"/>
            </w:tcBorders>
          </w:tcPr>
          <w:p>
            <w:pPr>
              <w:spacing w:after="0"/>
              <w:rPr>
                <w:sz w:val="17"/>
                <w:szCs w:val="17"/>
                <w:color w:val="auto"/>
              </w:rPr>
            </w:pPr>
          </w:p>
        </w:tc>
      </w:tr>
      <w:tr>
        <w:trPr>
          <w:trHeight w:val="183"/>
        </w:trPr>
        <w:tc>
          <w:tcPr>
            <w:tcW w:w="77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2020</w:t>
            </w: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9,282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9,053</w:t>
            </w:r>
          </w:p>
        </w:tc>
        <w:tc>
          <w:tcPr>
            <w:tcW w:w="120" w:type="dxa"/>
            <w:vAlign w:val="bottom"/>
            <w:shd w:val="clear" w:color="auto" w:fill="CFF0FC"/>
          </w:tcPr>
          <w:p>
            <w:pPr>
              <w:spacing w:after="0"/>
              <w:rPr>
                <w:sz w:val="15"/>
                <w:szCs w:val="15"/>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2021</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12,906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2,727</w:t>
            </w:r>
          </w:p>
        </w:tc>
        <w:tc>
          <w:tcPr>
            <w:tcW w:w="120" w:type="dxa"/>
            <w:vAlign w:val="bottom"/>
          </w:tcPr>
          <w:p>
            <w:pPr>
              <w:spacing w:after="0"/>
              <w:rPr>
                <w:sz w:val="16"/>
                <w:szCs w:val="16"/>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2022</w:t>
            </w:r>
          </w:p>
        </w:tc>
        <w:tc>
          <w:tcPr>
            <w:tcW w:w="3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10,788</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6"/>
                <w:szCs w:val="16"/>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2023</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10,913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509</w:t>
            </w:r>
          </w:p>
        </w:tc>
        <w:tc>
          <w:tcPr>
            <w:tcW w:w="120" w:type="dxa"/>
            <w:vAlign w:val="bottom"/>
          </w:tcPr>
          <w:p>
            <w:pPr>
              <w:spacing w:after="0"/>
              <w:rPr>
                <w:sz w:val="16"/>
                <w:szCs w:val="16"/>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11,040</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520</w:t>
            </w:r>
          </w:p>
        </w:tc>
        <w:tc>
          <w:tcPr>
            <w:tcW w:w="120" w:type="dxa"/>
            <w:vAlign w:val="bottom"/>
            <w:shd w:val="clear" w:color="auto" w:fill="CFF0FC"/>
          </w:tcPr>
          <w:p>
            <w:pPr>
              <w:spacing w:after="0"/>
              <w:rPr>
                <w:sz w:val="16"/>
                <w:szCs w:val="16"/>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117,988</w:t>
            </w:r>
          </w:p>
        </w:tc>
        <w:tc>
          <w:tcPr>
            <w:tcW w:w="2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2,579</w:t>
            </w:r>
          </w:p>
        </w:tc>
        <w:tc>
          <w:tcPr>
            <w:tcW w:w="120" w:type="dxa"/>
            <w:vAlign w:val="bottom"/>
            <w:tcBorders>
              <w:bottom w:val="single" w:sz="8" w:color="CFF0FC"/>
            </w:tcBorders>
          </w:tcPr>
          <w:p>
            <w:pPr>
              <w:spacing w:after="0"/>
              <w:rPr>
                <w:sz w:val="16"/>
                <w:szCs w:val="16"/>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lease payments</w:t>
            </w:r>
          </w:p>
        </w:tc>
        <w:tc>
          <w:tcPr>
            <w:tcW w:w="32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172,917</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15,888</w:t>
            </w:r>
          </w:p>
        </w:tc>
        <w:tc>
          <w:tcPr>
            <w:tcW w:w="120" w:type="dxa"/>
            <w:vAlign w:val="bottom"/>
            <w:shd w:val="clear" w:color="auto" w:fill="CFF0FC"/>
          </w:tcPr>
          <w:p>
            <w:pPr>
              <w:spacing w:after="0"/>
              <w:rPr>
                <w:sz w:val="15"/>
                <w:szCs w:val="15"/>
                <w:color w:val="auto"/>
              </w:rPr>
            </w:pPr>
          </w:p>
        </w:tc>
      </w:tr>
      <w:tr>
        <w:trPr>
          <w:trHeight w:val="183"/>
        </w:trPr>
        <w:tc>
          <w:tcPr>
            <w:tcW w:w="772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(58,185)</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(2,080)</w:t>
            </w:r>
          </w:p>
        </w:tc>
        <w:tc>
          <w:tcPr>
            <w:tcW w:w="120" w:type="dxa"/>
            <w:vAlign w:val="bottom"/>
            <w:tcBorders>
              <w:bottom w:val="single" w:sz="8" w:color="CFF0FC"/>
            </w:tcBorders>
          </w:tcPr>
          <w:p>
            <w:pPr>
              <w:spacing w:after="0"/>
              <w:rPr>
                <w:sz w:val="15"/>
                <w:szCs w:val="15"/>
                <w:color w:val="auto"/>
              </w:rPr>
            </w:pPr>
          </w:p>
        </w:tc>
      </w:tr>
      <w:tr>
        <w:trPr>
          <w:trHeight w:val="18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operating lease liabilities</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114,732</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13,808</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820" w:right="60" w:hanging="407"/>
        <w:spacing w:after="0" w:line="255" w:lineRule="auto"/>
        <w:tabs>
          <w:tab w:leader="none" w:pos="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As of December 31, 2019, the term of the 900 Winter Street lease had not commenced and the Company (a) did not have the right to obtain or control the leased premises during the construction period; (b) did not have the right of payment for the partially constructed assets and, thus, the partially constructed assets could have potentially been leased to another tenant; and (c) did not legally own or control the land on which the property improvements were being constructed. As such, the lease assets were not included as right-of-use assets at December 31, 2019. The future lease payments outlined above do not include the 900 Winter Street payments as of December 31, 2019 under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w:t>
      </w:r>
    </w:p>
    <w:p>
      <w:pPr>
        <w:spacing w:after="0" w:line="201"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-1096645</wp:posOffset>
            </wp:positionV>
            <wp:extent cx="5314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payable and accrued expenses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3"/>
                <w:szCs w:val="13"/>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3"/>
                <w:szCs w:val="13"/>
                <w:color w:val="auto"/>
              </w:rPr>
            </w:pPr>
          </w:p>
        </w:tc>
        <w:tc>
          <w:tcPr>
            <w:tcW w:w="1460" w:type="dxa"/>
            <w:vAlign w:val="bottom"/>
          </w:tcPr>
          <w:p>
            <w:pPr>
              <w:jc w:val="center"/>
              <w:ind w:right="25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50,944</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54,261</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Accrued compensation</w:t>
            </w:r>
          </w:p>
        </w:tc>
        <w:tc>
          <w:tcPr>
            <w:tcW w:w="320" w:type="dxa"/>
            <w:vAlign w:val="bottom"/>
          </w:tcPr>
          <w:p>
            <w:pPr>
              <w:spacing w:after="0"/>
              <w:rPr>
                <w:sz w:val="16"/>
                <w:szCs w:val="16"/>
                <w:color w:val="auto"/>
              </w:rPr>
            </w:pPr>
          </w:p>
        </w:tc>
        <w:tc>
          <w:tcPr>
            <w:tcW w:w="1360" w:type="dxa"/>
            <w:vAlign w:val="bottom"/>
          </w:tcPr>
          <w:p>
            <w:pPr>
              <w:jc w:val="right"/>
              <w:ind w:right="56"/>
              <w:spacing w:after="0" w:line="189" w:lineRule="exact"/>
              <w:rPr>
                <w:sz w:val="20"/>
                <w:szCs w:val="20"/>
                <w:color w:val="auto"/>
              </w:rPr>
            </w:pPr>
            <w:r>
              <w:rPr>
                <w:rFonts w:ascii="Arial" w:cs="Arial" w:eastAsia="Arial" w:hAnsi="Arial"/>
                <w:sz w:val="18"/>
                <w:szCs w:val="18"/>
                <w:color w:val="auto"/>
              </w:rPr>
              <w:t>56,197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6"/>
              <w:spacing w:after="0" w:line="189" w:lineRule="exact"/>
              <w:rPr>
                <w:sz w:val="20"/>
                <w:szCs w:val="20"/>
                <w:color w:val="auto"/>
              </w:rPr>
            </w:pPr>
            <w:r>
              <w:rPr>
                <w:rFonts w:ascii="Arial" w:cs="Arial" w:eastAsia="Arial" w:hAnsi="Arial"/>
                <w:sz w:val="18"/>
                <w:szCs w:val="18"/>
                <w:color w:val="auto"/>
              </w:rPr>
              <w:t>72,072</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Accrued sales discounts, allowances and reserves</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56"/>
              <w:spacing w:after="0" w:line="189" w:lineRule="exact"/>
              <w:rPr>
                <w:sz w:val="20"/>
                <w:szCs w:val="20"/>
                <w:color w:val="auto"/>
              </w:rPr>
            </w:pPr>
            <w:r>
              <w:rPr>
                <w:rFonts w:ascii="Arial" w:cs="Arial" w:eastAsia="Arial" w:hAnsi="Arial"/>
                <w:sz w:val="18"/>
                <w:szCs w:val="18"/>
                <w:color w:val="auto"/>
              </w:rPr>
              <w:t>122,777</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56"/>
              <w:spacing w:after="0" w:line="189" w:lineRule="exact"/>
              <w:rPr>
                <w:sz w:val="20"/>
                <w:szCs w:val="20"/>
                <w:color w:val="auto"/>
              </w:rPr>
            </w:pPr>
            <w:r>
              <w:rPr>
                <w:rFonts w:ascii="Arial" w:cs="Arial" w:eastAsia="Arial" w:hAnsi="Arial"/>
                <w:sz w:val="18"/>
                <w:szCs w:val="18"/>
                <w:color w:val="auto"/>
              </w:rPr>
              <w:t>153,902</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Accrued other</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
              <w:spacing w:after="0" w:line="189" w:lineRule="exact"/>
              <w:rPr>
                <w:sz w:val="20"/>
                <w:szCs w:val="20"/>
                <w:color w:val="auto"/>
              </w:rPr>
            </w:pPr>
            <w:r>
              <w:rPr>
                <w:rFonts w:ascii="Arial" w:cs="Arial" w:eastAsia="Arial" w:hAnsi="Arial"/>
                <w:sz w:val="18"/>
                <w:szCs w:val="18"/>
                <w:color w:val="auto"/>
              </w:rPr>
              <w:t>65,770</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6"/>
              <w:spacing w:after="0" w:line="189" w:lineRule="exact"/>
              <w:rPr>
                <w:sz w:val="20"/>
                <w:szCs w:val="20"/>
                <w:color w:val="auto"/>
              </w:rPr>
            </w:pPr>
            <w:r>
              <w:rPr>
                <w:rFonts w:ascii="Arial" w:cs="Arial" w:eastAsia="Arial" w:hAnsi="Arial"/>
                <w:sz w:val="18"/>
                <w:szCs w:val="18"/>
                <w:color w:val="auto"/>
              </w:rPr>
              <w:t>92,802</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 accounts payable and accrued expenses</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295,688</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373,037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720" w:type="dxa"/>
            <w:vAlign w:val="bottom"/>
          </w:tcPr>
          <w:p>
            <w:pPr>
              <w:ind w:left="420"/>
              <w:spacing w:after="0"/>
              <w:rPr>
                <w:sz w:val="20"/>
                <w:szCs w:val="20"/>
                <w:color w:val="auto"/>
              </w:rPr>
            </w:pPr>
            <w:r>
              <w:rPr>
                <w:rFonts w:ascii="Arial" w:cs="Arial" w:eastAsia="Arial" w:hAnsi="Arial"/>
                <w:sz w:val="18"/>
                <w:szCs w:val="18"/>
                <w:color w:val="auto"/>
              </w:rPr>
              <w:t>Long-term debt consisted of the following:</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4"/>
                <w:szCs w:val="24"/>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460" w:type="dxa"/>
            <w:vAlign w:val="bottom"/>
          </w:tcPr>
          <w:p>
            <w:pPr>
              <w:jc w:val="center"/>
              <w:ind w:right="25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2023 Term Loans, due March 26, 2023</w:t>
            </w: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276,050</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277,138</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(2,843)</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182"/>
        </w:trPr>
        <w:tc>
          <w:tcPr>
            <w:tcW w:w="772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273,207</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274,295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firstLine="416"/>
        <w:spacing w:after="0" w:line="246" w:lineRule="auto"/>
        <w:rPr>
          <w:sz w:val="20"/>
          <w:szCs w:val="20"/>
          <w:color w:val="auto"/>
        </w:rPr>
      </w:pPr>
      <w:r>
        <w:rPr>
          <w:rFonts w:ascii="Arial" w:cs="Arial" w:eastAsia="Arial" w:hAnsi="Arial"/>
          <w:sz w:val="18"/>
          <w:szCs w:val="18"/>
          <w:color w:val="auto"/>
        </w:rPr>
        <w:t>The 2023 Term Loans have a due date of March 26, 2023 and interest payable of LIBOR plus 2.25% with a LIBOR floor of 0%. As of June 30, 2020, the Company was in compliance with its debt covenants.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202" w:lineRule="exact"/>
        <w:rPr>
          <w:sz w:val="20"/>
          <w:szCs w:val="20"/>
          <w:color w:val="auto"/>
        </w:rPr>
      </w:pPr>
    </w:p>
    <w:p>
      <w:pPr>
        <w:ind w:right="360" w:firstLine="416"/>
        <w:spacing w:after="0" w:line="277" w:lineRule="auto"/>
        <w:rPr>
          <w:sz w:val="20"/>
          <w:szCs w:val="20"/>
          <w:color w:val="auto"/>
        </w:rPr>
      </w:pPr>
      <w:r>
        <w:rPr>
          <w:rFonts w:ascii="Arial" w:cs="Arial" w:eastAsia="Arial" w:hAnsi="Arial"/>
          <w:sz w:val="18"/>
          <w:szCs w:val="18"/>
          <w:color w:val="auto"/>
        </w:rPr>
        <w:t>The following table presents share-based compensation expense included in the Company’s condensed consolidated statements of operations and comprehensive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6"/>
          </w:tcPr>
          <w:p>
            <w:pPr>
              <w:ind w:lef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FF0FC"/>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8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Cost of goods manufactured and sold</w:t>
            </w: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2,015</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2,505</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3,980</w:t>
            </w: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4,483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6,478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8,135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12,638</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15,881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14,353</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17,605</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26,041</w:t>
            </w: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32,497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Pr>
          <w:p>
            <w:pPr>
              <w:ind w:left="260"/>
              <w:spacing w:after="0" w:line="182" w:lineRule="exact"/>
              <w:rPr>
                <w:sz w:val="20"/>
                <w:szCs w:val="20"/>
                <w:color w:val="auto"/>
              </w:rPr>
            </w:pPr>
            <w:r>
              <w:rPr>
                <w:rFonts w:ascii="Arial" w:cs="Arial" w:eastAsia="Arial" w:hAnsi="Arial"/>
                <w:sz w:val="18"/>
                <w:szCs w:val="18"/>
                <w:color w:val="auto"/>
              </w:rPr>
              <w:t>Total share-based compensation expense</w:t>
            </w: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22,846</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28,245</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42,659</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52,861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416"/>
        <w:spacing w:after="0" w:line="277" w:lineRule="auto"/>
        <w:rPr>
          <w:sz w:val="20"/>
          <w:szCs w:val="20"/>
          <w:color w:val="auto"/>
        </w:rPr>
      </w:pPr>
      <w:r>
        <w:rPr>
          <w:rFonts w:ascii="Arial" w:cs="Arial" w:eastAsia="Arial" w:hAnsi="Arial"/>
          <w:sz w:val="18"/>
          <w:szCs w:val="18"/>
          <w:color w:val="auto"/>
        </w:rPr>
        <w:t>At June 30, 2020 and December 31, 2019, $2.1 million and $1.5 million, respectively, of share-based compensation expense was capitalized and recorded as “Inventory” in the accompanying condensed consolidated balance sheets.</w:t>
      </w:r>
    </w:p>
    <w:p>
      <w:pPr>
        <w:spacing w:after="0" w:line="130" w:lineRule="exact"/>
        <w:rPr>
          <w:sz w:val="20"/>
          <w:szCs w:val="20"/>
          <w:color w:val="auto"/>
        </w:rPr>
      </w:pPr>
    </w:p>
    <w:p>
      <w:pPr>
        <w:jc w:val="both"/>
        <w:ind w:right="560" w:firstLine="416"/>
        <w:spacing w:after="0" w:line="263" w:lineRule="auto"/>
        <w:rPr>
          <w:sz w:val="20"/>
          <w:szCs w:val="20"/>
          <w:color w:val="auto"/>
        </w:rPr>
      </w:pPr>
      <w:r>
        <w:rPr>
          <w:rFonts w:ascii="Arial" w:cs="Arial" w:eastAsia="Arial" w:hAnsi="Arial"/>
          <w:sz w:val="18"/>
          <w:szCs w:val="18"/>
          <w:color w:val="auto"/>
        </w:rPr>
        <w:t>In February 2017, the compensation committee of the Company’s board of directors approved awards of restricted stock units (“RSUs”) to all employees employed by the Company during 2017, in each case subject to vesting on the achievement of three specified performance criteria over a performance period of three years from the date of the grant.</w:t>
      </w:r>
    </w:p>
    <w:p>
      <w:pPr>
        <w:spacing w:after="0" w:line="143" w:lineRule="exact"/>
        <w:rPr>
          <w:sz w:val="20"/>
          <w:szCs w:val="20"/>
          <w:color w:val="auto"/>
        </w:rPr>
      </w:pPr>
    </w:p>
    <w:p>
      <w:pPr>
        <w:ind w:right="40" w:firstLine="416"/>
        <w:spacing w:after="0" w:line="286" w:lineRule="auto"/>
        <w:rPr>
          <w:sz w:val="20"/>
          <w:szCs w:val="20"/>
          <w:color w:val="auto"/>
        </w:rPr>
      </w:pPr>
      <w:r>
        <w:rPr>
          <w:rFonts w:ascii="Arial" w:cs="Arial" w:eastAsia="Arial" w:hAnsi="Arial"/>
          <w:sz w:val="17"/>
          <w:szCs w:val="17"/>
          <w:color w:val="auto"/>
        </w:rPr>
        <w:t>The Company achieved one of the three performance criteria in December 2018, resulting in the vesting of a portion of the performance-based RSUs. In February 2020, the compensation committee of the Company’s board of directors acknowledged that the two remaining performance criteria had not been achieved prior to the expiration of the three-year performance period and the unvested portion of the awards expired.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LOSS PER SHARE</w:t>
      </w:r>
    </w:p>
    <w:p>
      <w:pPr>
        <w:spacing w:after="0" w:line="189" w:lineRule="exact"/>
        <w:rPr>
          <w:sz w:val="20"/>
          <w:szCs w:val="20"/>
          <w:color w:val="auto"/>
        </w:rPr>
      </w:pPr>
    </w:p>
    <w:p>
      <w:pPr>
        <w:ind w:right="380" w:firstLine="416"/>
        <w:spacing w:after="0" w:line="311" w:lineRule="auto"/>
        <w:rPr>
          <w:sz w:val="20"/>
          <w:szCs w:val="20"/>
          <w:color w:val="auto"/>
        </w:rPr>
      </w:pPr>
      <w:r>
        <w:rPr>
          <w:rFonts w:ascii="Arial" w:cs="Arial" w:eastAsia="Arial" w:hAnsi="Arial"/>
          <w:sz w:val="16"/>
          <w:szCs w:val="16"/>
          <w:color w:val="auto"/>
        </w:rPr>
        <w:t>Basic loss per ordinary share is calculated based upon net loss available to holders of ordinary shares divided by the weighted average number of shares outstanding. For the three and six months ended June 30, 2020 and 2019, as the Company was in a net loss position, the diluted loss per share calculation did not assume conversion or exercise of stock options and awards as they would have had an anti-dilutive effect on loss per share.</w:t>
      </w:r>
    </w:p>
    <w:p>
      <w:pPr>
        <w:spacing w:after="0" w:line="108"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The following potential ordinary share equivalents were not included in the net loss per ordinary share calculation because the effect would have been anti-dilutive: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Borders>
              <w:bottom w:val="single" w:sz="8" w:color="auto"/>
            </w:tcBorders>
            <w:gridSpan w:val="3"/>
          </w:tcPr>
          <w:p>
            <w:pPr>
              <w:jc w:val="center"/>
              <w:ind w:left="779"/>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779"/>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FF0FC"/>
            </w:tcBorders>
            <w:vMerge w:val="continue"/>
          </w:tcPr>
          <w:p>
            <w:pPr>
              <w:spacing w:after="0"/>
              <w:rPr>
                <w:sz w:val="12"/>
                <w:szCs w:val="12"/>
                <w:color w:val="auto"/>
              </w:rPr>
            </w:pPr>
          </w:p>
        </w:tc>
        <w:tc>
          <w:tcPr>
            <w:tcW w:w="114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8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Stock options</w:t>
            </w:r>
          </w:p>
        </w:tc>
        <w:tc>
          <w:tcPr>
            <w:tcW w:w="1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16,882</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14,548</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15,375</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14,217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Restricted stock units</w:t>
            </w: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4,683</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3,254</w:t>
            </w:r>
          </w:p>
        </w:tc>
        <w:tc>
          <w:tcPr>
            <w:tcW w:w="240" w:type="dxa"/>
            <w:vAlign w:val="bottom"/>
            <w:tcBorders>
              <w:bottom w:val="single" w:sz="8" w:color="CFF0FC"/>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4,226</w:t>
            </w:r>
          </w:p>
        </w:tc>
        <w:tc>
          <w:tcPr>
            <w:tcW w:w="2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2,609</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21,565</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17,802</w:t>
            </w:r>
          </w:p>
        </w:tc>
        <w:tc>
          <w:tcPr>
            <w:tcW w:w="24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19,601</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16,826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w:t>
      </w:r>
    </w:p>
    <w:p>
      <w:pPr>
        <w:spacing w:after="0" w:line="229" w:lineRule="exact"/>
        <w:rPr>
          <w:sz w:val="20"/>
          <w:szCs w:val="20"/>
          <w:color w:val="auto"/>
        </w:rPr>
      </w:pPr>
    </w:p>
    <w:p>
      <w:pPr>
        <w:ind w:right="260" w:firstLine="416"/>
        <w:spacing w:after="0" w:line="275" w:lineRule="auto"/>
        <w:rPr>
          <w:sz w:val="20"/>
          <w:szCs w:val="20"/>
          <w:color w:val="auto"/>
        </w:rPr>
      </w:pPr>
      <w:r>
        <w:rPr>
          <w:rFonts w:ascii="Arial" w:cs="Arial" w:eastAsia="Arial" w:hAnsi="Arial"/>
          <w:sz w:val="17"/>
          <w:szCs w:val="17"/>
          <w:color w:val="auto"/>
        </w:rPr>
        <w:t>In October 2019, the Company approved a restructuring plan following a review of its operations, cost structure and growth opportunities (the “Restructuring”). The Restructuring included a reduction in headcount of approximately 160 employees across the Company. The Company recorded a charge of $13.4 million in the fourth quarter of 2019 as a result of the Restructuring, which consisted of one-time termination benefits for employee severance, benefits and related costs, all of which are expected to result in cash expenditures and substantially all of which will be paid out over the next nine months. Restructuring activity during the six months ended June 30, 2020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Balance, December 31, 2019</w:t>
            </w:r>
          </w:p>
        </w:tc>
        <w:tc>
          <w:tcPr>
            <w:tcW w:w="5940" w:type="dxa"/>
            <w:vAlign w:val="bottom"/>
            <w:gridSpan w:val="2"/>
            <w:shd w:val="clear" w:color="auto" w:fill="CFF0FC"/>
          </w:tcPr>
          <w:p>
            <w:pPr>
              <w:jc w:val="right"/>
              <w:ind w:right="587"/>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9,201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60"/>
              <w:spacing w:after="0" w:line="189" w:lineRule="exact"/>
              <w:rPr>
                <w:sz w:val="20"/>
                <w:szCs w:val="20"/>
                <w:color w:val="auto"/>
              </w:rPr>
            </w:pPr>
            <w:r>
              <w:rPr>
                <w:rFonts w:ascii="Arial" w:cs="Arial" w:eastAsia="Arial" w:hAnsi="Arial"/>
                <w:sz w:val="18"/>
                <w:szCs w:val="18"/>
                <w:color w:val="auto"/>
              </w:rPr>
              <w:t>Amounts paid during the period:</w:t>
            </w:r>
          </w:p>
        </w:tc>
        <w:tc>
          <w:tcPr>
            <w:tcW w:w="5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ind w:left="500"/>
              <w:spacing w:after="0" w:line="189" w:lineRule="exact"/>
              <w:rPr>
                <w:sz w:val="20"/>
                <w:szCs w:val="20"/>
                <w:color w:val="auto"/>
              </w:rPr>
            </w:pPr>
            <w:r>
              <w:rPr>
                <w:rFonts w:ascii="Arial" w:cs="Arial" w:eastAsia="Arial" w:hAnsi="Arial"/>
                <w:sz w:val="18"/>
                <w:szCs w:val="18"/>
                <w:color w:val="auto"/>
              </w:rPr>
              <w:t>Severance</w:t>
            </w:r>
          </w:p>
        </w:tc>
        <w:tc>
          <w:tcPr>
            <w:tcW w:w="5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189"/>
        </w:trPr>
        <w:tc>
          <w:tcPr>
            <w:tcW w:w="4060" w:type="dxa"/>
            <w:vAlign w:val="bottom"/>
          </w:tcPr>
          <w:p>
            <w:pPr>
              <w:ind w:left="500"/>
              <w:spacing w:after="0" w:line="189" w:lineRule="exact"/>
              <w:rPr>
                <w:sz w:val="20"/>
                <w:szCs w:val="20"/>
                <w:color w:val="auto"/>
              </w:rPr>
            </w:pPr>
            <w:r>
              <w:rPr>
                <w:rFonts w:ascii="Arial" w:cs="Arial" w:eastAsia="Arial" w:hAnsi="Arial"/>
                <w:sz w:val="18"/>
                <w:szCs w:val="18"/>
                <w:color w:val="auto"/>
              </w:rPr>
              <w:t>Outplacement services</w:t>
            </w:r>
          </w:p>
        </w:tc>
        <w:tc>
          <w:tcPr>
            <w:tcW w:w="5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ind w:left="500"/>
              <w:spacing w:after="0" w:line="189" w:lineRule="exact"/>
              <w:rPr>
                <w:sz w:val="20"/>
                <w:szCs w:val="20"/>
                <w:color w:val="auto"/>
              </w:rPr>
            </w:pPr>
            <w:r>
              <w:rPr>
                <w:rFonts w:ascii="Arial" w:cs="Arial" w:eastAsia="Arial" w:hAnsi="Arial"/>
                <w:sz w:val="18"/>
                <w:szCs w:val="18"/>
                <w:color w:val="auto"/>
              </w:rPr>
              <w:t>Benefits</w:t>
            </w:r>
          </w:p>
        </w:tc>
        <w:tc>
          <w:tcPr>
            <w:tcW w:w="5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183"/>
        </w:trPr>
        <w:tc>
          <w:tcPr>
            <w:tcW w:w="4060" w:type="dxa"/>
            <w:vAlign w:val="bottom"/>
          </w:tcPr>
          <w:p>
            <w:pPr>
              <w:spacing w:after="0" w:line="182" w:lineRule="exact"/>
              <w:rPr>
                <w:sz w:val="20"/>
                <w:szCs w:val="20"/>
                <w:color w:val="auto"/>
              </w:rPr>
            </w:pPr>
            <w:r>
              <w:rPr>
                <w:rFonts w:ascii="Arial" w:cs="Arial" w:eastAsia="Arial" w:hAnsi="Arial"/>
                <w:sz w:val="18"/>
                <w:szCs w:val="18"/>
                <w:color w:val="auto"/>
              </w:rPr>
              <w:t>Balance, June 30, 2020</w:t>
            </w:r>
          </w:p>
        </w:tc>
        <w:tc>
          <w:tcPr>
            <w:tcW w:w="52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200" w:type="dxa"/>
            <w:vAlign w:val="bottom"/>
            <w:vMerge w:val="restart"/>
          </w:tcPr>
          <w:p>
            <w:pPr>
              <w:jc w:val="right"/>
              <w:ind w:right="3450"/>
              <w:spacing w:after="0"/>
              <w:rPr>
                <w:sz w:val="20"/>
                <w:szCs w:val="20"/>
                <w:color w:val="auto"/>
              </w:rPr>
            </w:pPr>
            <w:r>
              <w:rPr>
                <w:rFonts w:ascii="Arial" w:cs="Arial" w:eastAsia="Arial" w:hAnsi="Arial"/>
                <w:sz w:val="18"/>
                <w:szCs w:val="18"/>
                <w:color w:val="auto"/>
              </w:rPr>
              <w:t>20</w:t>
            </w: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6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9" w:lineRule="exact"/>
        <w:rPr>
          <w:sz w:val="20"/>
          <w:szCs w:val="20"/>
          <w:color w:val="auto"/>
        </w:rPr>
      </w:pPr>
    </w:p>
    <w:p>
      <w:pPr>
        <w:ind w:right="240" w:firstLine="416"/>
        <w:spacing w:after="0" w:line="263" w:lineRule="auto"/>
        <w:rPr>
          <w:sz w:val="20"/>
          <w:szCs w:val="20"/>
          <w:color w:val="auto"/>
        </w:rPr>
      </w:pPr>
      <w:r>
        <w:rPr>
          <w:rFonts w:ascii="Arial" w:cs="Arial" w:eastAsia="Arial" w:hAnsi="Arial"/>
          <w:sz w:val="18"/>
          <w:szCs w:val="18"/>
          <w:color w:val="auto"/>
        </w:rPr>
        <w:t>At June 30, 2020 and December 31, 2019, $2.2 million and $9.0 million of the restructuring accrual was included within “Accounts payable and accrued expenses”, respectively, and none and $0.2 million of the restructuring accrual was included within “Other long-term liabilities”, respectively, in the accompanying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CONTINGENT LIABILITIES</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Litigation</w:t>
      </w:r>
    </w:p>
    <w:p>
      <w:pPr>
        <w:spacing w:after="0" w:line="185"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June 30, 2020, there were no potential material losses from claims, asserted or unasserted, or legal proceedings that the Company determined were probable of occurring.</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INVEGA SUSTENNA ANDA Litigation</w:t>
      </w:r>
    </w:p>
    <w:p>
      <w:pPr>
        <w:spacing w:after="0" w:line="202" w:lineRule="exact"/>
        <w:rPr>
          <w:sz w:val="20"/>
          <w:szCs w:val="20"/>
          <w:color w:val="auto"/>
        </w:rPr>
      </w:pPr>
    </w:p>
    <w:p>
      <w:pPr>
        <w:ind w:firstLine="416"/>
        <w:spacing w:after="0" w:line="273" w:lineRule="auto"/>
        <w:rPr>
          <w:sz w:val="20"/>
          <w:szCs w:val="20"/>
          <w:color w:val="auto"/>
        </w:rPr>
      </w:pPr>
      <w:r>
        <w:rPr>
          <w:rFonts w:ascii="Arial" w:cs="Arial" w:eastAsia="Arial" w:hAnsi="Arial"/>
          <w:sz w:val="17"/>
          <w:szCs w:val="17"/>
          <w:color w:val="auto"/>
        </w:rPr>
        <w:t>In January 2018 and in August 2019, Janssen Pharmaceuticals NV and Janssen Pharmaceuticals, Inc. initiated patent infringement lawsuits in the U.S. District Court for the District of New Jersey against Teva entities (Teva Pharmaceuticals USA, Inc. (“Teva”) and Teva Pharmaceuticals Industries, Ltd. (“Teva PI”)) and Mylan entities (Mylan Laboratories Limited (“Mylan Labs”), Mylan Pharmaceuticals Inc. (“Mylan”), and Mylan Institutional LLC), respectively, following filings by each of Teva and Mylan Labs of an abbreviated new drug application (“ANDA”) seeking approval to market a generic version of INVEGA SUSTENNA before the expiration of U.S. Patent No. 9,439,906. Requested judicial remedies in each of the lawsuits included recovery of litigation costs and injunctive relief. The Company is not a party to either of these proceedings.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RISPERDAL CONSTA European Opposition Proceedings</w:t>
      </w:r>
    </w:p>
    <w:p>
      <w:pPr>
        <w:spacing w:after="0" w:line="189" w:lineRule="exact"/>
        <w:rPr>
          <w:sz w:val="20"/>
          <w:szCs w:val="20"/>
          <w:color w:val="auto"/>
        </w:rPr>
      </w:pPr>
    </w:p>
    <w:p>
      <w:pPr>
        <w:ind w:right="60" w:firstLine="416"/>
        <w:spacing w:after="0" w:line="273" w:lineRule="auto"/>
        <w:rPr>
          <w:sz w:val="20"/>
          <w:szCs w:val="20"/>
          <w:color w:val="auto"/>
        </w:rPr>
      </w:pPr>
      <w:r>
        <w:rPr>
          <w:rFonts w:ascii="Arial" w:cs="Arial" w:eastAsia="Arial" w:hAnsi="Arial"/>
          <w:sz w:val="17"/>
          <w:szCs w:val="17"/>
          <w:color w:val="auto"/>
        </w:rPr>
        <w:t>In December 2016, Nanjing Luye Pharmaceutical Co., Ltd., Pharmathen SA, Teva PI and Dehns Ltd (a law firm representing an unidentified opponent) filed notices of opposition with the European Patent Office (the “EPO”) in respect of EP 2 269 577 B (the “EP ’577 Patent”), which is a patent directed to certain risperidone microsphere compositions, including RISPERDAL CONSTA. Following a hearing on the matter in January 2019, the EPO issued a written decision revoking the EP’577 Patent in April 2019. The Company filed a notice of appeal of the decision to the EPO’s Technical Boards of Appeal in June 2019. Pharmathen SA submitted a reply on November 5, 2019 and Nanjing Luye Pharmaceutical Co Ltd. and Teva Pharmaceutical Industries Ltd. submitted replies on December 20, 2019. The Company will continue to vigorously defend the EP ’577 Patent.</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Government Matters</w:t>
      </w:r>
    </w:p>
    <w:p>
      <w:pPr>
        <w:spacing w:after="0" w:line="189"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Securities Litigation</w:t>
      </w:r>
    </w:p>
    <w:p>
      <w:pPr>
        <w:spacing w:after="0" w:line="202" w:lineRule="exact"/>
        <w:rPr>
          <w:sz w:val="20"/>
          <w:szCs w:val="20"/>
          <w:color w:val="auto"/>
        </w:rPr>
      </w:pPr>
    </w:p>
    <w:p>
      <w:pPr>
        <w:ind w:right="80" w:firstLine="416"/>
        <w:spacing w:after="0" w:line="275" w:lineRule="auto"/>
        <w:rPr>
          <w:sz w:val="20"/>
          <w:szCs w:val="20"/>
          <w:color w:val="auto"/>
        </w:rPr>
      </w:pPr>
      <w:r>
        <w:rPr>
          <w:rFonts w:ascii="Arial" w:cs="Arial" w:eastAsia="Arial" w:hAnsi="Arial"/>
          <w:sz w:val="17"/>
          <w:szCs w:val="17"/>
          <w:color w:val="auto"/>
        </w:rPr>
        <w:t xml:space="preserve">In December 2018 and January 2019, purported stockholders of the Company filed putative class actions against the Company and certain of its officers in the U.S. District Court for the Eastern District of New York (the “EDNY District Court”) captioned </w:t>
      </w:r>
      <w:r>
        <w:rPr>
          <w:rFonts w:ascii="Arial" w:cs="Arial" w:eastAsia="Arial" w:hAnsi="Arial"/>
          <w:sz w:val="17"/>
          <w:szCs w:val="17"/>
          <w:i w:val="1"/>
          <w:iCs w:val="1"/>
          <w:color w:val="auto"/>
        </w:rPr>
        <w:t xml:space="preserve">Karimian v. Alkermes plc, et al., No. 1:18-cv-07410 </w:t>
      </w:r>
      <w:r>
        <w:rPr>
          <w:rFonts w:ascii="Arial" w:cs="Arial" w:eastAsia="Arial" w:hAnsi="Arial"/>
          <w:sz w:val="17"/>
          <w:szCs w:val="17"/>
          <w:color w:val="auto"/>
        </w:rPr>
        <w:t>and</w:t>
      </w:r>
      <w:r>
        <w:rPr>
          <w:rFonts w:ascii="Arial" w:cs="Arial" w:eastAsia="Arial" w:hAnsi="Arial"/>
          <w:sz w:val="17"/>
          <w:szCs w:val="17"/>
          <w:i w:val="1"/>
          <w:iCs w:val="1"/>
          <w:color w:val="auto"/>
        </w:rPr>
        <w:t xml:space="preserve"> McDermott v. Alkermes plc, et al., No. 1:19-cv-00624</w:t>
      </w:r>
      <w:r>
        <w:rPr>
          <w:rFonts w:ascii="Arial" w:cs="Arial" w:eastAsia="Arial" w:hAnsi="Arial"/>
          <w:sz w:val="17"/>
          <w:szCs w:val="17"/>
          <w:color w:val="auto"/>
        </w:rPr>
        <w:t>, respectively. In March 2019, the EDNY District Court consolidated the two cases and</w:t>
      </w:r>
      <w:r>
        <w:rPr>
          <w:rFonts w:ascii="Arial" w:cs="Arial" w:eastAsia="Arial" w:hAnsi="Arial"/>
          <w:sz w:val="17"/>
          <w:szCs w:val="17"/>
          <w:i w:val="1"/>
          <w:iCs w:val="1"/>
          <w:color w:val="auto"/>
        </w:rPr>
        <w:t xml:space="preserve"> </w:t>
      </w:r>
      <w:r>
        <w:rPr>
          <w:rFonts w:ascii="Arial" w:cs="Arial" w:eastAsia="Arial" w:hAnsi="Arial"/>
          <w:sz w:val="17"/>
          <w:szCs w:val="17"/>
          <w:color w:val="auto"/>
        </w:rPr>
        <w:t>appointed a lead plaintiff. The plaintiff filed an amended complaint on July 9, 2019 naming one additional officer of the Company and one former officer of the Company as defendants. The amended complaint was filed on behalf of a putative class 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purchasers of Alkermes securities during the period of July 31, 2014 through November 1, 2018 and alleges violations of Sections 10(b) and 20(a) of the Exchange Act based on allegedly false or misleading statements and omissions regarding the Company’s clinical methodologies and regulatory submission for ALKS 5461 and the FDA’s review and consideration of that submission. The lawsuit seeks, among other things, unspecified money damages, prejudgment and postjudgment interest, reasonable attorneys’ fees, expert fees and other costs. In August 2019, the defendants filed a pre-motion letter (in respect of a requested motion to dismiss filing) with the EDNY District Court and plaintiff filed a response. On November 27, 2019, the defendants served the plaintiff with a motion to dismiss, and on December 27, 2019, the plaintiff served the defendants with its opposition to such motion. On January 17, 2020, the defendants filed the fully-briefed motion, including a reply to the plaintiff’s opposition, with the EDNY District Court.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Product Liability Litigation</w:t>
      </w:r>
    </w:p>
    <w:p>
      <w:pPr>
        <w:spacing w:after="0" w:line="229" w:lineRule="exact"/>
        <w:rPr>
          <w:sz w:val="20"/>
          <w:szCs w:val="20"/>
          <w:color w:val="auto"/>
        </w:rPr>
      </w:pPr>
    </w:p>
    <w:p>
      <w:pPr>
        <w:ind w:firstLine="416"/>
        <w:spacing w:after="0" w:line="263" w:lineRule="auto"/>
        <w:rPr>
          <w:sz w:val="20"/>
          <w:szCs w:val="20"/>
          <w:color w:val="auto"/>
        </w:rPr>
      </w:pPr>
      <w:r>
        <w:rPr>
          <w:rFonts w:ascii="Arial" w:cs="Arial" w:eastAsia="Arial" w:hAnsi="Arial"/>
          <w:sz w:val="18"/>
          <w:szCs w:val="18"/>
          <w:color w:val="auto"/>
        </w:rPr>
        <w:t>The Company has been named in two product liability lawsuits incidental to its normal business activities involving allegations that the FDA-approved VIVITROL labelling was inadequate and caused the users of the product to suffer from an opioid overdose and death. The Company believes the approved labelling was appropriate and intends to vigorously defend the cases.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right="140" w:firstLine="416"/>
        <w:spacing w:after="0" w:line="235" w:lineRule="auto"/>
        <w:rPr>
          <w:sz w:val="20"/>
          <w:szCs w:val="20"/>
          <w:color w:val="auto"/>
        </w:rPr>
      </w:pPr>
      <w:r>
        <w:rPr>
          <w:rFonts w:ascii="Arial" w:cs="Arial" w:eastAsia="Arial" w:hAnsi="Arial"/>
          <w:sz w:val="18"/>
          <w:szCs w:val="18"/>
          <w:color w:val="auto"/>
        </w:rPr>
        <w:t>The following discussion should be read in conjunction with our condensed consolidated financial statements and related notes beginning on page 5 in this Form 10-Q, and “Management’s Discussion and Analysis of Financial Condition and Results of Operations” and the audited financial statements and notes thereto included in our Annual Report.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62" w:lineRule="exact"/>
        <w:rPr>
          <w:sz w:val="20"/>
          <w:szCs w:val="20"/>
          <w:color w:val="auto"/>
        </w:rPr>
      </w:pPr>
    </w:p>
    <w:p>
      <w:pPr>
        <w:ind w:right="40" w:firstLine="416"/>
        <w:spacing w:after="0" w:line="235" w:lineRule="auto"/>
        <w:rPr>
          <w:sz w:val="20"/>
          <w:szCs w:val="20"/>
          <w:color w:val="auto"/>
        </w:rPr>
      </w:pPr>
      <w:r>
        <w:rPr>
          <w:rFonts w:ascii="Arial" w:cs="Arial" w:eastAsia="Arial" w:hAnsi="Arial"/>
          <w:sz w:val="18"/>
          <w:szCs w:val="18"/>
          <w:color w:val="auto"/>
        </w:rPr>
        <w:t>Net loss for the three and six months ended June 30, 2020 was $29.4 million and $68.1 million, respectively, or $0.19 and $0.43 per ordinary share— basic and diluted, respectively, as compared to a net loss of $42.0 million and $138.4 million, respectively, or $0.27 and $0.88 per ordinary share—basic and diluted, respectively, for the three and six months ended June 30, 2019.</w:t>
      </w:r>
    </w:p>
    <w:p>
      <w:pPr>
        <w:spacing w:after="0" w:line="134" w:lineRule="exact"/>
        <w:rPr>
          <w:sz w:val="20"/>
          <w:szCs w:val="20"/>
          <w:color w:val="auto"/>
        </w:rPr>
      </w:pPr>
    </w:p>
    <w:p>
      <w:pPr>
        <w:ind w:right="100" w:firstLine="416"/>
        <w:spacing w:after="0" w:line="242" w:lineRule="auto"/>
        <w:rPr>
          <w:sz w:val="20"/>
          <w:szCs w:val="20"/>
          <w:color w:val="auto"/>
        </w:rPr>
      </w:pPr>
      <w:r>
        <w:rPr>
          <w:rFonts w:ascii="Arial" w:cs="Arial" w:eastAsia="Arial" w:hAnsi="Arial"/>
          <w:sz w:val="17"/>
          <w:szCs w:val="17"/>
          <w:color w:val="auto"/>
        </w:rPr>
        <w:t>The decreases in the net loss in the three and six months ended June 30, 2020, as compared to the three and six months ended June 30, 2019, were primarily due to a $34.6 million and $50.1 million decrease in our operating expenses, respectively. The decreases were primarily due to a decrease in selling, general and administrative expense of $23.1 million and $30.9 million, respectively, and a decrease in R&amp;D expense of $10.2 million and $19.5 million, respectively. These decreases were partially offset by a reduction in revenue during the three and six months ended June 30, 2020, as compared to the three and six months ended June 30, 2019, of $32.3 million and $9.2 million, respectively.</w:t>
      </w:r>
    </w:p>
    <w:p>
      <w:pPr>
        <w:spacing w:after="0" w:line="148" w:lineRule="exact"/>
        <w:rPr>
          <w:sz w:val="20"/>
          <w:szCs w:val="20"/>
          <w:color w:val="auto"/>
        </w:rPr>
      </w:pPr>
    </w:p>
    <w:p>
      <w:pPr>
        <w:ind w:right="280" w:firstLine="416"/>
        <w:spacing w:after="0" w:line="235" w:lineRule="auto"/>
        <w:rPr>
          <w:sz w:val="20"/>
          <w:szCs w:val="20"/>
          <w:color w:val="auto"/>
        </w:rPr>
      </w:pPr>
      <w:r>
        <w:rPr>
          <w:rFonts w:ascii="Arial" w:cs="Arial" w:eastAsia="Arial" w:hAnsi="Arial"/>
          <w:sz w:val="18"/>
          <w:szCs w:val="18"/>
          <w:color w:val="auto"/>
        </w:rPr>
        <w:t>In addition, we recorded an increase of $5.9 million and $12.7 million in the fair value of our contingent consideration in the three and six months ended June 30, 2020, respectively, as compared to a reduction of $6.5 million and $29.1 million in the three and six months ended June 30, 2019, respectively.</w:t>
      </w:r>
    </w:p>
    <w:p>
      <w:pPr>
        <w:spacing w:after="0" w:line="134" w:lineRule="exact"/>
        <w:rPr>
          <w:sz w:val="20"/>
          <w:szCs w:val="20"/>
          <w:color w:val="auto"/>
        </w:rPr>
      </w:pPr>
    </w:p>
    <w:p>
      <w:pPr>
        <w:ind w:firstLine="416"/>
        <w:spacing w:after="0" w:line="246" w:lineRule="auto"/>
        <w:rPr>
          <w:sz w:val="20"/>
          <w:szCs w:val="20"/>
          <w:color w:val="auto"/>
        </w:rPr>
      </w:pPr>
      <w:r>
        <w:rPr>
          <w:rFonts w:ascii="Arial" w:cs="Arial" w:eastAsia="Arial" w:hAnsi="Arial"/>
          <w:sz w:val="18"/>
          <w:szCs w:val="18"/>
          <w:color w:val="auto"/>
        </w:rPr>
        <w:t>These items are discussed in greater detail later in the “Results of Operations” section in this “Part I, Item 2—Management’s Discussion and Analysis of Financial Condition and Results of Operations” in this Form 10-Q.</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75" w:lineRule="exact"/>
        <w:rPr>
          <w:sz w:val="20"/>
          <w:szCs w:val="20"/>
          <w:color w:val="auto"/>
        </w:rPr>
      </w:pPr>
    </w:p>
    <w:p>
      <w:pPr>
        <w:ind w:right="60" w:firstLine="416"/>
        <w:spacing w:after="0"/>
        <w:rPr>
          <w:sz w:val="20"/>
          <w:szCs w:val="20"/>
          <w:color w:val="auto"/>
        </w:rPr>
      </w:pPr>
      <w:r>
        <w:rPr>
          <w:rFonts w:ascii="Arial" w:cs="Arial" w:eastAsia="Arial" w:hAnsi="Arial"/>
          <w:sz w:val="17"/>
          <w:szCs w:val="17"/>
          <w:color w:val="auto"/>
        </w:rPr>
        <w:t>In March 2020, COVID-19 was declared a global pandemic by the World Health Organization. To date, COVID-19 has surfaced in nearly all regions around the world and resulted in travel restrictions and business slowdowns or shutdowns in affected areas. Almost all U.S. states, many local jurisdictions and countries around the world have issued “shelter-in-place” orders, quarantines, executive orders and similar government orders, restrictions, and recommendations for their residents to control the spread of COVID-19. Such orders, restrictions and recommendations, and the perception that additional orders, restrictions or recommendations could occur, have resulted in widespread closures of businesses, work stoppages, slowdowns and delays, work-from-home policies and travel restrictions, among other effects.</w:t>
      </w:r>
    </w:p>
    <w:p>
      <w:pPr>
        <w:spacing w:after="0" w:line="137" w:lineRule="exact"/>
        <w:rPr>
          <w:sz w:val="20"/>
          <w:szCs w:val="20"/>
          <w:color w:val="auto"/>
        </w:rPr>
      </w:pPr>
    </w:p>
    <w:p>
      <w:pPr>
        <w:ind w:right="60" w:firstLine="416"/>
        <w:spacing w:after="0" w:line="227" w:lineRule="auto"/>
        <w:rPr>
          <w:sz w:val="20"/>
          <w:szCs w:val="20"/>
          <w:color w:val="auto"/>
        </w:rPr>
      </w:pPr>
      <w:r>
        <w:rPr>
          <w:rFonts w:ascii="Arial" w:cs="Arial" w:eastAsia="Arial" w:hAnsi="Arial"/>
          <w:sz w:val="18"/>
          <w:szCs w:val="18"/>
          <w:color w:val="auto"/>
        </w:rPr>
        <w:t>We continue to closely monitor and rapidly respond to the ongoing impact of COVID-19 on our employees, our communities and our business operations. We have adopted a series of precautionary measures and will continue to do so as the circumstances warrant, in an effort to protect our employees and mitigate the potential spread of COVID-19 in a community setting. For example, we instituted a global remote work policy for those of our employees who are able to work remotely, including our field-based employees, and replaced all in-person meetings and interactions with virtual interactions. As of the date of this Form 10-Q, our field-based employees have resumed in-person interactions, as appropriate and on a voluntary basis, in accordance with location-specific guidance.</w:t>
      </w:r>
    </w:p>
    <w:p>
      <w:pPr>
        <w:spacing w:after="0" w:line="135" w:lineRule="exact"/>
        <w:rPr>
          <w:sz w:val="20"/>
          <w:szCs w:val="20"/>
          <w:color w:val="auto"/>
        </w:rPr>
      </w:pPr>
    </w:p>
    <w:p>
      <w:pPr>
        <w:ind w:firstLine="416"/>
        <w:spacing w:after="0" w:line="258" w:lineRule="auto"/>
        <w:rPr>
          <w:sz w:val="20"/>
          <w:szCs w:val="20"/>
          <w:color w:val="auto"/>
        </w:rPr>
      </w:pPr>
      <w:r>
        <w:rPr>
          <w:rFonts w:ascii="Arial" w:cs="Arial" w:eastAsia="Arial" w:hAnsi="Arial"/>
          <w:sz w:val="16"/>
          <w:szCs w:val="16"/>
          <w:color w:val="auto"/>
        </w:rPr>
        <w:t>At the same time, we have worked to continue our critical business functions, including continued operation of our manufacturing facilities and our laboratories, and have continued to conduct our discovery efforts and supply our medicines. For those of our employees who work in our manufacturing facilities and laboratories, we instituted additional safety precautions, including increased sanitization of our facilities, use of personal protective equipment and physical distancing practices to help protect their health and safety as they continue to advance important research for the benefit of patients and manufacture and deliver important medicines for patients. We have also taken actions to support people living with schizophrenia, opioid dependence and alcohol dependence to help assure that they have access to the information, resources and medicines that may assist in their treatment.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3" w:name="page24"/>
    <w:bookmarkEnd w:id="23"/>
    <w:p>
      <w:pPr>
        <w:ind w:right="360" w:firstLine="416"/>
        <w:spacing w:after="0" w:line="228" w:lineRule="auto"/>
        <w:rPr>
          <w:sz w:val="20"/>
          <w:szCs w:val="20"/>
          <w:color w:val="auto"/>
        </w:rPr>
      </w:pPr>
      <w:r>
        <w:rPr>
          <w:rFonts w:ascii="Arial" w:cs="Arial" w:eastAsia="Arial" w:hAnsi="Arial"/>
          <w:sz w:val="18"/>
          <w:szCs w:val="18"/>
          <w:color w:val="auto"/>
        </w:rPr>
        <w:t>The marketed products from which we derive revenue, including manufacturing and royalty revenue, are primarily injectable medications administered by healthcare professionals. Given developments that have transpired to date, and may continue to transpire, in response to the pandemic, including the implementation of “shelter-in-place” policies, social distancing requirements and other restrictive measures, commercial sales of these marketed products have been adversely impacted to varying degrees and we expect commercial sales of these marketed products to continue to be adversely impacted while the pandemic persists.</w:t>
      </w:r>
    </w:p>
    <w:p>
      <w:pPr>
        <w:spacing w:after="0" w:line="151" w:lineRule="exact"/>
        <w:rPr>
          <w:sz w:val="20"/>
          <w:szCs w:val="20"/>
          <w:color w:val="auto"/>
        </w:rPr>
      </w:pPr>
    </w:p>
    <w:p>
      <w:pPr>
        <w:ind w:firstLine="416"/>
        <w:spacing w:after="0" w:line="237" w:lineRule="auto"/>
        <w:rPr>
          <w:sz w:val="20"/>
          <w:szCs w:val="20"/>
          <w:color w:val="auto"/>
        </w:rPr>
      </w:pPr>
      <w:r>
        <w:rPr>
          <w:rFonts w:ascii="Arial" w:cs="Arial" w:eastAsia="Arial" w:hAnsi="Arial"/>
          <w:sz w:val="17"/>
          <w:szCs w:val="17"/>
          <w:color w:val="auto"/>
        </w:rPr>
        <w:t>As it relates to our proprietary marketed products, VIVITROL and ARISTADA, during the three months ended June 30, 2020, we saw the commercial impact of the COVID-19 pandemic, particularly with respect to VIVITROL units sold, which decreased 9% compared to the three months ended March 31, 2020. This decrease was primarily due to the impacts of COVID-19 on patient practices and COVID-19-related limitations on access to facilities where VIVITROL could be administered and related services could be provided. ARISTADA units sold during the three months ended June 30, 2020 increased 11% compared to the three months ended March 31, 2020, despite COVID-19-related impacts on access to healthcare provider facilities and patient flow. During the three months ended June 30, 2020, we took actions to support uninterrupted access to our proprietary marketed products, including through expansion of our injection-site network, and in June, began to see some stabilization in VIVITROL units sold; however, we currently expect commercial sales of our marketed products, particularly VIVITROL, to continue to be impacted by the COVID-19 pandemic over the next few quarters, including, for VIVITROL, as a result of the impact that the decrease in patient volume during the three months ended June 30, 2020 is expected to have on overall unit demand in the second half of 2020.</w:t>
      </w:r>
    </w:p>
    <w:p>
      <w:pPr>
        <w:spacing w:after="0" w:line="135" w:lineRule="exact"/>
        <w:rPr>
          <w:sz w:val="20"/>
          <w:szCs w:val="20"/>
          <w:color w:val="auto"/>
        </w:rPr>
      </w:pPr>
    </w:p>
    <w:p>
      <w:pPr>
        <w:ind w:right="20" w:firstLine="416"/>
        <w:spacing w:after="0" w:line="231" w:lineRule="auto"/>
        <w:rPr>
          <w:sz w:val="20"/>
          <w:szCs w:val="20"/>
          <w:color w:val="auto"/>
        </w:rPr>
      </w:pPr>
      <w:r>
        <w:rPr>
          <w:rFonts w:ascii="Arial" w:cs="Arial" w:eastAsia="Arial" w:hAnsi="Arial"/>
          <w:sz w:val="18"/>
          <w:szCs w:val="18"/>
          <w:color w:val="auto"/>
        </w:rPr>
        <w:t>While we continue to conduct R&amp;D activities, including our ongoing clinical trials, the COVID-19 pandemic has impacted, and may continue to impact, the timelines of certain of our early-stage discovery efforts and clinical trials. We are working with our internal teams, our clinical investigators, R&amp;D vendors and critical supply chain vendors to continually assess, and mitigate, the potential impact of COVID-19 on our manufacturing operations and R&amp;D activities.</w:t>
      </w:r>
    </w:p>
    <w:p>
      <w:pPr>
        <w:spacing w:after="0" w:line="135" w:lineRule="exact"/>
        <w:rPr>
          <w:sz w:val="20"/>
          <w:szCs w:val="20"/>
          <w:color w:val="auto"/>
        </w:rPr>
      </w:pPr>
    </w:p>
    <w:p>
      <w:pPr>
        <w:ind w:right="80" w:firstLine="416"/>
        <w:spacing w:after="0" w:line="231" w:lineRule="auto"/>
        <w:rPr>
          <w:sz w:val="20"/>
          <w:szCs w:val="20"/>
          <w:color w:val="auto"/>
        </w:rPr>
      </w:pPr>
      <w:r>
        <w:rPr>
          <w:rFonts w:ascii="Arial" w:cs="Arial" w:eastAsia="Arial" w:hAnsi="Arial"/>
          <w:sz w:val="18"/>
          <w:szCs w:val="18"/>
          <w:color w:val="auto"/>
        </w:rPr>
        <w:t>Despite disruptions to our business operations and the business operations of third parties on which we rely, the COVID-19 pandemic has not significantly impacted our operating results and financial condition to date, except with respect to net sales of VIVITROL, as noted above. These items are discussed in greater detail later in the “Results of Operations” section in this “Part I, Item 2—Management’s Discussion and Analysis of Financial Condition and Results of Operations” in this Form 10-Q.</w:t>
      </w:r>
    </w:p>
    <w:p>
      <w:pPr>
        <w:spacing w:after="0" w:line="148" w:lineRule="exact"/>
        <w:rPr>
          <w:sz w:val="20"/>
          <w:szCs w:val="20"/>
          <w:color w:val="auto"/>
        </w:rPr>
      </w:pPr>
    </w:p>
    <w:p>
      <w:pPr>
        <w:ind w:firstLine="416"/>
        <w:spacing w:after="0" w:line="251" w:lineRule="auto"/>
        <w:rPr>
          <w:sz w:val="20"/>
          <w:szCs w:val="20"/>
          <w:color w:val="auto"/>
        </w:rPr>
      </w:pPr>
      <w:r>
        <w:rPr>
          <w:rFonts w:ascii="Arial" w:cs="Arial" w:eastAsia="Arial" w:hAnsi="Arial"/>
          <w:sz w:val="16"/>
          <w:szCs w:val="16"/>
          <w:color w:val="auto"/>
        </w:rPr>
        <w:t>Although some local, state and national governments have begun to relax “shelter-in-place” orders, social distancing requirements and other restrictive measures, and while we have begun to observe, and expect to continue to observe, a gradual normalization in patient and healthcare provider practices, the impacts and extent of the relaxing of such restrictions and expected normalization of such practices are not yet known. Due to numerous uncertainties surrounding the COVID-19 pandemic, we are unable to predict the nature and extent of the future impacts that the pandemic will have on our financial condition and operating results. These uncertainties include, among other things, the ultimate severity and duration of the pandemic; governmental, business or other actions that have been, or will be, taken in response to the pandemic, including continued restrictions on travel and mobility, business closures and operating restrictions and imposition of social distancing measures; impacts of the pandemic on the vendors or distribution channels in our supply chain and on our ability to continue to manufacture our products; impacts of the pandemic on the conduct of our clinical trials, including with respect to enrollment rates, availability of investigators and clinical trial sites, and monitoring of data; impacts of the pandemic on healthcare systems that serve people living with opioid dependence, alcohol dependence and schizophrenia; impacts of the pandemic on the regulatory agencies with which we interact in the development, review, approval and commercialization of our medicines; impacts of the pandemic on reimbursement for our products, including our Medicaid rebate liability, and for services related to the use of our products; and impacts of the pandemic on the U.S., Irish and global economies more broadly. For additional information about risks and uncertainties related to the COVID-19 pandemic that may impact our business, our financial condition or our results of operations, see “Part II, Item 1A—Risk Factors” below in this Form 10-Q.</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Marketed Products</w:t>
      </w:r>
    </w:p>
    <w:p>
      <w:pPr>
        <w:spacing w:after="0" w:line="171" w:lineRule="exact"/>
        <w:rPr>
          <w:sz w:val="20"/>
          <w:szCs w:val="20"/>
          <w:color w:val="auto"/>
        </w:rPr>
      </w:pPr>
    </w:p>
    <w:p>
      <w:pPr>
        <w:ind w:right="120" w:firstLine="416"/>
        <w:spacing w:after="0" w:line="266" w:lineRule="auto"/>
        <w:rPr>
          <w:sz w:val="20"/>
          <w:szCs w:val="20"/>
          <w:color w:val="auto"/>
        </w:rPr>
      </w:pPr>
      <w:r>
        <w:rPr>
          <w:rFonts w:ascii="Arial" w:cs="Arial" w:eastAsia="Arial" w:hAnsi="Arial"/>
          <w:sz w:val="16"/>
          <w:szCs w:val="16"/>
          <w:color w:val="auto"/>
        </w:rPr>
        <w:t>Our portfolio of marketed products is designed to address unmet medical needs of patients in major therapeutic areas. See the descriptions of the marketed products below, and see “Part I, Item 1A—Risk Factors” in our Annual Report and “Part II, Item 1A—Risk Factors” in this Form 10-Q for important factors that could adversely affect our marketed products. For information with respect to the IP protection for these marketed products, see the descriptions of the marketed products below and see the “Patents and Proprietary Rights” section in “Part I, Item 1—Business” in our Annual Report.</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summary information regarding our proprietary products that we commercialize: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0"/>
                <w:szCs w:val="20"/>
                <w:color w:val="auto"/>
              </w:rPr>
            </w:pPr>
          </w:p>
        </w:tc>
        <w:tc>
          <w:tcPr>
            <w:tcW w:w="262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Indication(s)</w:t>
            </w:r>
          </w:p>
        </w:tc>
        <w:tc>
          <w:tcPr>
            <w:tcW w:w="24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Territory</w:t>
            </w:r>
          </w:p>
        </w:tc>
      </w:tr>
      <w:tr>
        <w:trPr>
          <w:trHeight w:val="411"/>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Initiation or re-</w:t>
            </w: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initiation of</w:t>
            </w:r>
          </w:p>
        </w:tc>
        <w:tc>
          <w:tcPr>
            <w:tcW w:w="26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ARISTADA for</w:t>
            </w:r>
          </w:p>
        </w:tc>
        <w:tc>
          <w:tcPr>
            <w:tcW w:w="26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the treatment of</w:t>
            </w:r>
          </w:p>
        </w:tc>
        <w:tc>
          <w:tcPr>
            <w:tcW w:w="2600" w:type="dxa"/>
            <w:vAlign w:val="bottom"/>
          </w:tcPr>
          <w:p>
            <w:pPr>
              <w:spacing w:after="0"/>
              <w:rPr>
                <w:sz w:val="18"/>
                <w:szCs w:val="18"/>
                <w:color w:val="auto"/>
              </w:rPr>
            </w:pPr>
          </w:p>
        </w:tc>
      </w:tr>
      <w:tr>
        <w:trPr>
          <w:trHeight w:val="230"/>
        </w:trPr>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-685165</wp:posOffset>
            </wp:positionV>
            <wp:extent cx="2254250" cy="2828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5425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80"/>
        <w:spacing w:after="0"/>
        <w:tabs>
          <w:tab w:leader="none" w:pos="9760" w:val="left"/>
        </w:tabs>
        <w:rPr>
          <w:sz w:val="20"/>
          <w:szCs w:val="20"/>
          <w:color w:val="auto"/>
        </w:rPr>
      </w:pPr>
      <w:r>
        <w:rPr>
          <w:rFonts w:ascii="Arial" w:cs="Arial" w:eastAsia="Arial" w:hAnsi="Arial"/>
          <w:sz w:val="18"/>
          <w:szCs w:val="18"/>
          <w:color w:val="auto"/>
        </w:rPr>
        <w:t>Schizophrenia</w:t>
      </w:r>
      <w:r>
        <w:rPr>
          <w:sz w:val="20"/>
          <w:szCs w:val="20"/>
          <w:color w:val="auto"/>
        </w:rPr>
        <w:tab/>
      </w: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1275080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-130175</wp:posOffset>
            </wp:positionV>
            <wp:extent cx="3463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80"/>
        <w:spacing w:after="0"/>
        <w:tabs>
          <w:tab w:leader="none" w:pos="9760" w:val="left"/>
        </w:tabs>
        <w:rPr>
          <w:sz w:val="20"/>
          <w:szCs w:val="20"/>
          <w:color w:val="auto"/>
        </w:rPr>
      </w:pPr>
      <w:r>
        <w:rPr>
          <w:rFonts w:ascii="Arial" w:cs="Arial" w:eastAsia="Arial" w:hAnsi="Arial"/>
          <w:sz w:val="18"/>
          <w:szCs w:val="18"/>
          <w:color w:val="auto"/>
        </w:rPr>
        <w:t>Alcohol</w:t>
      </w:r>
      <w:r>
        <w:rPr>
          <w:sz w:val="20"/>
          <w:szCs w:val="20"/>
          <w:color w:val="auto"/>
        </w:rPr>
        <w:tab/>
      </w: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-121920</wp:posOffset>
            </wp:positionV>
            <wp:extent cx="2065655" cy="7283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65655" cy="728345"/>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dependence and</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Opioid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ind w:right="160" w:firstLine="416"/>
        <w:spacing w:after="0" w:line="277" w:lineRule="auto"/>
        <w:rPr>
          <w:sz w:val="20"/>
          <w:szCs w:val="20"/>
          <w:color w:val="auto"/>
        </w:rPr>
      </w:pPr>
      <w:r>
        <w:rPr>
          <w:rFonts w:ascii="Arial" w:cs="Arial" w:eastAsia="Arial" w:hAnsi="Arial"/>
          <w:sz w:val="18"/>
          <w:szCs w:val="18"/>
          <w:color w:val="auto"/>
        </w:rPr>
        <w:t>The following table provides summary information regarding our key licensed products, and third-party products using our proprietary technologies under license, that are commercialized by our licensees: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3"/>
              </w:rPr>
              <w:t>Third-Party Products Using Our Proprietary Technologies</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850"/>
        </w:trPr>
        <w:tc>
          <w:tcPr>
            <w:tcW w:w="45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Licensed Territory</w:t>
            </w: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RISPERDAL CONSTA</w:t>
            </w: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Bipolar I</w:t>
            </w: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 Inc.</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disorder</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 Inc.”) and</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division of Cilag</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AG (“Janssen</w:t>
            </w:r>
          </w:p>
        </w:tc>
        <w:tc>
          <w:tcPr>
            <w:tcW w:w="21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140" w:type="dxa"/>
            <w:vAlign w:val="bottom"/>
          </w:tcPr>
          <w:p>
            <w:pPr>
              <w:spacing w:after="0"/>
              <w:rPr>
                <w:sz w:val="20"/>
                <w:szCs w:val="20"/>
                <w:color w:val="auto"/>
              </w:rPr>
            </w:pPr>
          </w:p>
        </w:tc>
      </w:tr>
      <w:tr>
        <w:trPr>
          <w:trHeight w:val="216"/>
        </w:trPr>
        <w:tc>
          <w:tcPr>
            <w:tcW w:w="4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INVEGA SUSTENNA / XEPLION</w:t>
            </w:r>
          </w:p>
        </w:tc>
        <w:tc>
          <w:tcPr>
            <w:tcW w:w="2240" w:type="dxa"/>
            <w:vAlign w:val="bottom"/>
            <w:gridSpan w:val="2"/>
          </w:tcPr>
          <w:p>
            <w:pPr>
              <w:spacing w:after="0"/>
              <w:rPr>
                <w:sz w:val="20"/>
                <w:szCs w:val="20"/>
                <w:color w:val="auto"/>
              </w:rPr>
            </w:pPr>
            <w:r>
              <w:rPr>
                <w:rFonts w:ascii="Arial" w:cs="Arial" w:eastAsia="Arial" w:hAnsi="Arial"/>
                <w:sz w:val="18"/>
                <w:szCs w:val="18"/>
                <w:i w:val="1"/>
                <w:iCs w:val="1"/>
                <w:color w:val="auto"/>
              </w:rPr>
              <w:t>INVEGA SUSTENNA</w:t>
            </w:r>
            <w:r>
              <w:rPr>
                <w:rFonts w:ascii="Arial" w:cs="Arial" w:eastAsia="Arial" w:hAnsi="Arial"/>
                <w:sz w:val="18"/>
                <w:szCs w:val="18"/>
                <w:color w:val="auto"/>
              </w:rPr>
              <w:t>:</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 N.V.</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Schizoaffective</w:t>
            </w:r>
          </w:p>
        </w:tc>
        <w:tc>
          <w:tcPr>
            <w:tcW w:w="2240" w:type="dxa"/>
            <w:vAlign w:val="bottom"/>
            <w:gridSpan w:val="2"/>
          </w:tcPr>
          <w:p>
            <w:pPr>
              <w:spacing w:after="0"/>
              <w:rPr>
                <w:sz w:val="20"/>
                <w:szCs w:val="20"/>
                <w:color w:val="auto"/>
              </w:rPr>
            </w:pPr>
            <w:r>
              <w:rPr>
                <w:rFonts w:ascii="Arial" w:cs="Arial" w:eastAsia="Arial" w:hAnsi="Arial"/>
                <w:sz w:val="18"/>
                <w:szCs w:val="18"/>
                <w:color w:val="auto"/>
              </w:rPr>
              <w:t>(together with</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disorder</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 Inc., Janssen</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and</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i w:val="1"/>
                <w:iCs w:val="1"/>
                <w:color w:val="auto"/>
              </w:rPr>
              <w:t>XEPLION</w:t>
            </w:r>
            <w:r>
              <w:rPr>
                <w:rFonts w:ascii="Arial" w:cs="Arial" w:eastAsia="Arial" w:hAnsi="Arial"/>
                <w:sz w:val="18"/>
                <w:szCs w:val="18"/>
                <w:color w:val="auto"/>
              </w:rPr>
              <w:t>:</w:t>
            </w:r>
          </w:p>
        </w:tc>
        <w:tc>
          <w:tcPr>
            <w:tcW w:w="2240" w:type="dxa"/>
            <w:vAlign w:val="bottom"/>
            <w:gridSpan w:val="2"/>
          </w:tcPr>
          <w:p>
            <w:pPr>
              <w:spacing w:after="0"/>
              <w:rPr>
                <w:sz w:val="20"/>
                <w:szCs w:val="20"/>
                <w:color w:val="auto"/>
              </w:rPr>
            </w:pPr>
            <w:r>
              <w:rPr>
                <w:rFonts w:ascii="Arial" w:cs="Arial" w:eastAsia="Arial" w:hAnsi="Arial"/>
                <w:sz w:val="18"/>
                <w:szCs w:val="18"/>
                <w:color w:val="auto"/>
              </w:rPr>
              <w:t>their affiliates</w:t>
            </w:r>
          </w:p>
        </w:tc>
        <w:tc>
          <w:tcPr>
            <w:tcW w:w="21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p>
        </w:tc>
      </w:tr>
      <w:tr>
        <w:trPr>
          <w:trHeight w:val="432"/>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INVEGA TRINZA / TREVICTA</w:t>
            </w: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1040"/>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Our Licensed Products</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32"/>
        </w:trPr>
        <w:tc>
          <w:tcPr>
            <w:tcW w:w="45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Licensed Territory</w:t>
            </w: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VIVITROL</w:t>
            </w:r>
          </w:p>
        </w:tc>
        <w:tc>
          <w:tcPr>
            <w:tcW w:w="2240" w:type="dxa"/>
            <w:vAlign w:val="bottom"/>
            <w:gridSpan w:val="2"/>
          </w:tcPr>
          <w:p>
            <w:pPr>
              <w:spacing w:after="0"/>
              <w:rPr>
                <w:sz w:val="20"/>
                <w:szCs w:val="20"/>
                <w:color w:val="auto"/>
              </w:rPr>
            </w:pPr>
            <w:r>
              <w:rPr>
                <w:rFonts w:ascii="Arial" w:cs="Arial" w:eastAsia="Arial" w:hAnsi="Arial"/>
                <w:sz w:val="18"/>
                <w:szCs w:val="18"/>
                <w:color w:val="auto"/>
              </w:rPr>
              <w:t>Alcohol dependence and</w:t>
            </w:r>
          </w:p>
        </w:tc>
        <w:tc>
          <w:tcPr>
            <w:tcW w:w="2240" w:type="dxa"/>
            <w:vAlign w:val="bottom"/>
            <w:gridSpan w:val="2"/>
          </w:tcPr>
          <w:p>
            <w:pPr>
              <w:spacing w:after="0"/>
              <w:rPr>
                <w:sz w:val="20"/>
                <w:szCs w:val="20"/>
                <w:color w:val="auto"/>
              </w:rPr>
            </w:pPr>
            <w:r>
              <w:rPr>
                <w:rFonts w:ascii="Arial" w:cs="Arial" w:eastAsia="Arial" w:hAnsi="Arial"/>
                <w:sz w:val="18"/>
                <w:szCs w:val="18"/>
                <w:color w:val="auto"/>
              </w:rPr>
              <w:t>Cilag GmbH</w:t>
            </w:r>
          </w:p>
        </w:tc>
        <w:tc>
          <w:tcPr>
            <w:tcW w:w="2140" w:type="dxa"/>
            <w:vAlign w:val="bottom"/>
          </w:tcPr>
          <w:p>
            <w:pPr>
              <w:spacing w:after="0"/>
              <w:rPr>
                <w:sz w:val="20"/>
                <w:szCs w:val="20"/>
                <w:color w:val="auto"/>
              </w:rPr>
            </w:pPr>
            <w:r>
              <w:rPr>
                <w:rFonts w:ascii="Arial" w:cs="Arial" w:eastAsia="Arial" w:hAnsi="Arial"/>
                <w:sz w:val="18"/>
                <w:szCs w:val="18"/>
                <w:color w:val="auto"/>
              </w:rPr>
              <w:t>Russia and</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Opioid dependence</w:t>
            </w: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(“Cilag”)</w:t>
            </w:r>
          </w:p>
        </w:tc>
        <w:tc>
          <w:tcPr>
            <w:tcW w:w="2140" w:type="dxa"/>
            <w:vAlign w:val="bottom"/>
          </w:tcPr>
          <w:p>
            <w:pPr>
              <w:spacing w:after="0"/>
              <w:rPr>
                <w:sz w:val="20"/>
                <w:szCs w:val="20"/>
                <w:color w:val="auto"/>
              </w:rPr>
            </w:pPr>
            <w:r>
              <w:rPr>
                <w:rFonts w:ascii="Arial" w:cs="Arial" w:eastAsia="Arial" w:hAnsi="Arial"/>
                <w:sz w:val="18"/>
                <w:szCs w:val="18"/>
                <w:color w:val="auto"/>
              </w:rPr>
              <w:t>Commonwealth of</w:t>
            </w: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8"/>
              </w:rPr>
              <w:t>Independent States (“CIS”)</w:t>
            </w:r>
          </w:p>
        </w:tc>
      </w:tr>
      <w:tr>
        <w:trPr>
          <w:trHeight w:val="432"/>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VUMERITY</w:t>
            </w:r>
          </w:p>
        </w:tc>
        <w:tc>
          <w:tcPr>
            <w:tcW w:w="2240" w:type="dxa"/>
            <w:vAlign w:val="bottom"/>
            <w:gridSpan w:val="2"/>
          </w:tcPr>
          <w:p>
            <w:pPr>
              <w:spacing w:after="0"/>
              <w:rPr>
                <w:sz w:val="20"/>
                <w:szCs w:val="20"/>
                <w:color w:val="auto"/>
              </w:rPr>
            </w:pPr>
            <w:r>
              <w:rPr>
                <w:rFonts w:ascii="Arial" w:cs="Arial" w:eastAsia="Arial" w:hAnsi="Arial"/>
                <w:sz w:val="18"/>
                <w:szCs w:val="18"/>
                <w:color w:val="auto"/>
              </w:rPr>
              <w:t>Multiple sclerosis</w:t>
            </w:r>
          </w:p>
        </w:tc>
        <w:tc>
          <w:tcPr>
            <w:tcW w:w="2240" w:type="dxa"/>
            <w:vAlign w:val="bottom"/>
            <w:gridSpan w:val="2"/>
          </w:tcPr>
          <w:p>
            <w:pPr>
              <w:spacing w:after="0"/>
              <w:rPr>
                <w:sz w:val="20"/>
                <w:szCs w:val="20"/>
                <w:color w:val="auto"/>
              </w:rPr>
            </w:pPr>
            <w:r>
              <w:rPr>
                <w:rFonts w:ascii="Arial" w:cs="Arial" w:eastAsia="Arial" w:hAnsi="Arial"/>
                <w:sz w:val="18"/>
                <w:szCs w:val="18"/>
                <w:color w:val="auto"/>
              </w:rPr>
              <w:t>Biogen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Products</w:t>
      </w:r>
    </w:p>
    <w:p>
      <w:pPr>
        <w:spacing w:after="0" w:line="158" w:lineRule="exact"/>
        <w:rPr>
          <w:sz w:val="20"/>
          <w:szCs w:val="20"/>
          <w:color w:val="auto"/>
        </w:rPr>
      </w:pPr>
    </w:p>
    <w:p>
      <w:pPr>
        <w:ind w:right="260" w:firstLine="416"/>
        <w:spacing w:after="0" w:line="235" w:lineRule="auto"/>
        <w:rPr>
          <w:sz w:val="20"/>
          <w:szCs w:val="20"/>
          <w:color w:val="auto"/>
        </w:rPr>
      </w:pPr>
      <w:r>
        <w:rPr>
          <w:rFonts w:ascii="Arial" w:cs="Arial" w:eastAsia="Arial" w:hAnsi="Arial"/>
          <w:sz w:val="18"/>
          <w:szCs w:val="18"/>
          <w:color w:val="auto"/>
        </w:rPr>
        <w:t>We developed and commercialize products designed to address the unmet needs of patients suffering from opioid dependence, alcohol dependence and schizophrenia. For additional information about the proprietary technologies underlying our proprietary products, see the “Proprietary Product Platforms” section in “Part I, Item 1—Business” in our Annual Report.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ARISTADA</w:t>
      </w:r>
    </w:p>
    <w:p>
      <w:pPr>
        <w:spacing w:after="0" w:line="212" w:lineRule="exact"/>
        <w:rPr>
          <w:sz w:val="20"/>
          <w:szCs w:val="20"/>
          <w:color w:val="auto"/>
        </w:rPr>
      </w:pPr>
    </w:p>
    <w:p>
      <w:pPr>
        <w:ind w:right="820" w:firstLine="416"/>
        <w:spacing w:after="0" w:line="263" w:lineRule="auto"/>
        <w:rPr>
          <w:sz w:val="20"/>
          <w:szCs w:val="20"/>
          <w:color w:val="auto"/>
        </w:rPr>
      </w:pPr>
      <w:r>
        <w:rPr>
          <w:rFonts w:ascii="Arial" w:cs="Arial" w:eastAsia="Arial" w:hAnsi="Arial"/>
          <w:sz w:val="18"/>
          <w:szCs w:val="18"/>
          <w:color w:val="auto"/>
        </w:rPr>
        <w:t>ARISTADA (aripiprazole lauroxil) is an extended-release intramuscular injectable suspension approved in the U.S. for the treatment of schizophrenia. ARISTADA is the first of our products to utilize our proprietary LinkeRx technology. ARISTADA is a prodrug; once in the body, ARISTADA is likely converted by enzyme-mediated hydrolysis to 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right="120"/>
        <w:spacing w:after="0" w:line="286" w:lineRule="auto"/>
        <w:rPr>
          <w:sz w:val="20"/>
          <w:szCs w:val="20"/>
          <w:color w:val="auto"/>
        </w:rPr>
      </w:pPr>
      <w:r>
        <w:rPr>
          <w:rFonts w:ascii="Arial" w:cs="Arial" w:eastAsia="Arial" w:hAnsi="Arial"/>
          <w:sz w:val="17"/>
          <w:szCs w:val="17"/>
          <w:color w:val="auto"/>
        </w:rPr>
        <w:t>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product format. We developed ARISTADA and exclusively manufacture and commercialize it in the U.S.</w:t>
      </w:r>
    </w:p>
    <w:p>
      <w:pPr>
        <w:spacing w:after="0" w:line="165" w:lineRule="exact"/>
        <w:rPr>
          <w:sz w:val="20"/>
          <w:szCs w:val="20"/>
          <w:color w:val="auto"/>
        </w:rPr>
      </w:pPr>
    </w:p>
    <w:p>
      <w:pPr>
        <w:ind w:firstLine="416"/>
        <w:spacing w:after="0" w:line="277" w:lineRule="auto"/>
        <w:rPr>
          <w:sz w:val="20"/>
          <w:szCs w:val="20"/>
          <w:color w:val="auto"/>
        </w:rPr>
      </w:pPr>
      <w:r>
        <w:rPr>
          <w:rFonts w:ascii="Arial" w:cs="Arial" w:eastAsia="Arial" w:hAnsi="Arial"/>
          <w:sz w:val="18"/>
          <w:szCs w:val="18"/>
          <w:color w:val="auto"/>
        </w:rPr>
        <w:t>In May 2020, U.S. Patent No. 10,639,376 relating to ARISTADA was granted. The patent has claims to methods that confer long-term stability of the ARISTADA formulation and expires in 2033.</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ARISTADA INITIO</w:t>
      </w:r>
    </w:p>
    <w:p>
      <w:pPr>
        <w:spacing w:after="0" w:line="198" w:lineRule="exact"/>
        <w:rPr>
          <w:sz w:val="20"/>
          <w:szCs w:val="20"/>
          <w:color w:val="auto"/>
        </w:rPr>
      </w:pPr>
    </w:p>
    <w:p>
      <w:pPr>
        <w:ind w:right="100" w:firstLine="416"/>
        <w:spacing w:after="0" w:line="296" w:lineRule="auto"/>
        <w:rPr>
          <w:sz w:val="20"/>
          <w:szCs w:val="20"/>
          <w:color w:val="auto"/>
        </w:rPr>
      </w:pPr>
      <w:r>
        <w:rPr>
          <w:rFonts w:ascii="Arial" w:cs="Arial" w:eastAsia="Arial" w:hAnsi="Arial"/>
          <w:sz w:val="16"/>
          <w:szCs w:val="16"/>
          <w:color w:val="auto"/>
        </w:rPr>
        <w:t>ARISTADA INITIO (aripiprazole lauroxil) leverages our proprietary NanoCrystal technology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developed ARISTADA INITIO and exclusively manufacture and commercialize it in the U.S.</w:t>
      </w:r>
    </w:p>
    <w:p>
      <w:pPr>
        <w:spacing w:after="0" w:line="161" w:lineRule="exact"/>
        <w:rPr>
          <w:sz w:val="20"/>
          <w:szCs w:val="20"/>
          <w:color w:val="auto"/>
        </w:rPr>
      </w:pPr>
    </w:p>
    <w:p>
      <w:pPr>
        <w:ind w:right="320" w:firstLine="416"/>
        <w:spacing w:after="0" w:line="277" w:lineRule="auto"/>
        <w:rPr>
          <w:sz w:val="20"/>
          <w:szCs w:val="20"/>
          <w:color w:val="auto"/>
        </w:rPr>
      </w:pPr>
      <w:r>
        <w:rPr>
          <w:rFonts w:ascii="Arial" w:cs="Arial" w:eastAsia="Arial" w:hAnsi="Arial"/>
          <w:sz w:val="18"/>
          <w:szCs w:val="18"/>
          <w:color w:val="auto"/>
        </w:rPr>
        <w:t>In June 2020, U.S. Patent No. 10,688,091 relating to ARISTADA INITIO was granted. The patent has claims to compositions of the ARISTADA INITIO formulation and expires in 2035.</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VIVITROL (U.S.)</w:t>
      </w:r>
    </w:p>
    <w:p>
      <w:pPr>
        <w:spacing w:after="0" w:line="212" w:lineRule="exact"/>
        <w:rPr>
          <w:sz w:val="20"/>
          <w:szCs w:val="20"/>
          <w:color w:val="auto"/>
        </w:rPr>
      </w:pPr>
    </w:p>
    <w:p>
      <w:pPr>
        <w:ind w:right="200" w:firstLine="416"/>
        <w:spacing w:after="0" w:line="257" w:lineRule="auto"/>
        <w:rPr>
          <w:sz w:val="20"/>
          <w:szCs w:val="20"/>
          <w:color w:val="auto"/>
        </w:rPr>
      </w:pPr>
      <w:r>
        <w:rPr>
          <w:rFonts w:ascii="Arial" w:cs="Arial" w:eastAsia="Arial" w:hAnsi="Arial"/>
          <w:sz w:val="18"/>
          <w:szCs w:val="18"/>
          <w:color w:val="auto"/>
        </w:rPr>
        <w:t>VIVITROL (naltrexone for extended-release injectable suspension) is a once-monthly, non-narcotic, injectable medication approved in the U.S., Russia and certain countries of the CIS for the treatment of alcohol dependence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developed and exclusively manufacture VIVITROL and we commercialize VIVITROL in the U.S.</w:t>
      </w:r>
    </w:p>
    <w:p>
      <w:pPr>
        <w:spacing w:after="0" w:line="188" w:lineRule="exact"/>
        <w:rPr>
          <w:sz w:val="20"/>
          <w:szCs w:val="20"/>
          <w:color w:val="auto"/>
        </w:rPr>
      </w:pPr>
    </w:p>
    <w:p>
      <w:pPr>
        <w:ind w:firstLine="416"/>
        <w:spacing w:after="0" w:line="291" w:lineRule="auto"/>
        <w:rPr>
          <w:sz w:val="20"/>
          <w:szCs w:val="20"/>
          <w:color w:val="auto"/>
        </w:rPr>
      </w:pPr>
      <w:r>
        <w:rPr>
          <w:rFonts w:ascii="Arial" w:cs="Arial" w:eastAsia="Arial" w:hAnsi="Arial"/>
          <w:sz w:val="16"/>
          <w:szCs w:val="16"/>
          <w:color w:val="auto"/>
        </w:rPr>
        <w:t xml:space="preserve">For a discussion of legal proceedings related to VIVITROL, see Note 15,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Condensed Consolidated Financial Statements” section in this Form 10-Q, and for information about risks relating to such legal proceedings, see “Part I, Item 1A— Risk Factors” in our Annual Report, including the sections entitled “—Patent protection for our products is important and uncertain,” “—Uncertainty over IP in the biopharmaceutical industry has been the source of litigation, which is inherently costly and unpredictable, could significantly delay or prevent approval or commercialization of our products, and could adversely affect our business” and “—Litigation, arbitration or regulatory action (such as citizens petitions) filed against regulatory agencies related to our product or Alkermes, including securities litigation, may result in financial losses, harm our reputation, divert management resources, negatively impact the approval of our products, or otherwise negatively impact our business.”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Licensed Products and Products Using Our Proprietary Technologies</w:t>
      </w:r>
    </w:p>
    <w:p>
      <w:pPr>
        <w:spacing w:after="0" w:line="185" w:lineRule="exact"/>
        <w:rPr>
          <w:sz w:val="20"/>
          <w:szCs w:val="20"/>
          <w:color w:val="auto"/>
        </w:rPr>
      </w:pPr>
    </w:p>
    <w:p>
      <w:pPr>
        <w:ind w:right="160" w:firstLine="416"/>
        <w:spacing w:after="0" w:line="235" w:lineRule="auto"/>
        <w:rPr>
          <w:sz w:val="20"/>
          <w:szCs w:val="20"/>
          <w:color w:val="auto"/>
        </w:rPr>
      </w:pPr>
      <w:r>
        <w:rPr>
          <w:rFonts w:ascii="Arial" w:cs="Arial" w:eastAsia="Arial" w:hAnsi="Arial"/>
          <w:sz w:val="18"/>
          <w:szCs w:val="18"/>
          <w:color w:val="auto"/>
        </w:rPr>
        <w:t>We have licensed products to third parties for commercialization and have licensed our proprietary technologies to third parties to enable them to develop, commercialize and/or manufacture products. We receive royalties and/or manufacturing and other revenues from the commercialization of these products. Such arrangements include the following:</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INVEGA SUSTENNA/XEPLION, INVEGA TRINZA/TREVICTA and RISPERDAL CONSTA</w:t>
      </w:r>
    </w:p>
    <w:p>
      <w:pPr>
        <w:spacing w:after="0" w:line="225"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INVEGA SUSTENNA/XEPLION (paliperidone palmitate), INVEGA TRINZA/TREVICTA (paliperidone palmitate 3-month injection) and RISPERDAL CONSTA (risperidone long-acting injection) are long-acting atypical antipsychotics owned and commercialized worldwide by Janssen that incorporate our proprietary technologies. For additional information about our proprietary technologies, see the “Proprietary Product Platforms” section in “Part I, Item 1—Business” in our Annual Report.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7" w:name="page28"/>
    <w:bookmarkEnd w:id="27"/>
    <w:p>
      <w:pPr>
        <w:ind w:right="40" w:firstLine="416"/>
        <w:spacing w:after="0" w:line="253" w:lineRule="auto"/>
        <w:rPr>
          <w:sz w:val="20"/>
          <w:szCs w:val="20"/>
          <w:color w:val="auto"/>
        </w:rPr>
      </w:pPr>
      <w:r>
        <w:rPr>
          <w:rFonts w:ascii="Arial" w:cs="Arial" w:eastAsia="Arial" w:hAnsi="Arial"/>
          <w:sz w:val="18"/>
          <w:szCs w:val="18"/>
          <w:color w:val="auto"/>
        </w:rPr>
        <w:t xml:space="preserve">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uses our nanoparticle injectable extended-release technology to increase the rate of dissolution and enable the formulation of an aqueous suspension for once-monthly intramuscular administration. INVEGA SUSTENNA/XEPLION is manufactured by Janssen. For a discussion of legal proceedings related to the patents covering INVEGA SUSTENNA, see Note 15, </w:t>
      </w:r>
      <w:r>
        <w:rPr>
          <w:rFonts w:ascii="Arial" w:cs="Arial" w:eastAsia="Arial" w:hAnsi="Arial"/>
          <w:sz w:val="18"/>
          <w:szCs w:val="18"/>
          <w:i w:val="1"/>
          <w:iCs w:val="1"/>
          <w:color w:val="auto"/>
        </w:rPr>
        <w:t>Commitments and Contingent Liabilities</w:t>
      </w:r>
      <w:r>
        <w:rPr>
          <w:rFonts w:ascii="Arial" w:cs="Arial" w:eastAsia="Arial" w:hAnsi="Arial"/>
          <w:sz w:val="18"/>
          <w:szCs w:val="18"/>
          <w:color w:val="auto"/>
        </w:rPr>
        <w:t xml:space="preserve"> in the “Notes to Condensed Consolidated Financial Statements” in this Form 10-Q and for information about risks relating to such legal proceedings, see “Part I, Item 1A—Risk Factors” in our Annual Report, including the section entitled “—We or our licensees may face claims against IP rights covering our products and competition from generic drug manufacturers.”</w:t>
      </w:r>
    </w:p>
    <w:p>
      <w:pPr>
        <w:spacing w:after="0" w:line="196"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dosed once every three months. INVEGA TRINZA/TREVICTA uses our proprietary technology and is manufactured by Janssen.</w:t>
      </w:r>
    </w:p>
    <w:p>
      <w:pPr>
        <w:spacing w:after="0" w:line="187" w:lineRule="exact"/>
        <w:rPr>
          <w:sz w:val="20"/>
          <w:szCs w:val="20"/>
          <w:color w:val="auto"/>
        </w:rPr>
      </w:pPr>
    </w:p>
    <w:p>
      <w:pPr>
        <w:ind w:right="180" w:firstLine="416"/>
        <w:spacing w:after="0" w:line="290" w:lineRule="auto"/>
        <w:rPr>
          <w:sz w:val="20"/>
          <w:szCs w:val="20"/>
          <w:color w:val="auto"/>
        </w:rPr>
      </w:pPr>
      <w:r>
        <w:rPr>
          <w:rFonts w:ascii="Arial" w:cs="Arial" w:eastAsia="Arial" w:hAnsi="Arial"/>
          <w:sz w:val="16"/>
          <w:szCs w:val="16"/>
          <w:color w:val="auto"/>
        </w:rPr>
        <w:t xml:space="preserve">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 For a discussion of legal proceedings related to certain of the patents covering RISPERDAL CONSTA, see Note 15,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Condensed Consolidated Financial Statements” in this Form 10-Q and for information about risks relating to such legal proceedings, see “Part I, Item 1A—Risk Factors” in our Annual Report, including the section entitled “—We or our licensees may face claims against IP rights covering our products and competition from generic drug manufacturers.”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VIVITROL (Russia and CIS)</w:t>
      </w:r>
    </w:p>
    <w:p>
      <w:pPr>
        <w:spacing w:after="0" w:line="225" w:lineRule="exact"/>
        <w:rPr>
          <w:sz w:val="20"/>
          <w:szCs w:val="20"/>
          <w:color w:val="auto"/>
        </w:rPr>
      </w:pPr>
    </w:p>
    <w:p>
      <w:pPr>
        <w:ind w:right="40" w:firstLine="416"/>
        <w:spacing w:after="0" w:line="263" w:lineRule="auto"/>
        <w:rPr>
          <w:sz w:val="20"/>
          <w:szCs w:val="20"/>
          <w:color w:val="auto"/>
        </w:rPr>
      </w:pPr>
      <w:r>
        <w:rPr>
          <w:rFonts w:ascii="Arial" w:cs="Arial" w:eastAsia="Arial" w:hAnsi="Arial"/>
          <w:sz w:val="18"/>
          <w:szCs w:val="18"/>
          <w:color w:val="auto"/>
        </w:rPr>
        <w:t>For a description of VIVITROL, including its approved indications and dosing, please refer to the heading “Proprietary Products” above in this Form 10-Q. We developed and exclusively manufacture VIVITROL for Cilag. Cilag exclusively commercializes VIVITROL in Russia and certain countries of the CIS.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VUMERITY (Diroximel Fumarate)</w:t>
      </w:r>
    </w:p>
    <w:p>
      <w:pPr>
        <w:spacing w:after="0" w:line="225" w:lineRule="exact"/>
        <w:rPr>
          <w:sz w:val="20"/>
          <w:szCs w:val="20"/>
          <w:color w:val="auto"/>
        </w:rPr>
      </w:pPr>
    </w:p>
    <w:p>
      <w:pPr>
        <w:ind w:right="100" w:firstLine="416"/>
        <w:spacing w:after="0" w:line="263" w:lineRule="auto"/>
        <w:rPr>
          <w:sz w:val="20"/>
          <w:szCs w:val="20"/>
          <w:color w:val="auto"/>
        </w:rPr>
      </w:pPr>
      <w:r>
        <w:rPr>
          <w:rFonts w:ascii="Arial" w:cs="Arial" w:eastAsia="Arial" w:hAnsi="Arial"/>
          <w:sz w:val="18"/>
          <w:szCs w:val="18"/>
          <w:color w:val="auto"/>
        </w:rPr>
        <w:t>VUMERITY (diroximel fumarate), formerly referred to as BIIB098, is a novel, oral fumarate with a distinct chemical structure that was approved in the U.S. in October 2019 for the treatment of relapsing forms of multiple sclerosis in adults, including clinically isolated syndrome, relapsing-remitting disease and active secondary progressive disease.</w:t>
      </w:r>
    </w:p>
    <w:p>
      <w:pPr>
        <w:spacing w:after="0" w:line="184" w:lineRule="exact"/>
        <w:rPr>
          <w:sz w:val="20"/>
          <w:szCs w:val="20"/>
          <w:color w:val="auto"/>
        </w:rPr>
      </w:pPr>
    </w:p>
    <w:p>
      <w:pPr>
        <w:ind w:right="80" w:firstLine="416"/>
        <w:spacing w:after="0" w:line="263" w:lineRule="auto"/>
        <w:rPr>
          <w:sz w:val="20"/>
          <w:szCs w:val="20"/>
          <w:color w:val="auto"/>
        </w:rPr>
      </w:pPr>
      <w:r>
        <w:rPr>
          <w:rFonts w:ascii="Arial" w:cs="Arial" w:eastAsia="Arial" w:hAnsi="Arial"/>
          <w:sz w:val="18"/>
          <w:szCs w:val="18"/>
          <w:color w:val="auto"/>
        </w:rPr>
        <w:t>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Development Programs</w:t>
      </w:r>
    </w:p>
    <w:p>
      <w:pPr>
        <w:spacing w:after="0" w:line="225" w:lineRule="exact"/>
        <w:rPr>
          <w:sz w:val="20"/>
          <w:szCs w:val="20"/>
          <w:color w:val="auto"/>
        </w:rPr>
      </w:pPr>
    </w:p>
    <w:p>
      <w:pPr>
        <w:ind w:right="120" w:firstLine="416"/>
        <w:spacing w:after="0" w:line="255" w:lineRule="auto"/>
        <w:rPr>
          <w:sz w:val="20"/>
          <w:szCs w:val="20"/>
          <w:color w:val="auto"/>
        </w:rPr>
      </w:pPr>
      <w:r>
        <w:rPr>
          <w:rFonts w:ascii="Arial" w:cs="Arial" w:eastAsia="Arial" w:hAnsi="Arial"/>
          <w:sz w:val="18"/>
          <w:szCs w:val="18"/>
          <w:color w:val="auto"/>
        </w:rPr>
        <w:t>Our R&amp;D is focused on the development of novel, competitively advantaged medications designed to enhance patient outcomes. As part of our ongoing R&amp;D efforts, we have devoted, and will continue to devote, significant resources to conducting pre-clinical work and clinical studies to advance the development of new pharmaceutical products. The discussion below highlights our current key R&amp;D programs.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and “Part II, Item 1A—Risk Factors” in this Form 10-Q. See the “Patents and Proprietary Rights” section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in “Part I, Item 1—Business” in our Annual Report for information with respect to the IP protection for our key development candidates.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ALKS 3831</w:t>
      </w:r>
    </w:p>
    <w:p>
      <w:pPr>
        <w:spacing w:after="0" w:line="198" w:lineRule="exact"/>
        <w:rPr>
          <w:sz w:val="20"/>
          <w:szCs w:val="20"/>
          <w:color w:val="auto"/>
        </w:rPr>
      </w:pPr>
    </w:p>
    <w:p>
      <w:pPr>
        <w:jc w:val="both"/>
        <w:ind w:right="80" w:firstLine="416"/>
        <w:spacing w:after="0" w:line="235" w:lineRule="auto"/>
        <w:rPr>
          <w:sz w:val="20"/>
          <w:szCs w:val="20"/>
          <w:color w:val="auto"/>
        </w:rPr>
      </w:pPr>
      <w:r>
        <w:rPr>
          <w:rFonts w:ascii="Arial" w:cs="Arial" w:eastAsia="Arial" w:hAnsi="Arial"/>
          <w:sz w:val="18"/>
          <w:szCs w:val="18"/>
          <w:color w:val="auto"/>
        </w:rPr>
        <w:t>ALKS 3831 is an investigational, novel, once-daily, oral atypical antipsychotic drug candidate for the treatment of adults with schizophrenia and for the treatment of adults with bipolar I disorder. ALKS 3831 is composed of samidorphan, a novel, new molecular entity, co-formulated with the established antipsychotic agent, olanzapine, in a single bilayer tablet.</w:t>
      </w:r>
    </w:p>
    <w:p>
      <w:pPr>
        <w:spacing w:after="0" w:line="148" w:lineRule="exact"/>
        <w:rPr>
          <w:sz w:val="20"/>
          <w:szCs w:val="20"/>
          <w:color w:val="auto"/>
        </w:rPr>
      </w:pPr>
    </w:p>
    <w:p>
      <w:pPr>
        <w:ind w:firstLine="416"/>
        <w:spacing w:after="0" w:line="242" w:lineRule="auto"/>
        <w:rPr>
          <w:sz w:val="20"/>
          <w:szCs w:val="20"/>
          <w:color w:val="auto"/>
        </w:rPr>
      </w:pPr>
      <w:r>
        <w:rPr>
          <w:rFonts w:ascii="Arial" w:cs="Arial" w:eastAsia="Arial" w:hAnsi="Arial"/>
          <w:sz w:val="17"/>
          <w:szCs w:val="17"/>
          <w:color w:val="auto"/>
        </w:rPr>
        <w:t>ALKS 3831 is designed to provide the robust antipsychotic efficacy of olanzapine while mitigating olanzapine-associated weight gain. The ENLIGHTEN clinical development program for ALKS 3831 includes two key phase 3 studies in patients with schizophrenia: ENLIGHTEN-1, a four-week study which evaluated the antipsychotic efficacy of ALKS 3831 compared to placebo, and ENLIGHTEN-2, a six-month study which assessed weight gain with ALKS 3831 compared to ZYPREXA (olanzapine). The program also includes supportive studies to evaluate the pharmacokinetic (“PK”) and metabolic profile and long-term safety of ALKS 3831, and PK bridging studies comparing ALKS 3831 and ZYPREXA.</w:t>
      </w:r>
    </w:p>
    <w:p>
      <w:pPr>
        <w:spacing w:after="0" w:line="148" w:lineRule="exact"/>
        <w:rPr>
          <w:sz w:val="20"/>
          <w:szCs w:val="20"/>
          <w:color w:val="auto"/>
        </w:rPr>
      </w:pPr>
    </w:p>
    <w:p>
      <w:pPr>
        <w:ind w:firstLine="416"/>
        <w:spacing w:after="0" w:line="237" w:lineRule="auto"/>
        <w:rPr>
          <w:sz w:val="20"/>
          <w:szCs w:val="20"/>
          <w:color w:val="auto"/>
        </w:rPr>
      </w:pPr>
      <w:r>
        <w:rPr>
          <w:rFonts w:ascii="Arial" w:cs="Arial" w:eastAsia="Arial" w:hAnsi="Arial"/>
          <w:sz w:val="17"/>
          <w:szCs w:val="17"/>
          <w:color w:val="auto"/>
        </w:rPr>
        <w:t>In May 2019, we conducted a pre-NDA meeting with the FDA to discuss the FDA’s key requirements for the new drug application (“NDA”) for ALKS 3831, including those related to efficacy, safety, weight and metabolic profile, and the expansion of the NDA to encompass the treatment of bipolar I disorder in addition to the treatment of schizophrenia. In January 2020, the FDA accepted the ALKS 3831 NDA and assigned a Prescription Drug User Fee Act (“PDUFA”) target action date of November 15, 2020. The FDA plans to hold an advisory committee meeting relating to the ALKS 3831 NDA in October 2020. The ALKS 3831 NDA is a 505(b)(2) NDA and includes data from the ENLIGHTEN clinical development program in patients with schizophrenia, as well as PK bridging data comparing ALKS 3831 and ZYPREXA. For more information about 505(b)(2) NDAs, see the “Regulatory, Hatch-Waxman Act” section of “Part I, Item 1—Business” in our Annual Report. We are seeking approval for ALKS 3831 for the treatment of schizophrenia and for the treatment of manic and mixed episodes associated with bipolar I disorder as a monotherapy or adjunct to lithium or valproate and for maintenance treatment of bipolar I disorder, and of fixed dosage strengths of ALKS 3831 composed of 10 mg of samidorphan co-formulated with 5 mg, 10 mg, 15 mg or 20 mg of olanzapine.</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ALKS 4230</w:t>
      </w:r>
    </w:p>
    <w:p>
      <w:pPr>
        <w:spacing w:after="0" w:line="212" w:lineRule="exact"/>
        <w:rPr>
          <w:sz w:val="20"/>
          <w:szCs w:val="20"/>
          <w:color w:val="auto"/>
        </w:rPr>
      </w:pPr>
    </w:p>
    <w:p>
      <w:pPr>
        <w:jc w:val="both"/>
        <w:ind w:right="420" w:firstLine="416"/>
        <w:spacing w:after="0" w:line="259" w:lineRule="auto"/>
        <w:rPr>
          <w:sz w:val="20"/>
          <w:szCs w:val="20"/>
          <w:color w:val="auto"/>
        </w:rPr>
      </w:pPr>
      <w:r>
        <w:rPr>
          <w:rFonts w:ascii="Arial" w:cs="Arial" w:eastAsia="Arial" w:hAnsi="Arial"/>
          <w:sz w:val="18"/>
          <w:szCs w:val="18"/>
          <w:color w:val="auto"/>
        </w:rPr>
        <w:t>ALKS 4230 is an investigational, novel, engineered fusion protein comprised of modified interleukin-2 (“IL-2”) and the high affinity IL-2 alpha receptor chain, designed to selectively expand tumor-killing immune cells while avoiding the IL-2-induced activation of immunosuppressive cells by preferentially binding to the intermediate-affinity IL-2 receptor complex. The selectivity of ALKS 4230 is designed to leverage the proven anti-tumor effects of existing IL-2 therapy while mitigating certain limitations.</w:t>
      </w:r>
    </w:p>
    <w:p>
      <w:pPr>
        <w:spacing w:after="0" w:line="187" w:lineRule="exact"/>
        <w:rPr>
          <w:sz w:val="20"/>
          <w:szCs w:val="20"/>
          <w:color w:val="auto"/>
        </w:rPr>
      </w:pPr>
    </w:p>
    <w:p>
      <w:pPr>
        <w:ind w:right="60" w:firstLine="416"/>
        <w:spacing w:after="0" w:line="257" w:lineRule="auto"/>
        <w:rPr>
          <w:sz w:val="20"/>
          <w:szCs w:val="20"/>
          <w:color w:val="auto"/>
        </w:rPr>
      </w:pPr>
      <w:r>
        <w:rPr>
          <w:rFonts w:ascii="Arial" w:cs="Arial" w:eastAsia="Arial" w:hAnsi="Arial"/>
          <w:sz w:val="18"/>
          <w:szCs w:val="18"/>
          <w:color w:val="auto"/>
        </w:rPr>
        <w:t>ARTISTRY is our clinical development program evaluating ALKS 4230 in patients with advanced solid tumors. ARTISTRY-1 and ARTISTRY-2 are phase 1/2 studies evaluating the safety, tolerability, efficacy and pharmacokinetic and pharmacodynamic effects of ALKS 4230 in patients with refractory advanced solid tumors, in both monotherapy and combination settings with the PD-1 inhibitor pembrolizumab. In ARTISTRY-1, ALKS 4230 is administered as an intravenous infusion daily for five consecutive days. In ARTISTRY-2, ALKS 4230 is administered subcutaneously and is being evaluated with once-weekly and once-every-three-week dosing schedules.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98" w:lineRule="exact"/>
        <w:rPr>
          <w:sz w:val="20"/>
          <w:szCs w:val="20"/>
          <w:color w:val="auto"/>
        </w:rPr>
      </w:pPr>
    </w:p>
    <w:p>
      <w:pPr>
        <w:ind w:firstLine="416"/>
        <w:spacing w:after="0" w:line="286" w:lineRule="auto"/>
        <w:rPr>
          <w:sz w:val="20"/>
          <w:szCs w:val="20"/>
          <w:color w:val="auto"/>
        </w:rPr>
      </w:pPr>
      <w:r>
        <w:rPr>
          <w:rFonts w:ascii="Arial" w:cs="Arial" w:eastAsia="Arial" w:hAnsi="Arial"/>
          <w:sz w:val="17"/>
          <w:szCs w:val="17"/>
          <w:color w:val="auto"/>
        </w:rPr>
        <w:t>Our product sales, net, consist of sales of VIVITROL, ARISTADA and ARISTADA INITIO in the U.S., primarily to wholesalers, specialty distributors and specialty pharmacies. The following table presents the adjustments deducted from product sales, gross to arrive at product sales, net, for the sales of VIVITROL, ARISTADA and ARISTADA INITIO in the U.S. during the three and six months ended June 30, 2020 and 2019: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 of Sales)</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140" w:type="dxa"/>
            <w:vAlign w:val="bottom"/>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w w:val="97"/>
              </w:rPr>
              <w:t>% of Sales</w:t>
            </w:r>
          </w:p>
        </w:tc>
        <w:tc>
          <w:tcPr>
            <w:tcW w:w="16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 of Sales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100" w:type="dxa"/>
            <w:vAlign w:val="bottom"/>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w w:val="97"/>
              </w:rPr>
              <w:t>% of Sales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 of Sales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88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Product sales, gross</w:t>
            </w: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259.0</w:t>
            </w:r>
          </w:p>
        </w:tc>
        <w:tc>
          <w:tcPr>
            <w:tcW w:w="20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80" w:type="dxa"/>
            <w:vAlign w:val="bottom"/>
            <w:tcBorders>
              <w:top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261.1</w:t>
            </w:r>
          </w:p>
        </w:tc>
        <w:tc>
          <w:tcPr>
            <w:tcW w:w="20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519.2</w:t>
            </w:r>
          </w:p>
        </w:tc>
        <w:tc>
          <w:tcPr>
            <w:tcW w:w="20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457.2</w:t>
            </w:r>
          </w:p>
        </w:tc>
        <w:tc>
          <w:tcPr>
            <w:tcW w:w="20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880" w:type="dxa"/>
            <w:vAlign w:val="bottom"/>
          </w:tcPr>
          <w:p>
            <w:pPr>
              <w:ind w:left="260"/>
              <w:spacing w:after="0" w:line="189" w:lineRule="exact"/>
              <w:rPr>
                <w:sz w:val="20"/>
                <w:szCs w:val="20"/>
                <w:color w:val="auto"/>
              </w:rPr>
            </w:pPr>
            <w:r>
              <w:rPr>
                <w:rFonts w:ascii="Arial" w:cs="Arial" w:eastAsia="Arial" w:hAnsi="Arial"/>
                <w:sz w:val="18"/>
                <w:szCs w:val="18"/>
                <w:color w:val="auto"/>
                <w:w w:val="89"/>
              </w:rPr>
              <w:t>Adjustments to product sales, gross:</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Medicaid rebates</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(65.4)</w:t>
            </w:r>
          </w:p>
        </w:tc>
        <w:tc>
          <w:tcPr>
            <w:tcW w:w="114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(25.3)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(59.5)</w:t>
            </w:r>
          </w:p>
        </w:tc>
        <w:tc>
          <w:tcPr>
            <w:tcW w:w="10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(22.8)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(127.3)</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(24.5)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(106.2)</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189"/>
        </w:trPr>
        <w:tc>
          <w:tcPr>
            <w:tcW w:w="2880" w:type="dxa"/>
            <w:vAlign w:val="bottom"/>
          </w:tcPr>
          <w:p>
            <w:pPr>
              <w:ind w:left="380"/>
              <w:spacing w:after="0" w:line="189" w:lineRule="exact"/>
              <w:rPr>
                <w:sz w:val="20"/>
                <w:szCs w:val="20"/>
                <w:color w:val="auto"/>
              </w:rPr>
            </w:pPr>
            <w:r>
              <w:rPr>
                <w:rFonts w:ascii="Arial" w:cs="Arial" w:eastAsia="Arial" w:hAnsi="Arial"/>
                <w:sz w:val="18"/>
                <w:szCs w:val="18"/>
                <w:color w:val="auto"/>
              </w:rPr>
              <w:t>Chargebacks</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(20.7)</w:t>
            </w:r>
          </w:p>
        </w:tc>
        <w:tc>
          <w:tcPr>
            <w:tcW w:w="114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(8.0) %</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(20.4)</w:t>
            </w:r>
          </w:p>
        </w:tc>
        <w:tc>
          <w:tcPr>
            <w:tcW w:w="10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(7.8)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(43.3)</w:t>
            </w:r>
          </w:p>
        </w:tc>
        <w:tc>
          <w:tcPr>
            <w:tcW w:w="11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(8.3)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(37.2)</w:t>
            </w:r>
          </w:p>
        </w:tc>
        <w:tc>
          <w:tcPr>
            <w:tcW w:w="11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189"/>
        </w:trPr>
        <w:tc>
          <w:tcPr>
            <w:tcW w:w="28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Product discounts</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(20.6)</w:t>
            </w:r>
          </w:p>
        </w:tc>
        <w:tc>
          <w:tcPr>
            <w:tcW w:w="114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(8.0)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(20.5)</w:t>
            </w:r>
          </w:p>
        </w:tc>
        <w:tc>
          <w:tcPr>
            <w:tcW w:w="10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(7.9)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(40.8)</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(7.9)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(35.6)</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189"/>
        </w:trPr>
        <w:tc>
          <w:tcPr>
            <w:tcW w:w="2880" w:type="dxa"/>
            <w:vAlign w:val="bottom"/>
          </w:tcPr>
          <w:p>
            <w:pPr>
              <w:ind w:left="380"/>
              <w:spacing w:after="0" w:line="189" w:lineRule="exact"/>
              <w:rPr>
                <w:sz w:val="20"/>
                <w:szCs w:val="20"/>
                <w:color w:val="auto"/>
              </w:rPr>
            </w:pPr>
            <w:r>
              <w:rPr>
                <w:rFonts w:ascii="Arial" w:cs="Arial" w:eastAsia="Arial" w:hAnsi="Arial"/>
                <w:sz w:val="18"/>
                <w:szCs w:val="18"/>
                <w:color w:val="auto"/>
              </w:rPr>
              <w:t>Medicare Part D</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(13.4)</w:t>
            </w:r>
          </w:p>
        </w:tc>
        <w:tc>
          <w:tcPr>
            <w:tcW w:w="114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(5.2) %</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(11.1)</w:t>
            </w:r>
          </w:p>
        </w:tc>
        <w:tc>
          <w:tcPr>
            <w:tcW w:w="10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(4.3)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(25.7)</w:t>
            </w:r>
          </w:p>
        </w:tc>
        <w:tc>
          <w:tcPr>
            <w:tcW w:w="11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(5.0)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(18.5)</w:t>
            </w:r>
          </w:p>
        </w:tc>
        <w:tc>
          <w:tcPr>
            <w:tcW w:w="11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189"/>
        </w:trPr>
        <w:tc>
          <w:tcPr>
            <w:tcW w:w="28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(8.5)</w:t>
            </w:r>
          </w:p>
        </w:tc>
        <w:tc>
          <w:tcPr>
            <w:tcW w:w="114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(3.3)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(13.0)</w:t>
            </w:r>
          </w:p>
        </w:tc>
        <w:tc>
          <w:tcPr>
            <w:tcW w:w="10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(4.9)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(22.0)</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(4.2)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(23.6)</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183"/>
        </w:trPr>
        <w:tc>
          <w:tcPr>
            <w:tcW w:w="288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adjustments</w:t>
            </w: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(128.6)</w:t>
            </w:r>
          </w:p>
        </w:tc>
        <w:tc>
          <w:tcPr>
            <w:tcW w:w="200" w:type="dxa"/>
            <w:vAlign w:val="bottom"/>
            <w:tcBorders>
              <w:bottom w:val="single" w:sz="8" w:color="CFF0FC"/>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(49.7)</w:t>
            </w:r>
          </w:p>
        </w:tc>
        <w:tc>
          <w:tcPr>
            <w:tcW w:w="380" w:type="dxa"/>
            <w:vAlign w:val="bottom"/>
            <w:tcBorders>
              <w:bottom w:val="single" w:sz="8" w:color="CFF0FC"/>
            </w:tcBorders>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(124.5)</w:t>
            </w:r>
          </w:p>
        </w:tc>
        <w:tc>
          <w:tcPr>
            <w:tcW w:w="200" w:type="dxa"/>
            <w:vAlign w:val="bottom"/>
            <w:tcBorders>
              <w:bottom w:val="single" w:sz="8" w:color="CFF0FC"/>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(47.7)</w:t>
            </w:r>
          </w:p>
        </w:tc>
        <w:tc>
          <w:tcPr>
            <w:tcW w:w="300" w:type="dxa"/>
            <w:vAlign w:val="bottom"/>
            <w:tcBorders>
              <w:bottom w:val="single" w:sz="8" w:color="CFF0FC"/>
            </w:tcBorders>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(259.1)</w:t>
            </w:r>
          </w:p>
        </w:tc>
        <w:tc>
          <w:tcPr>
            <w:tcW w:w="200" w:type="dxa"/>
            <w:vAlign w:val="bottom"/>
            <w:tcBorders>
              <w:bottom w:val="single" w:sz="8" w:color="CFF0FC"/>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(49.9)</w:t>
            </w:r>
          </w:p>
        </w:tc>
        <w:tc>
          <w:tcPr>
            <w:tcW w:w="320" w:type="dxa"/>
            <w:vAlign w:val="bottom"/>
            <w:tcBorders>
              <w:bottom w:val="single" w:sz="8" w:color="CFF0FC"/>
            </w:tcBorders>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(221.1)</w:t>
            </w:r>
          </w:p>
        </w:tc>
        <w:tc>
          <w:tcPr>
            <w:tcW w:w="200" w:type="dxa"/>
            <w:vAlign w:val="bottom"/>
            <w:tcBorders>
              <w:bottom w:val="single" w:sz="8" w:color="CFF0FC"/>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(48.4)</w:t>
            </w:r>
          </w:p>
        </w:tc>
        <w:tc>
          <w:tcPr>
            <w:tcW w:w="320" w:type="dxa"/>
            <w:vAlign w:val="bottom"/>
            <w:tcBorders>
              <w:bottom w:val="single" w:sz="8" w:color="CFF0FC"/>
            </w:tcBorders>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880" w:type="dxa"/>
            <w:vAlign w:val="bottom"/>
            <w:tcBorders>
              <w:bottom w:val="single" w:sz="8" w:color="CFF0FC"/>
            </w:tcBorders>
            <w:shd w:val="clear" w:color="auto" w:fill="CFF0FC"/>
          </w:tcPr>
          <w:p>
            <w:pPr>
              <w:ind w:left="620"/>
              <w:spacing w:after="0" w:line="182" w:lineRule="exact"/>
              <w:rPr>
                <w:sz w:val="20"/>
                <w:szCs w:val="20"/>
                <w:color w:val="auto"/>
              </w:rPr>
            </w:pPr>
            <w:r>
              <w:rPr>
                <w:rFonts w:ascii="Arial" w:cs="Arial" w:eastAsia="Arial" w:hAnsi="Arial"/>
                <w:sz w:val="18"/>
                <w:szCs w:val="18"/>
                <w:color w:val="auto"/>
              </w:rPr>
              <w:t>Product sales, net</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130.4</w:t>
            </w:r>
          </w:p>
        </w:tc>
        <w:tc>
          <w:tcPr>
            <w:tcW w:w="2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50.3</w:t>
            </w:r>
          </w:p>
        </w:tc>
        <w:tc>
          <w:tcPr>
            <w:tcW w:w="38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136.6</w:t>
            </w:r>
          </w:p>
        </w:tc>
        <w:tc>
          <w:tcPr>
            <w:tcW w:w="2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52.3</w:t>
            </w:r>
          </w:p>
        </w:tc>
        <w:tc>
          <w:tcPr>
            <w:tcW w:w="3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260.1</w:t>
            </w:r>
          </w:p>
        </w:tc>
        <w:tc>
          <w:tcPr>
            <w:tcW w:w="2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50.1</w:t>
            </w:r>
          </w:p>
        </w:tc>
        <w:tc>
          <w:tcPr>
            <w:tcW w:w="3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236.1</w:t>
            </w:r>
          </w:p>
        </w:tc>
        <w:tc>
          <w:tcPr>
            <w:tcW w:w="2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51.6</w:t>
            </w:r>
          </w:p>
        </w:tc>
        <w:tc>
          <w:tcPr>
            <w:tcW w:w="3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60" w:firstLine="416"/>
        <w:spacing w:after="0" w:line="231" w:lineRule="auto"/>
        <w:rPr>
          <w:sz w:val="20"/>
          <w:szCs w:val="20"/>
          <w:color w:val="auto"/>
        </w:rPr>
      </w:pPr>
      <w:r>
        <w:rPr>
          <w:rFonts w:ascii="Arial" w:cs="Arial" w:eastAsia="Arial" w:hAnsi="Arial"/>
          <w:sz w:val="18"/>
          <w:szCs w:val="18"/>
          <w:color w:val="auto"/>
        </w:rPr>
        <w:t>Our product sales, net, for VIVITROL in the three and six months ended June 30, 2020 were $71.6 million and $150.4 million, respectively, as compared to $88.2 million and $157.4 million in the three and six months ended June 30, 2019, respectively. Product sales, net for ARISTADA and ARISTADA INITIO in the three and six months ended June 30, 2020 were $58.8 million and $109.7 million, respectively, as compared to $48.4 million and $78.7 million in the three and six months ended June 30, 2019, respectively.</w:t>
      </w:r>
    </w:p>
    <w:p>
      <w:pPr>
        <w:spacing w:after="0" w:line="135" w:lineRule="exact"/>
        <w:rPr>
          <w:sz w:val="20"/>
          <w:szCs w:val="20"/>
          <w:color w:val="auto"/>
        </w:rPr>
      </w:pPr>
    </w:p>
    <w:p>
      <w:pPr>
        <w:ind w:right="220" w:firstLine="416"/>
        <w:spacing w:after="0" w:line="225" w:lineRule="auto"/>
        <w:rPr>
          <w:sz w:val="20"/>
          <w:szCs w:val="20"/>
          <w:color w:val="auto"/>
        </w:rPr>
      </w:pPr>
      <w:r>
        <w:rPr>
          <w:rFonts w:ascii="Arial" w:cs="Arial" w:eastAsia="Arial" w:hAnsi="Arial"/>
          <w:sz w:val="18"/>
          <w:szCs w:val="18"/>
          <w:color w:val="auto"/>
        </w:rPr>
        <w:t>VIVITROL product sales, gross, decreased by 20% and 5% in the three and six months ended June 30, 2020, respectively, as compared to the three and six months ended June 30, 2019, which was primarily due to a 22% and 6% decrease in the number of VIVITROL units sold, respectively. Partially offsetting the decrease in the number of VIVITROL unit sales was a 6% increase in the selling price of VIVITROL which went into effect in June 2020. The increase in Medicaid rebates, as a percentage of sales in both periods presented, is primarily due to an increase in Medicaid rebates as a result of the COVID-19 pandemic. ARISTADA and ARISTADA INITIO product sales, gross, increased by 35% and 52% in the three and six months ended June 30, 2020, respectively, as compared to the three and six months ended June 30, 2019, which was primarily due to a 25% and 42% increase in the number of ARISTADA and ARISTADA INITIO units sold, respectively, and a 6% price increase for ARISTADA and ARISTADA INITIO that went into effect in April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and Royalty Revenues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compares manufacturing and royalty revenues earned in the three and six months ended June 30, 2020 and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8"/>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8"/>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0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Manufacturing and royalty revenues:</w:t>
            </w: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60"/>
              <w:spacing w:after="0" w:line="162" w:lineRule="exact"/>
              <w:rPr>
                <w:sz w:val="20"/>
                <w:szCs w:val="20"/>
                <w:color w:val="auto"/>
              </w:rPr>
            </w:pPr>
            <w:r>
              <w:rPr>
                <w:rFonts w:ascii="Arial" w:cs="Arial" w:eastAsia="Arial" w:hAnsi="Arial"/>
                <w:sz w:val="18"/>
                <w:szCs w:val="18"/>
                <w:color w:val="auto"/>
              </w:rPr>
              <w:t>INVEGA SUSTENNA/XEPLION &amp; INVEGA</w:t>
            </w:r>
          </w:p>
        </w:tc>
        <w:tc>
          <w:tcPr>
            <w:tcW w:w="320" w:type="dxa"/>
            <w:vAlign w:val="bottom"/>
            <w:gridSpan w:val="2"/>
            <w:vMerge w:val="restart"/>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69.4</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67.3</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124.3</w:t>
            </w:r>
          </w:p>
        </w:tc>
        <w:tc>
          <w:tcPr>
            <w:tcW w:w="600" w:type="dxa"/>
            <w:vAlign w:val="bottom"/>
            <w:gridSpan w:val="2"/>
            <w:vMerge w:val="restart"/>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120.6</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380"/>
              <w:spacing w:after="0" w:line="202" w:lineRule="exact"/>
              <w:rPr>
                <w:sz w:val="20"/>
                <w:szCs w:val="20"/>
                <w:color w:val="auto"/>
              </w:rPr>
            </w:pPr>
            <w:r>
              <w:rPr>
                <w:rFonts w:ascii="Arial" w:cs="Arial" w:eastAsia="Arial" w:hAnsi="Arial"/>
                <w:sz w:val="18"/>
                <w:szCs w:val="18"/>
                <w:color w:val="auto"/>
              </w:rPr>
              <w:t>TRINZA/TREVICTA</w:t>
            </w:r>
          </w:p>
        </w:tc>
        <w:tc>
          <w:tcPr>
            <w:tcW w:w="32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RISPERDAL CONSTA</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13.7</w:t>
            </w: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24.6</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80"/>
              <w:spacing w:after="0" w:line="189" w:lineRule="exact"/>
              <w:rPr>
                <w:sz w:val="20"/>
                <w:szCs w:val="20"/>
                <w:color w:val="auto"/>
              </w:rPr>
            </w:pPr>
            <w:r>
              <w:rPr>
                <w:rFonts w:ascii="Arial" w:cs="Arial" w:eastAsia="Arial" w:hAnsi="Arial"/>
                <w:sz w:val="18"/>
                <w:szCs w:val="18"/>
                <w:color w:val="auto"/>
              </w:rPr>
              <w:t>(10.9)</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41.0</w:t>
            </w: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46.9</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9"/>
        </w:trPr>
        <w:tc>
          <w:tcPr>
            <w:tcW w:w="3800" w:type="dxa"/>
            <w:vAlign w:val="bottom"/>
          </w:tcPr>
          <w:p>
            <w:pPr>
              <w:ind w:left="260"/>
              <w:spacing w:after="0" w:line="189"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33.4</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36.0</w:t>
            </w:r>
          </w:p>
        </w:tc>
        <w:tc>
          <w:tcPr>
            <w:tcW w:w="5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(2.6)</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67.5</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69.3</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ind w:left="380"/>
              <w:spacing w:after="0" w:line="202" w:lineRule="exact"/>
              <w:rPr>
                <w:sz w:val="20"/>
                <w:szCs w:val="20"/>
                <w:color w:val="auto"/>
              </w:rPr>
            </w:pPr>
            <w:r>
              <w:rPr>
                <w:rFonts w:ascii="Arial" w:cs="Arial" w:eastAsia="Arial" w:hAnsi="Arial"/>
                <w:sz w:val="18"/>
                <w:szCs w:val="18"/>
                <w:color w:val="auto"/>
              </w:rPr>
              <w:t>Manufacturing and royalty revenues</w:t>
            </w:r>
          </w:p>
        </w:tc>
        <w:tc>
          <w:tcPr>
            <w:tcW w:w="1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0" w:type="dxa"/>
            <w:vAlign w:val="bottom"/>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116.5</w:t>
            </w:r>
          </w:p>
        </w:tc>
        <w:tc>
          <w:tcPr>
            <w:tcW w:w="42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127.9</w:t>
            </w:r>
          </w:p>
        </w:tc>
        <w:tc>
          <w:tcPr>
            <w:tcW w:w="42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(11.4)</w:t>
            </w:r>
          </w:p>
        </w:tc>
        <w:tc>
          <w:tcPr>
            <w:tcW w:w="18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232.8</w:t>
            </w:r>
          </w:p>
        </w:tc>
        <w:tc>
          <w:tcPr>
            <w:tcW w:w="42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236.8</w:t>
            </w:r>
          </w:p>
        </w:tc>
        <w:tc>
          <w:tcPr>
            <w:tcW w:w="42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16"/>
        <w:spacing w:after="0" w:line="263" w:lineRule="auto"/>
        <w:rPr>
          <w:sz w:val="20"/>
          <w:szCs w:val="20"/>
          <w:color w:val="auto"/>
        </w:rPr>
      </w:pPr>
      <w:r>
        <w:rPr>
          <w:rFonts w:ascii="Arial" w:cs="Arial" w:eastAsia="Arial" w:hAnsi="Arial"/>
          <w:sz w:val="18"/>
          <w:szCs w:val="18"/>
          <w:color w:val="auto"/>
        </w:rPr>
        <w:t>The increase in INVEGA SUSTENNA/XEPLION and INVEGA TRINZA/TREVICTA royalty revenues during the three and six months ended June 30, 2020, as compared to the three and six months ended June 30, 2019, was primarily due to an increase in Janssen’s end-market sales of INVEGA SUSTENNA/XEPLION and INVEGA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ind w:right="320"/>
        <w:spacing w:after="0" w:line="263" w:lineRule="auto"/>
        <w:rPr>
          <w:sz w:val="20"/>
          <w:szCs w:val="20"/>
          <w:color w:val="auto"/>
        </w:rPr>
      </w:pPr>
      <w:r>
        <w:rPr>
          <w:rFonts w:ascii="Arial" w:cs="Arial" w:eastAsia="Arial" w:hAnsi="Arial"/>
          <w:sz w:val="18"/>
          <w:szCs w:val="18"/>
          <w:color w:val="auto"/>
        </w:rPr>
        <w:t>TRINZA/TREVICTA. During the three and six months ended June 30, 2020, Janssen’s end-market sales of INVEGA SUSTENNA/XEPLION and INVEGA TRINZA/TREVICTA were $879.0 million and $1,762.0 million, respectively, as compared to $818.0 million and $1,608.0 million during the three and six months ended June 30, 2019, respectively.</w:t>
      </w:r>
    </w:p>
    <w:p>
      <w:pPr>
        <w:spacing w:after="0" w:line="184"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Under our agreements with Janssen related to INVEGA SUSTENNA/XEPLION and INVEGA TRINZA/TREVICTA, we earn tiered royalty payments which consist of a patent royalty and a know-how royalty, both of which are determined on a country-by-country basis. The patent royalty, which equals 1.5% of net sales, is payable in each country until the expiration of the last of the royalty-bearing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the expiry of the license agreement.</w:t>
      </w:r>
    </w:p>
    <w:p>
      <w:pPr>
        <w:spacing w:after="0" w:line="154"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The decrease in revenues from RISPERDAL CONSTA in the three and six months ended June 30, 2020, as compared to the three and six months ended June 30, 2019, was due to a $10.3 million and $4.7 million decrease in manufacturing revenue, respectively, and a $0.5 million and $1.2 million decrease in royalty revenue, respectively. The decrease in manufacturing revenue in the three months ended June 30, 2020, as compared to the three months ended June 30, 2019, was primarily due to a 35% decrease in the amount of RISPERDAL CONSTA shipped to Janssen and a 24% decrease in the average selling price per unit. The decrease in manufacturing revenue in the six months ended June 30, 2020, as compared to the six months ended June 30, 2019, was primarily due to a 17% decrease in the average selling price per unit sold, partially offset by a 5% increase in the amount of RISPERDAL CONSTA shipped to Janssen. The decrease in royalty revenue was due to a decrease in end-market sales of RISPERDAL CONSTA, which were $153.0 million and $323.0 million during the three and six months ended June 30, 2020, respectively, as compared to $182.0 million and $361.0 million during the three and six months ended June 30, 2019,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Revenue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gridSpan w:val="4"/>
          </w:tcPr>
          <w:p>
            <w:pPr>
              <w:jc w:val="center"/>
              <w:ind w:left="242"/>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Borders>
              <w:bottom w:val="single" w:sz="8" w:color="CFF0FC"/>
            </w:tcBorders>
            <w:vMerge w:val="continue"/>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FF0FC"/>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Research and development revenue</w:t>
            </w:r>
          </w:p>
        </w:tc>
        <w:tc>
          <w:tcPr>
            <w:tcW w:w="8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02"/>
              <w:spacing w:after="0" w:line="182"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59"/>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85"/>
              </w:rPr>
              <w:t>14.3</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(13.7)</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29.0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firstLine="416"/>
        <w:spacing w:after="0" w:line="231" w:lineRule="auto"/>
        <w:rPr>
          <w:sz w:val="20"/>
          <w:szCs w:val="20"/>
          <w:color w:val="auto"/>
        </w:rPr>
      </w:pPr>
      <w:r>
        <w:rPr>
          <w:rFonts w:ascii="Arial" w:cs="Arial" w:eastAsia="Arial" w:hAnsi="Arial"/>
          <w:sz w:val="18"/>
          <w:szCs w:val="18"/>
          <w:color w:val="auto"/>
        </w:rPr>
        <w:t>R&amp;D revenues earned under our license and collaboration agreement with Biogen for VUMERITY were $0.1 million and $0.2 million during the three and six months ended June 30, 2020, respectively, as compared to $13.6 million and $27.4 million in the three and six months ended June 30, 2019, respectively. The decrease in revenue was due to a decrease in services performed by us under the agreement following FDA approval of the NDA for VUMERITY in October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Manufactured and Sold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20" w:type="dxa"/>
            <w:vAlign w:val="bottom"/>
            <w:gridSpan w:val="4"/>
          </w:tcPr>
          <w:p>
            <w:pPr>
              <w:jc w:val="center"/>
              <w:ind w:left="242"/>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tcBorders>
              <w:bottom w:val="single" w:sz="8" w:color="CFF0FC"/>
            </w:tcBorders>
            <w:vMerge w:val="continue"/>
          </w:tcPr>
          <w:p>
            <w:pPr>
              <w:spacing w:after="0"/>
              <w:rPr>
                <w:sz w:val="12"/>
                <w:szCs w:val="12"/>
                <w:color w:val="auto"/>
              </w:rPr>
            </w:pPr>
          </w:p>
        </w:tc>
        <w:tc>
          <w:tcPr>
            <w:tcW w:w="7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4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Cost of goods manufactured and sold</w:t>
            </w:r>
          </w:p>
        </w:tc>
        <w:tc>
          <w:tcPr>
            <w:tcW w:w="7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42"/>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91"/>
              </w:rPr>
              <w:t>45.1</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59"/>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85"/>
              </w:rPr>
              <w:t>46.2</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59"/>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1.1</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92.3</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91.6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416"/>
        <w:spacing w:after="0" w:line="235" w:lineRule="auto"/>
        <w:rPr>
          <w:sz w:val="20"/>
          <w:szCs w:val="20"/>
          <w:color w:val="auto"/>
        </w:rPr>
      </w:pPr>
      <w:r>
        <w:rPr>
          <w:rFonts w:ascii="Arial" w:cs="Arial" w:eastAsia="Arial" w:hAnsi="Arial"/>
          <w:sz w:val="18"/>
          <w:szCs w:val="18"/>
          <w:color w:val="auto"/>
        </w:rPr>
        <w:t>The decrease in cost of goods manufactured and sold in the three months ended June 30, 2020, as compared to the three months ended June 30, 2019, was primarily due to a decrease in cost of goods manufactured for RISPERDAL CONSTA, which was primarily due to a decrease in the number of units manufactured during the period, as discussed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58" w:lineRule="exact"/>
        <w:rPr>
          <w:sz w:val="20"/>
          <w:szCs w:val="20"/>
          <w:color w:val="auto"/>
        </w:rPr>
      </w:pPr>
    </w:p>
    <w:p>
      <w:pPr>
        <w:ind w:right="60" w:firstLine="416"/>
        <w:spacing w:after="0" w:line="266" w:lineRule="auto"/>
        <w:rPr>
          <w:sz w:val="20"/>
          <w:szCs w:val="20"/>
          <w:color w:val="auto"/>
        </w:rPr>
      </w:pPr>
      <w:r>
        <w:rPr>
          <w:rFonts w:ascii="Arial" w:cs="Arial" w:eastAsia="Arial" w:hAnsi="Arial"/>
          <w:sz w:val="16"/>
          <w:szCs w:val="16"/>
          <w:color w:val="auto"/>
        </w:rPr>
        <w:t>For each of our R&amp;D programs, we incur both external and internal expenses. External R&amp;D expenses include fees for clinical and non-clinical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individual program as they can benefit multiple programs or our technologies in general.</w:t>
      </w:r>
    </w:p>
    <w:p>
      <w:pPr>
        <w:spacing w:after="0" w:line="171" w:lineRule="exact"/>
        <w:rPr>
          <w:sz w:val="20"/>
          <w:szCs w:val="20"/>
          <w:color w:val="auto"/>
        </w:rPr>
      </w:pPr>
    </w:p>
    <w:p>
      <w:pPr>
        <w:ind w:right="80" w:firstLine="416"/>
        <w:spacing w:after="0" w:line="274" w:lineRule="auto"/>
        <w:rPr>
          <w:sz w:val="20"/>
          <w:szCs w:val="20"/>
          <w:color w:val="auto"/>
        </w:rPr>
      </w:pPr>
      <w:r>
        <w:rPr>
          <w:rFonts w:ascii="Arial" w:cs="Arial" w:eastAsia="Arial" w:hAnsi="Arial"/>
          <w:sz w:val="17"/>
          <w:szCs w:val="17"/>
          <w:color w:val="auto"/>
        </w:rPr>
        <w:t>The following table sets forth our external R&amp;D expenses for the three and six months ended June 30, 2020 and 2019 relating to our then current key development programs and all other development programs, and our internal R&amp;D expenses, listed by the nature of such expenses: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External R&amp;D Expenses:</w:t>
            </w:r>
          </w:p>
        </w:tc>
        <w:tc>
          <w:tcPr>
            <w:tcW w:w="4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260"/>
              <w:spacing w:after="0" w:line="189" w:lineRule="exact"/>
              <w:rPr>
                <w:sz w:val="20"/>
                <w:szCs w:val="20"/>
                <w:color w:val="auto"/>
              </w:rPr>
            </w:pPr>
            <w:r>
              <w:rPr>
                <w:rFonts w:ascii="Arial" w:cs="Arial" w:eastAsia="Arial" w:hAnsi="Arial"/>
                <w:sz w:val="18"/>
                <w:szCs w:val="18"/>
                <w:color w:val="auto"/>
              </w:rPr>
              <w:t>Development programs: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ALKS 4230</w:t>
            </w:r>
          </w:p>
        </w:tc>
        <w:tc>
          <w:tcPr>
            <w:tcW w:w="66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17.4</w:t>
            </w:r>
          </w:p>
        </w:tc>
        <w:tc>
          <w:tcPr>
            <w:tcW w:w="440" w:type="dxa"/>
            <w:vAlign w:val="bottom"/>
            <w:gridSpan w:val="2"/>
            <w:shd w:val="clear" w:color="auto" w:fill="CFF0FC"/>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(8.1)</w:t>
            </w:r>
          </w:p>
        </w:tc>
        <w:tc>
          <w:tcPr>
            <w:tcW w:w="280" w:type="dxa"/>
            <w:vAlign w:val="bottom"/>
            <w:gridSpan w:val="2"/>
            <w:shd w:val="clear" w:color="auto" w:fill="CFF0FC"/>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29.7</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14.5</w:t>
            </w:r>
          </w:p>
        </w:tc>
        <w:tc>
          <w:tcPr>
            <w:tcW w:w="38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89"/>
        </w:trPr>
        <w:tc>
          <w:tcPr>
            <w:tcW w:w="3840" w:type="dxa"/>
            <w:vAlign w:val="bottom"/>
          </w:tcPr>
          <w:p>
            <w:pPr>
              <w:ind w:left="380"/>
              <w:spacing w:after="0" w:line="189" w:lineRule="exact"/>
              <w:rPr>
                <w:sz w:val="20"/>
                <w:szCs w:val="20"/>
                <w:color w:val="auto"/>
              </w:rPr>
            </w:pPr>
            <w:r>
              <w:rPr>
                <w:rFonts w:ascii="Arial" w:cs="Arial" w:eastAsia="Arial" w:hAnsi="Arial"/>
                <w:sz w:val="18"/>
                <w:szCs w:val="18"/>
                <w:color w:val="auto"/>
              </w:rPr>
              <w:t>ALKS 3831</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4.7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8.2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12.8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15.9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ALKS 5461</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11.2</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380"/>
              <w:spacing w:after="0" w:line="189" w:lineRule="exact"/>
              <w:rPr>
                <w:sz w:val="20"/>
                <w:szCs w:val="20"/>
                <w:color w:val="auto"/>
              </w:rPr>
            </w:pPr>
            <w:r>
              <w:rPr>
                <w:rFonts w:ascii="Arial" w:cs="Arial" w:eastAsia="Arial" w:hAnsi="Arial"/>
                <w:sz w:val="18"/>
                <w:szCs w:val="18"/>
                <w:color w:val="auto"/>
              </w:rPr>
              <w:t>VUMERITY</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8.8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8.8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18.2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Other external R&amp;D expenses</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16.9</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31.8</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31.4</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83"/>
        </w:trPr>
        <w:tc>
          <w:tcPr>
            <w:tcW w:w="384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external R&amp;D expenses</w:t>
            </w:r>
          </w:p>
        </w:tc>
        <w:tc>
          <w:tcPr>
            <w:tcW w:w="44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41.1</w:t>
            </w:r>
          </w:p>
        </w:tc>
        <w:tc>
          <w:tcPr>
            <w:tcW w:w="200" w:type="dxa"/>
            <w:vAlign w:val="bottom"/>
            <w:tcBorders>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47.0</w:t>
            </w:r>
          </w:p>
        </w:tc>
        <w:tc>
          <w:tcPr>
            <w:tcW w:w="2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79.7</w:t>
            </w:r>
          </w:p>
        </w:tc>
        <w:tc>
          <w:tcPr>
            <w:tcW w:w="22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91.2</w:t>
            </w:r>
          </w:p>
        </w:tc>
        <w:tc>
          <w:tcPr>
            <w:tcW w:w="20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Internal R&amp;D expenses:</w:t>
            </w: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260"/>
              <w:spacing w:after="0" w:line="189" w:lineRule="exact"/>
              <w:rPr>
                <w:sz w:val="20"/>
                <w:szCs w:val="20"/>
                <w:color w:val="auto"/>
              </w:rPr>
            </w:pPr>
            <w:r>
              <w:rPr>
                <w:rFonts w:ascii="Arial" w:cs="Arial" w:eastAsia="Arial" w:hAnsi="Arial"/>
                <w:sz w:val="18"/>
                <w:szCs w:val="18"/>
                <w:color w:val="auto"/>
              </w:rPr>
              <w:t>Employee-related</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40.0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45.0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80.7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91.4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Occupancy</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9"/>
        </w:trPr>
        <w:tc>
          <w:tcPr>
            <w:tcW w:w="3840" w:type="dxa"/>
            <w:vAlign w:val="bottom"/>
          </w:tcPr>
          <w:p>
            <w:pPr>
              <w:ind w:left="260"/>
              <w:spacing w:after="0" w:line="189" w:lineRule="exact"/>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3.7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7.4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6.6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89"/>
        </w:trPr>
        <w:tc>
          <w:tcPr>
            <w:tcW w:w="3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Other</w:t>
            </w:r>
          </w:p>
        </w:tc>
        <w:tc>
          <w:tcPr>
            <w:tcW w:w="44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11.8</w:t>
            </w:r>
          </w:p>
        </w:tc>
        <w:tc>
          <w:tcPr>
            <w:tcW w:w="2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4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internal R&amp;D expenses</w:t>
            </w:r>
          </w:p>
        </w:tc>
        <w:tc>
          <w:tcPr>
            <w:tcW w:w="4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53.1</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57.4</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107.8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115.8</w:t>
            </w: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40" w:type="dxa"/>
            <w:vAlign w:val="bottom"/>
            <w:tcBorders>
              <w:bottom w:val="single" w:sz="8" w:color="CFF0FC"/>
            </w:tcBorders>
            <w:shd w:val="clear" w:color="auto" w:fill="CFF0FC"/>
          </w:tcPr>
          <w:p>
            <w:pPr>
              <w:ind w:left="740"/>
              <w:spacing w:after="0" w:line="182" w:lineRule="exact"/>
              <w:rPr>
                <w:sz w:val="20"/>
                <w:szCs w:val="20"/>
                <w:color w:val="auto"/>
              </w:rPr>
            </w:pPr>
            <w:r>
              <w:rPr>
                <w:rFonts w:ascii="Arial" w:cs="Arial" w:eastAsia="Arial" w:hAnsi="Arial"/>
                <w:sz w:val="18"/>
                <w:szCs w:val="18"/>
                <w:color w:val="auto"/>
              </w:rPr>
              <w:t>Research and development expenses</w:t>
            </w:r>
          </w:p>
        </w:tc>
        <w:tc>
          <w:tcPr>
            <w:tcW w:w="4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94.2</w:t>
            </w:r>
          </w:p>
        </w:tc>
        <w:tc>
          <w:tcPr>
            <w:tcW w:w="2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104.4</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10.2</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187.5</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207.0</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19.5</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20" w:firstLine="416"/>
        <w:spacing w:after="0" w:line="235" w:lineRule="auto"/>
        <w:rPr>
          <w:sz w:val="20"/>
          <w:szCs w:val="20"/>
          <w:color w:val="auto"/>
        </w:rPr>
      </w:pPr>
      <w:r>
        <w:rPr>
          <w:rFonts w:ascii="Arial" w:cs="Arial" w:eastAsia="Arial" w:hAnsi="Arial"/>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commercial viability, among other factors.</w:t>
      </w:r>
    </w:p>
    <w:p>
      <w:pPr>
        <w:spacing w:after="0" w:line="134" w:lineRule="exact"/>
        <w:rPr>
          <w:sz w:val="20"/>
          <w:szCs w:val="20"/>
          <w:color w:val="auto"/>
        </w:rPr>
      </w:pPr>
    </w:p>
    <w:p>
      <w:pPr>
        <w:ind w:right="40" w:firstLine="416"/>
        <w:spacing w:after="0" w:line="252" w:lineRule="auto"/>
        <w:rPr>
          <w:sz w:val="20"/>
          <w:szCs w:val="20"/>
          <w:color w:val="auto"/>
        </w:rPr>
      </w:pPr>
      <w:r>
        <w:rPr>
          <w:rFonts w:ascii="Arial" w:cs="Arial" w:eastAsia="Arial" w:hAnsi="Arial"/>
          <w:sz w:val="16"/>
          <w:szCs w:val="16"/>
          <w:color w:val="auto"/>
        </w:rPr>
        <w:t>The increase in expenses related to ALKS 4230 in the three and six months ended June 30, 2020, as compared to the three and six months ended June 30, 2019, was primarily due to the advancement of the ARTISTRY development program for ALKS 4230. The decrease in expenses related to ALKS 3831 in the three and six months ended June 30, 2020, as compared to the three and six months ended June 30, 2019, was primarily due to a decrease in clinical activity across the ALKS 3831 program following submission to the FDA of the ALKS 3831 NDA in November 2019. The decrease in expenses related to ALKS 5461 in the three and six months ended June 30, 2020, as compared with the three and six months ended June 30, 2019, was primarily due to a decrease in activity within the program following receipt in January 2019 of a complete response letter from the FDA relating to our NDA seeking marketing approval of ALKS 5461 for the adjunctive treatment of major depressive disorder, and subsequent winding down of ongoing clinical activity in the development program. The decrease in expenses related to VUMERITY in the three and six months ended June 30, 2020, as compared with the three and six months ended June 30, 2019, was primarily due to the completion of our elective, randomized, head-to-head phase 3 study. The FDA approved the NDA for VUMERITY in the fourth quarter of 2019. For additional details on the status of our key development programs, see the “Key Development Programs” section of this “Part I, Item 2—Management’s Discussion and Analysis of Financial Condition and Results of Operations” in this Form 10-Q.</w:t>
      </w:r>
    </w:p>
    <w:p>
      <w:pPr>
        <w:spacing w:after="0" w:line="143" w:lineRule="exact"/>
        <w:rPr>
          <w:sz w:val="20"/>
          <w:szCs w:val="20"/>
          <w:color w:val="auto"/>
        </w:rPr>
      </w:pPr>
    </w:p>
    <w:p>
      <w:pPr>
        <w:ind w:right="80" w:firstLine="416"/>
        <w:spacing w:after="0" w:line="307" w:lineRule="auto"/>
        <w:rPr>
          <w:sz w:val="20"/>
          <w:szCs w:val="20"/>
          <w:color w:val="auto"/>
        </w:rPr>
      </w:pPr>
      <w:r>
        <w:rPr>
          <w:rFonts w:ascii="Arial" w:cs="Arial" w:eastAsia="Arial" w:hAnsi="Arial"/>
          <w:sz w:val="16"/>
          <w:szCs w:val="16"/>
          <w:color w:val="auto"/>
        </w:rPr>
        <w:t>The decrease in employee-related expenses in the three and six months ended June 30, 2020, as compared to the three and six months ended June 30, 2019, was primarily due to a decrease in R&amp;D headcount of 19% from June 30, 2019 to June 30, 2020, due primarily to the Restructuring.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720" w:type="dxa"/>
            <w:vAlign w:val="bottom"/>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Change</w:t>
            </w:r>
          </w:p>
        </w:tc>
      </w:tr>
      <w:tr>
        <w:trPr>
          <w:trHeight w:val="183"/>
        </w:trPr>
        <w:tc>
          <w:tcPr>
            <w:tcW w:w="37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Sales and marketing expense</w:t>
            </w:r>
          </w:p>
        </w:tc>
        <w:tc>
          <w:tcPr>
            <w:tcW w:w="5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82.9</w:t>
            </w:r>
          </w:p>
        </w:tc>
        <w:tc>
          <w:tcPr>
            <w:tcW w:w="2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100.2</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17.3</w:t>
            </w: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170.7</w:t>
            </w:r>
          </w:p>
        </w:tc>
        <w:tc>
          <w:tcPr>
            <w:tcW w:w="2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190.9</w:t>
            </w: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20.2</w:t>
            </w:r>
          </w:p>
        </w:tc>
        <w:tc>
          <w:tcPr>
            <w:tcW w:w="120" w:type="dxa"/>
            <w:vAlign w:val="bottom"/>
            <w:tcBorders>
              <w:top w:val="single" w:sz="8" w:color="CFF0FC"/>
            </w:tcBorders>
            <w:shd w:val="clear" w:color="auto" w:fill="CFF0FC"/>
          </w:tcPr>
          <w:p>
            <w:pPr>
              <w:spacing w:after="0"/>
              <w:rPr>
                <w:sz w:val="15"/>
                <w:szCs w:val="15"/>
                <w:color w:val="auto"/>
              </w:rPr>
            </w:pPr>
          </w:p>
        </w:tc>
      </w:tr>
      <w:tr>
        <w:trPr>
          <w:trHeight w:val="189"/>
        </w:trPr>
        <w:tc>
          <w:tcPr>
            <w:tcW w:w="372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General and administrative expense</w:t>
            </w:r>
          </w:p>
        </w:tc>
        <w:tc>
          <w:tcPr>
            <w:tcW w:w="5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49.1</w:t>
            </w:r>
          </w:p>
        </w:tc>
        <w:tc>
          <w:tcPr>
            <w:tcW w:w="2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54.9</w:t>
            </w:r>
          </w:p>
        </w:tc>
        <w:tc>
          <w:tcPr>
            <w:tcW w:w="2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5.8</w:t>
            </w:r>
          </w:p>
        </w:tc>
        <w:tc>
          <w:tcPr>
            <w:tcW w:w="2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94.7</w:t>
            </w:r>
          </w:p>
        </w:tc>
        <w:tc>
          <w:tcPr>
            <w:tcW w:w="2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105.4</w:t>
            </w:r>
          </w:p>
        </w:tc>
        <w:tc>
          <w:tcPr>
            <w:tcW w:w="2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10.7</w:t>
            </w:r>
          </w:p>
        </w:tc>
        <w:tc>
          <w:tcPr>
            <w:tcW w:w="120" w:type="dxa"/>
            <w:vAlign w:val="bottom"/>
            <w:tcBorders>
              <w:bottom w:val="single" w:sz="8" w:color="CFF0FC"/>
            </w:tcBorders>
          </w:tcPr>
          <w:p>
            <w:pPr>
              <w:spacing w:after="0"/>
              <w:rPr>
                <w:sz w:val="16"/>
                <w:szCs w:val="16"/>
                <w:color w:val="auto"/>
              </w:rPr>
            </w:pPr>
          </w:p>
        </w:tc>
      </w:tr>
      <w:tr>
        <w:trPr>
          <w:trHeight w:val="183"/>
        </w:trPr>
        <w:tc>
          <w:tcPr>
            <w:tcW w:w="3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Selling, general and administrative expense</w:t>
            </w:r>
          </w:p>
        </w:tc>
        <w:tc>
          <w:tcPr>
            <w:tcW w:w="5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132.0</w:t>
            </w:r>
          </w:p>
        </w:tc>
        <w:tc>
          <w:tcPr>
            <w:tcW w:w="2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155.1</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23.1</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265.4</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296.3</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30.9</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20"/>
        </w:trPr>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The decrease in sales and marketing expense during the three and six months ended June 30, 2020, as compared to the three and six months ended June 30, 2019, was primarily due to a decrease in marketing expense of $13.1 million and $17.7 million, respectively, and a decrease in professional service fees of $2.4 million and $4.2 million, respectively. The decrease in marketing expense was primarily due to a reduction in the number of speaker programs and speaker trainings and a reduction in spend related to conferences. The decrease in professional service fees was primarily due to a reduction in external consulting services.</w:t>
      </w:r>
    </w:p>
    <w:p>
      <w:pPr>
        <w:spacing w:after="0" w:line="188"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The decrease in general and administrative expense during the three and six months ended June 30, 2020, as compared to the three and six months ended June 30, 2019, was primarily due to a decrease in employee-related expenses of $6.6 million and $10.3 million, respectively. The decrease in employee-related expenses was primarily due to a decrease in share-based compensation expense and in salaries and benefits, due to a decrease in general and administrative headcount of 9% from June 30, 2019 to June 30,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0" w:type="dxa"/>
            <w:vAlign w:val="bottom"/>
            <w:gridSpan w:val="4"/>
          </w:tcPr>
          <w:p>
            <w:pPr>
              <w:jc w:val="center"/>
              <w:ind w:left="242"/>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center"/>
              <w:ind w:right="159"/>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6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6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8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Amortization of acquired intangible assets</w:t>
            </w:r>
          </w:p>
        </w:tc>
        <w:tc>
          <w:tcPr>
            <w:tcW w:w="600" w:type="dxa"/>
            <w:vAlign w:val="bottom"/>
            <w:tcBorders>
              <w:top w:val="single" w:sz="8" w:color="CFF0FC"/>
              <w:bottom w:val="single" w:sz="8" w:color="CFF0FC"/>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ind w:right="482"/>
              <w:spacing w:after="0" w:line="182"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w:t>
            </w: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jc w:val="right"/>
              <w:ind w:right="450"/>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5"/>
              </w:rPr>
              <w:t>10.1</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0.2</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19.6</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20.0</w:t>
            </w: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0.4</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We amortize our amortizable intangible assets using the economic-use method, which reflects the pattern that the economic benefits of the intangible assets are consumed as revenue is generated from the underlying patent or contract. Based on our most recent analysis, amortization of intangible assets included within our consolidated balance sheet at June 30, 2020 is expected to be approximately $40.0 million, $40.0 million, $35.0 million, $35.0 million and $1.0 million in the years ending December 31, 2020 through 2024,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Borders>
              <w:bottom w:val="single" w:sz="8" w:color="CFF0FC"/>
            </w:tcBorders>
            <w:vMerge w:val="continue"/>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FF0FC"/>
            </w:tcBorders>
            <w:vMerge w:val="continue"/>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9"/>
        </w:trPr>
        <w:tc>
          <w:tcPr>
            <w:tcW w:w="402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w w:val="97"/>
              </w:rPr>
              <w:t>Change in the fair value of contingent consideration</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5.9</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12.4</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12.7</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(29.1)</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w:t>
            </w:r>
          </w:p>
        </w:tc>
        <w:tc>
          <w:tcPr>
            <w:tcW w:w="2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0.5</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w:t>
            </w:r>
          </w:p>
        </w:tc>
        <w:tc>
          <w:tcPr>
            <w:tcW w:w="2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0.1</w:t>
            </w: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Total other income (expense), net</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7.9</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12.4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(28.7)</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42.6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16"/>
        <w:spacing w:after="0" w:line="271" w:lineRule="auto"/>
        <w:rPr>
          <w:sz w:val="20"/>
          <w:szCs w:val="20"/>
          <w:color w:val="auto"/>
        </w:rPr>
      </w:pPr>
      <w:r>
        <w:rPr>
          <w:rFonts w:ascii="Arial" w:cs="Arial" w:eastAsia="Arial" w:hAnsi="Arial"/>
          <w:sz w:val="17"/>
          <w:szCs w:val="17"/>
          <w:color w:val="auto"/>
        </w:rPr>
        <w:t xml:space="preserve">The increase in the fair value of contingent consideration in the three and six months ended June 30, 2020, as compared to the three and six months ended June 30, 2019, was primarily due to the approval by the FDA of the NDA for ANJESO in February 2020. As a result of the product’s approval, we increased the probability of success in our fair value analysis to 100%. The $6.5 million and $29.1 million decrease in the fair value of contingent consideration recorded in the three and six months ended June 30, 2019, respectively, was primarily due to Recro’s receipt of a second complete response letter in March 2019 from the FDA regarding its NDA for ANJESO. As a result of the receipt of that complete response letter, we delayed the expectation of the anticipated date of the FDA’s approval of the product, resulting in a corresponding reduction in the amount of forecasted sales used in the valuation model. The valuation approach used to determine the fair value of the contingent consideration is discussed in greater detail in Note 5, </w:t>
      </w:r>
      <w:r>
        <w:rPr>
          <w:rFonts w:ascii="Arial" w:cs="Arial" w:eastAsia="Arial" w:hAnsi="Arial"/>
          <w:sz w:val="17"/>
          <w:szCs w:val="17"/>
          <w:i w:val="1"/>
          <w:iCs w:val="1"/>
          <w:color w:val="auto"/>
        </w:rPr>
        <w:t>Fair Value</w:t>
      </w:r>
      <w:r>
        <w:rPr>
          <w:rFonts w:ascii="Arial" w:cs="Arial" w:eastAsia="Arial" w:hAnsi="Arial"/>
          <w:sz w:val="17"/>
          <w:szCs w:val="17"/>
          <w:color w:val="auto"/>
        </w:rPr>
        <w:t>, in the “Notes to Consolidated Financial Statements” in our Annual Report.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Income Tax Provision (Benefit)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gridSpan w:val="4"/>
          </w:tcPr>
          <w:p>
            <w:pPr>
              <w:jc w:val="center"/>
              <w:ind w:left="202"/>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FF0FC"/>
            </w:tcBorders>
            <w:vMerge w:val="continue"/>
          </w:tcPr>
          <w:p>
            <w:pPr>
              <w:spacing w:after="0"/>
              <w:rPr>
                <w:sz w:val="12"/>
                <w:szCs w:val="12"/>
                <w:color w:val="auto"/>
              </w:rPr>
            </w:pPr>
          </w:p>
        </w:tc>
        <w:tc>
          <w:tcPr>
            <w:tcW w:w="104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FF0FC"/>
            </w:tcBorders>
            <w:vMerge w:val="continue"/>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2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Income tax provision (benefit)</w:t>
            </w: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2"/>
              <w:spacing w:after="0" w:line="18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99"/>
              <w:spacing w:after="0" w:line="182"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11.0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16"/>
        <w:spacing w:after="0" w:line="263" w:lineRule="auto"/>
        <w:rPr>
          <w:sz w:val="20"/>
          <w:szCs w:val="20"/>
          <w:color w:val="auto"/>
        </w:rPr>
      </w:pPr>
      <w:r>
        <w:rPr>
          <w:rFonts w:ascii="Arial" w:cs="Arial" w:eastAsia="Arial" w:hAnsi="Arial"/>
          <w:sz w:val="18"/>
          <w:szCs w:val="18"/>
          <w:color w:val="auto"/>
        </w:rPr>
        <w:t>The income tax provision in the three months ended June 30, 2020 and 2019 primarily related to U.S. federal and state taxes. The unfavorable change in the income tax provision in the three months ended June 30, 2020, as compared to the three months ended June 30, 2019, was primarily due to an increase in taxes on ordinary income earned in the U.S. and employee equity activity.</w:t>
      </w:r>
    </w:p>
    <w:p>
      <w:pPr>
        <w:spacing w:after="0" w:line="184" w:lineRule="exact"/>
        <w:rPr>
          <w:sz w:val="20"/>
          <w:szCs w:val="20"/>
          <w:color w:val="auto"/>
        </w:rPr>
      </w:pPr>
    </w:p>
    <w:p>
      <w:pPr>
        <w:jc w:val="both"/>
        <w:ind w:right="140" w:firstLine="416"/>
        <w:spacing w:after="0" w:line="287" w:lineRule="auto"/>
        <w:rPr>
          <w:sz w:val="20"/>
          <w:szCs w:val="20"/>
          <w:color w:val="auto"/>
        </w:rPr>
      </w:pPr>
      <w:r>
        <w:rPr>
          <w:rFonts w:ascii="Arial" w:cs="Arial" w:eastAsia="Arial" w:hAnsi="Arial"/>
          <w:sz w:val="16"/>
          <w:szCs w:val="16"/>
          <w:color w:val="auto"/>
        </w:rPr>
        <w:t>The income tax provision in the six months ended June 30, 2020 primarily related to a $4.6 million tax expense on income earned in the U.S. and a $6.2 million discrete tax expense related to employee equity activity during the period. The income tax benefit in the six months ended June 30, 2019 was primarily related to a $7.9 million discrete tax benefit to take account of proposed foreign derived intangible income regulations issued by the U.S.</w:t>
      </w:r>
    </w:p>
    <w:p>
      <w:pPr>
        <w:spacing w:after="0" w:line="2"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Department of the Treasury and the U.S. Internal Revenue Service in March 2019, partially offset by a $4.9 million discrete tax expense for employee equity activity during the period.</w:t>
      </w:r>
    </w:p>
    <w:p>
      <w:pPr>
        <w:spacing w:after="0" w:line="185"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On March 27, 2020 the Coronavirus Aid, Relief and Economic Security (“CARES”) Act was passed by the U.S. Congress and signed into law by the President of the United States. The CARES Act, among other things, includes certain income tax provisions for individuals and corporations; however, these benefits had an immaterial impact on our income tax provision. We will continue to evaluate the impact of tax legislation and will update our disclosures as additional information and interpretive guidance become available.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financial condition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June 30, 2020</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7"/>
          </w:tcPr>
          <w:p>
            <w:pPr>
              <w:jc w:val="right"/>
              <w:ind w:right="27"/>
              <w:spacing w:after="0"/>
              <w:rPr>
                <w:sz w:val="20"/>
                <w:szCs w:val="20"/>
                <w:color w:val="auto"/>
              </w:rPr>
            </w:pPr>
            <w:r>
              <w:rPr>
                <w:rFonts w:ascii="Arial" w:cs="Arial" w:eastAsia="Arial" w:hAnsi="Arial"/>
                <w:sz w:val="14"/>
                <w:szCs w:val="14"/>
                <w:b w:val="1"/>
                <w:bCs w:val="1"/>
                <w:color w:val="auto"/>
                <w:w w:val="93"/>
              </w:rPr>
              <w:t>December 31, 2019</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5"/>
              </w:rPr>
              <w:t>Ireland</w:t>
            </w:r>
          </w:p>
        </w:tc>
        <w:tc>
          <w:tcPr>
            <w:tcW w:w="80" w:type="dxa"/>
            <w:vAlign w:val="bottom"/>
          </w:tcPr>
          <w:p>
            <w:pPr>
              <w:spacing w:after="0"/>
              <w:rPr>
                <w:sz w:val="12"/>
                <w:szCs w:val="12"/>
                <w:color w:val="auto"/>
              </w:rPr>
            </w:pPr>
          </w:p>
        </w:tc>
        <w:tc>
          <w:tcPr>
            <w:tcW w:w="960" w:type="dxa"/>
            <w:vAlign w:val="bottom"/>
            <w:gridSpan w:val="3"/>
          </w:tcPr>
          <w:p>
            <w:pPr>
              <w:jc w:val="right"/>
              <w:ind w:right="247"/>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5"/>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Ireland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w:t>
            </w:r>
          </w:p>
        </w:tc>
        <w:tc>
          <w:tcPr>
            <w:tcW w:w="4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94.7</w:t>
            </w: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94.3</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jc w:val="right"/>
              <w:ind w:right="175"/>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189.0</w:t>
            </w:r>
          </w:p>
        </w:tc>
        <w:tc>
          <w:tcPr>
            <w:tcW w:w="2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gridSpan w:val="3"/>
            <w:shd w:val="clear" w:color="auto" w:fill="CFF0FC"/>
          </w:tcPr>
          <w:p>
            <w:pPr>
              <w:jc w:val="right"/>
              <w:spacing w:after="0" w:line="182" w:lineRule="exact"/>
              <w:rPr>
                <w:sz w:val="20"/>
                <w:szCs w:val="20"/>
                <w:color w:val="auto"/>
              </w:rPr>
            </w:pPr>
            <w:r>
              <w:rPr>
                <w:rFonts w:ascii="Arial" w:cs="Arial" w:eastAsia="Arial" w:hAnsi="Arial"/>
                <w:sz w:val="18"/>
                <w:szCs w:val="18"/>
                <w:color w:val="auto"/>
              </w:rPr>
              <w:t>63.3</w:t>
            </w: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140.5</w:t>
            </w:r>
          </w:p>
        </w:tc>
        <w:tc>
          <w:tcPr>
            <w:tcW w:w="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203.8</w:t>
            </w:r>
          </w:p>
        </w:tc>
        <w:tc>
          <w:tcPr>
            <w:tcW w:w="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8"/>
                <w:szCs w:val="18"/>
                <w:color w:val="auto"/>
              </w:rPr>
              <w:t>Investments—short-term</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281.5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343.6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gridSpan w:val="3"/>
          </w:tcPr>
          <w:p>
            <w:pPr>
              <w:jc w:val="right"/>
              <w:spacing w:after="0" w:line="189" w:lineRule="exact"/>
              <w:rPr>
                <w:sz w:val="20"/>
                <w:szCs w:val="20"/>
                <w:color w:val="auto"/>
              </w:rPr>
            </w:pPr>
            <w:r>
              <w:rPr>
                <w:rFonts w:ascii="Arial" w:cs="Arial" w:eastAsia="Arial" w:hAnsi="Arial"/>
                <w:sz w:val="18"/>
                <w:szCs w:val="18"/>
                <w:color w:val="auto"/>
                <w:w w:val="84"/>
              </w:rPr>
              <w:t>285.3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45.9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331.2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w:t>
            </w:r>
          </w:p>
        </w:tc>
        <w:tc>
          <w:tcPr>
            <w:tcW w:w="4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gridSpan w:val="3"/>
            <w:shd w:val="clear" w:color="auto" w:fill="CFF0FC"/>
          </w:tcPr>
          <w:p>
            <w:pPr>
              <w:jc w:val="right"/>
              <w:spacing w:after="0" w:line="189" w:lineRule="exact"/>
              <w:rPr>
                <w:sz w:val="20"/>
                <w:szCs w:val="20"/>
                <w:color w:val="auto"/>
              </w:rPr>
            </w:pPr>
            <w:r>
              <w:rPr>
                <w:rFonts w:ascii="Arial" w:cs="Arial" w:eastAsia="Arial" w:hAnsi="Arial"/>
                <w:sz w:val="18"/>
                <w:szCs w:val="18"/>
                <w:color w:val="auto"/>
              </w:rPr>
              <w:t>40.3</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gridSpan w:val="2"/>
            <w:shd w:val="clear" w:color="auto" w:fill="CFF0FC"/>
          </w:tcPr>
          <w:p>
            <w:pPr>
              <w:jc w:val="right"/>
              <w:ind w:right="20"/>
              <w:spacing w:after="0" w:line="189" w:lineRule="exact"/>
              <w:rPr>
                <w:sz w:val="20"/>
                <w:szCs w:val="20"/>
                <w:color w:val="auto"/>
              </w:rPr>
            </w:pPr>
            <w:r>
              <w:rPr>
                <w:rFonts w:ascii="Arial" w:cs="Arial" w:eastAsia="Arial" w:hAnsi="Arial"/>
                <w:sz w:val="18"/>
                <w:szCs w:val="18"/>
                <w:color w:val="auto"/>
              </w:rPr>
              <w:t>39.1</w:t>
            </w: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79.4</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Total cash and investments</w:t>
            </w: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381.5</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158.1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5"/>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539.6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line="182" w:lineRule="exact"/>
              <w:rPr>
                <w:sz w:val="20"/>
                <w:szCs w:val="20"/>
                <w:color w:val="auto"/>
              </w:rPr>
            </w:pPr>
            <w:r>
              <w:rPr>
                <w:rFonts w:ascii="Arial" w:cs="Arial" w:eastAsia="Arial" w:hAnsi="Arial"/>
                <w:sz w:val="18"/>
                <w:szCs w:val="18"/>
                <w:color w:val="auto"/>
                <w:w w:val="84"/>
              </w:rPr>
              <w:t>388.9</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20"/>
              <w:spacing w:after="0" w:line="182" w:lineRule="exact"/>
              <w:rPr>
                <w:sz w:val="20"/>
                <w:szCs w:val="20"/>
                <w:color w:val="auto"/>
              </w:rPr>
            </w:pPr>
            <w:r>
              <w:rPr>
                <w:rFonts w:ascii="Arial" w:cs="Arial" w:eastAsia="Arial" w:hAnsi="Arial"/>
                <w:sz w:val="18"/>
                <w:szCs w:val="18"/>
                <w:color w:val="auto"/>
              </w:rPr>
              <w:t>225.5</w:t>
            </w: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614.4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2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8"/>
                <w:szCs w:val="18"/>
                <w:color w:val="auto"/>
              </w:rPr>
              <w:t>Outstanding borrowings—short and long-term</w:t>
            </w:r>
          </w:p>
        </w:tc>
        <w:tc>
          <w:tcPr>
            <w:tcW w:w="4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276.1</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175"/>
              <w:spacing w:after="0" w:line="170"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shd w:val="clear" w:color="auto" w:fill="CFF0FC"/>
          </w:tcPr>
          <w:p>
            <w:pPr>
              <w:jc w:val="right"/>
              <w:spacing w:after="0" w:line="170" w:lineRule="exact"/>
              <w:rPr>
                <w:sz w:val="20"/>
                <w:szCs w:val="20"/>
                <w:color w:val="auto"/>
              </w:rPr>
            </w:pPr>
            <w:r>
              <w:rPr>
                <w:rFonts w:ascii="Arial" w:cs="Arial" w:eastAsia="Arial" w:hAnsi="Arial"/>
                <w:sz w:val="18"/>
                <w:szCs w:val="18"/>
                <w:color w:val="auto"/>
              </w:rPr>
              <w:t>276.1</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gridSpan w:val="3"/>
            <w:shd w:val="clear" w:color="auto" w:fill="CFF0FC"/>
          </w:tcPr>
          <w:p>
            <w:pPr>
              <w:jc w:val="right"/>
              <w:spacing w:after="0" w:line="170" w:lineRule="exact"/>
              <w:rPr>
                <w:sz w:val="20"/>
                <w:szCs w:val="20"/>
                <w:color w:val="auto"/>
              </w:rPr>
            </w:pPr>
            <w:r>
              <w:rPr>
                <w:rFonts w:ascii="Arial" w:cs="Arial" w:eastAsia="Arial" w:hAnsi="Arial"/>
                <w:sz w:val="18"/>
                <w:szCs w:val="18"/>
                <w:color w:val="auto"/>
                <w:w w:val="84"/>
              </w:rPr>
              <w:t>277.1</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line="17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shd w:val="clear" w:color="auto" w:fill="CFF0FC"/>
          </w:tcPr>
          <w:p>
            <w:pPr>
              <w:jc w:val="right"/>
              <w:ind w:right="20"/>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277.1</w:t>
            </w: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40" w:type="dxa"/>
            <w:vAlign w:val="bottom"/>
            <w:gridSpan w:val="4"/>
          </w:tcPr>
          <w:p>
            <w:pPr>
              <w:ind w:left="420"/>
              <w:spacing w:after="0"/>
              <w:rPr>
                <w:sz w:val="20"/>
                <w:szCs w:val="20"/>
                <w:color w:val="auto"/>
              </w:rPr>
            </w:pPr>
            <w:r>
              <w:rPr>
                <w:rFonts w:ascii="Arial" w:cs="Arial" w:eastAsia="Arial" w:hAnsi="Arial"/>
                <w:sz w:val="18"/>
                <w:szCs w:val="18"/>
                <w:color w:val="auto"/>
              </w:rPr>
              <w:t>At June 30, 2020 our investments consisted of the following:</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5"/>
          </w:tcPr>
          <w:p>
            <w:pPr>
              <w:ind w:left="26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left="337"/>
              <w:spacing w:after="0" w:line="142" w:lineRule="exact"/>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gridSpan w:val="2"/>
          </w:tcPr>
          <w:p>
            <w:pPr>
              <w:jc w:val="right"/>
              <w:ind w:right="7"/>
              <w:spacing w:after="0" w:line="142" w:lineRule="exact"/>
              <w:rPr>
                <w:sz w:val="20"/>
                <w:szCs w:val="20"/>
                <w:color w:val="auto"/>
              </w:rPr>
            </w:pPr>
            <w:r>
              <w:rPr>
                <w:rFonts w:ascii="Arial" w:cs="Arial" w:eastAsia="Arial" w:hAnsi="Arial"/>
                <w:sz w:val="14"/>
                <w:szCs w:val="14"/>
                <w:b w:val="1"/>
                <w:bCs w:val="1"/>
                <w:color w:val="auto"/>
                <w:w w:val="92"/>
              </w:rPr>
              <w:t>Gains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38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Investments—short-term available-for-sale</w:t>
            </w:r>
          </w:p>
        </w:tc>
        <w:tc>
          <w:tcPr>
            <w:tcW w:w="4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74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ind w:right="377"/>
              <w:spacing w:after="0" w:line="182"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340.1</w:t>
            </w:r>
          </w:p>
        </w:tc>
        <w:tc>
          <w:tcPr>
            <w:tcW w:w="24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w:t>
            </w:r>
          </w:p>
        </w:tc>
        <w:tc>
          <w:tcPr>
            <w:tcW w:w="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ind w:left="400"/>
              <w:spacing w:after="0" w:line="182"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gridSpan w:val="2"/>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343.6</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8"/>
                <w:szCs w:val="18"/>
                <w:color w:val="auto"/>
              </w:rPr>
              <w:t>Investments—long-term available-for-sale</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3.4</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400"/>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 held-to-maturity</w:t>
            </w:r>
          </w:p>
        </w:tc>
        <w:tc>
          <w:tcPr>
            <w:tcW w:w="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0.1</w:t>
            </w: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ind w:left="400"/>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top w:val="single" w:sz="8" w:color="auto"/>
            </w:tcBorders>
          </w:tcPr>
          <w:p>
            <w:pPr>
              <w:jc w:val="right"/>
              <w:ind w:right="377"/>
              <w:spacing w:after="0" w:line="182"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88"/>
              </w:rPr>
              <w:t>347.0</w:t>
            </w:r>
          </w:p>
        </w:tc>
        <w:tc>
          <w:tcPr>
            <w:tcW w:w="240" w:type="dxa"/>
            <w:vAlign w:val="bottom"/>
          </w:tcPr>
          <w:p>
            <w:pPr>
              <w:spacing w:after="0"/>
              <w:rPr>
                <w:sz w:val="15"/>
                <w:szCs w:val="15"/>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3.6</w:t>
            </w:r>
          </w:p>
        </w:tc>
        <w:tc>
          <w:tcPr>
            <w:tcW w:w="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ind w:left="400"/>
              <w:spacing w:after="0" w:line="18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ind w:right="20"/>
              <w:spacing w:after="0" w:line="182" w:lineRule="exact"/>
              <w:rPr>
                <w:sz w:val="20"/>
                <w:szCs w:val="20"/>
                <w:color w:val="auto"/>
              </w:rPr>
            </w:pPr>
            <w:r>
              <w:rPr>
                <w:rFonts w:ascii="Arial" w:cs="Arial" w:eastAsia="Arial" w:hAnsi="Arial"/>
                <w:sz w:val="18"/>
                <w:szCs w:val="18"/>
                <w:color w:val="auto"/>
              </w:rPr>
              <w:t>350.6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16"/>
        <w:spacing w:after="0" w:line="225" w:lineRule="auto"/>
        <w:rPr>
          <w:sz w:val="20"/>
          <w:szCs w:val="20"/>
          <w:color w:val="auto"/>
        </w:rPr>
      </w:pPr>
      <w:r>
        <w:rPr>
          <w:rFonts w:ascii="Arial" w:cs="Arial" w:eastAsia="Arial" w:hAnsi="Arial"/>
          <w:sz w:val="18"/>
          <w:szCs w:val="18"/>
          <w:color w:val="auto"/>
        </w:rPr>
        <w:t>Our investment objectives are to preserve capital, provide sufficient liquidity to satisfy operating requirements and generate investment income. We mitigate credit risk in our cash reserves by maintaining a well-diversified portfolio that limits the amount of investment exposure as to institution, maturity and investment type. However, the value of these securities may be adversely affected by the instability of the global financial markets, which could, in turn, adversely impact our financial position and our overall liquidity. Our available-for-sale investments consist primarily of short- and long-term U.S. government and agency debt securities, corporate debt securities and debt securities issued by non-U.S. agencies and backed by non-U.S. governments. Our held-to-maturity investments consist of investments that are restricted and held as collateral under certain letters of credit related to certain of our lease agreements.</w:t>
      </w:r>
    </w:p>
    <w:p>
      <w:pPr>
        <w:spacing w:after="0" w:line="140" w:lineRule="exact"/>
        <w:rPr>
          <w:sz w:val="20"/>
          <w:szCs w:val="20"/>
          <w:color w:val="auto"/>
        </w:rPr>
      </w:pPr>
    </w:p>
    <w:p>
      <w:pPr>
        <w:ind w:right="20" w:firstLine="416"/>
        <w:spacing w:after="0" w:line="246" w:lineRule="auto"/>
        <w:rPr>
          <w:sz w:val="20"/>
          <w:szCs w:val="20"/>
          <w:color w:val="auto"/>
        </w:rPr>
      </w:pPr>
      <w:r>
        <w:rPr>
          <w:rFonts w:ascii="Arial" w:cs="Arial" w:eastAsia="Arial" w:hAnsi="Arial"/>
          <w:sz w:val="18"/>
          <w:szCs w:val="18"/>
          <w:color w:val="auto"/>
        </w:rPr>
        <w:t>We classify available-for-sale investments in an unrealized loss position that do not mature within 12 months as long-term investments. Available-for-sale investments in an unrealized gain position are classified as short-term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ind w:right="80"/>
        <w:spacing w:after="0" w:line="235" w:lineRule="auto"/>
        <w:rPr>
          <w:sz w:val="20"/>
          <w:szCs w:val="20"/>
          <w:color w:val="auto"/>
        </w:rPr>
      </w:pPr>
      <w:r>
        <w:rPr>
          <w:rFonts w:ascii="Arial" w:cs="Arial" w:eastAsia="Arial" w:hAnsi="Arial"/>
          <w:sz w:val="18"/>
          <w:szCs w:val="18"/>
          <w:color w:val="auto"/>
        </w:rPr>
        <w:t>investments, regardless of maturity date. We have the intent and ability to hold these investments until recovery, which may be at maturity, and it is more likely than not that we would not be required to sell these securities before recovery of their amortized cost. At June 30, 2020, we performed an analysis of our investments with unrealized losses for impairment and determined that they were temporarily impaired.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8" w:lineRule="exact"/>
        <w:rPr>
          <w:sz w:val="20"/>
          <w:szCs w:val="20"/>
          <w:color w:val="auto"/>
        </w:rPr>
      </w:pPr>
    </w:p>
    <w:p>
      <w:pPr>
        <w:ind w:right="200" w:firstLine="416"/>
        <w:spacing w:after="0" w:line="227" w:lineRule="auto"/>
        <w:rPr>
          <w:sz w:val="20"/>
          <w:szCs w:val="20"/>
          <w:color w:val="auto"/>
        </w:rPr>
      </w:pPr>
      <w:r>
        <w:rPr>
          <w:rFonts w:ascii="Arial" w:cs="Arial" w:eastAsia="Arial" w:hAnsi="Arial"/>
          <w:sz w:val="18"/>
          <w:szCs w:val="18"/>
          <w:color w:val="auto"/>
        </w:rPr>
        <w:t>We expect that our existing cash and investments balance will be sufficient to finance our anticipated working capital and other cash requirements, such as capital expenditures and principal and interest payments, for at least 12 months following the date on which this Form 10-Q is filed. Subject to market conditions, interest rates and other factors, we may pursue opportunities to obtain additional financing in the future, including debt and equity offerings, corporate collaborations, bank borrowings, debt refinancings, arrangements relating to assets or other financing methods or structures. We are closely monitoring ongoing developments in connection with the COVID-19 pandemic, which may have an adverse impact on our commercial prospects and projected cash position.</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Information about our cash flows, by category, is presented in “Part I, Item 1—Condensed Consolidated Financial Statements of Cash Flows” in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Form 10-Q. The following table summarizes our cash flows for the six months ended June 30,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 beginning of period</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203.8</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266.8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Cash flows used in operating activities</w:t>
            </w:r>
          </w:p>
        </w:tc>
        <w:tc>
          <w:tcPr>
            <w:tcW w:w="360" w:type="dxa"/>
            <w:vAlign w:val="bottom"/>
          </w:tcPr>
          <w:p>
            <w:pPr>
              <w:spacing w:after="0"/>
              <w:rPr>
                <w:sz w:val="16"/>
                <w:szCs w:val="16"/>
                <w:color w:val="auto"/>
              </w:rPr>
            </w:pPr>
          </w:p>
        </w:tc>
        <w:tc>
          <w:tcPr>
            <w:tcW w:w="14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(44.7)</w:t>
            </w:r>
          </w:p>
        </w:tc>
        <w:tc>
          <w:tcPr>
            <w:tcW w:w="52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Cash flows provided by (used in) investing activities</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31.8</w:t>
            </w: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Cash flows (used in) provided by financing activities</w:t>
            </w:r>
          </w:p>
        </w:tc>
        <w:tc>
          <w:tcPr>
            <w:tcW w:w="360" w:type="dxa"/>
            <w:vAlign w:val="bottom"/>
          </w:tcPr>
          <w:p>
            <w:pPr>
              <w:spacing w:after="0"/>
              <w:rPr>
                <w:sz w:val="16"/>
                <w:szCs w:val="16"/>
                <w:color w:val="auto"/>
              </w:rPr>
            </w:pPr>
          </w:p>
        </w:tc>
        <w:tc>
          <w:tcPr>
            <w:tcW w:w="14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(1.9)</w:t>
            </w:r>
          </w:p>
        </w:tc>
        <w:tc>
          <w:tcPr>
            <w:tcW w:w="5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189.0</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520" w:type="dxa"/>
            <w:vAlign w:val="bottom"/>
            <w:tcBorders>
              <w:top w:val="single" w:sz="8" w:color="auto"/>
              <w:bottom w:val="single" w:sz="8" w:color="auto"/>
            </w:tcBorders>
            <w:shd w:val="clear" w:color="auto" w:fill="CFF0FC"/>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196.0</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416"/>
        <w:spacing w:after="0" w:line="307" w:lineRule="auto"/>
        <w:rPr>
          <w:sz w:val="20"/>
          <w:szCs w:val="20"/>
          <w:color w:val="auto"/>
        </w:rPr>
      </w:pPr>
      <w:r>
        <w:rPr>
          <w:rFonts w:ascii="Arial" w:cs="Arial" w:eastAsia="Arial" w:hAnsi="Arial"/>
          <w:sz w:val="16"/>
          <w:szCs w:val="16"/>
          <w:color w:val="auto"/>
        </w:rPr>
        <w:t>The increase in cash flows used in operating activities in the six months ended June 30, 2020, as compared to the six months ended June 30, 2019, was primarily due to a 4% decrease in the amount of cash received from our customers and an 11% increase in cash paid to our suppliers.</w:t>
      </w:r>
    </w:p>
    <w:p>
      <w:pPr>
        <w:spacing w:after="0" w:line="96" w:lineRule="exact"/>
        <w:rPr>
          <w:sz w:val="20"/>
          <w:szCs w:val="20"/>
          <w:color w:val="auto"/>
        </w:rPr>
      </w:pPr>
    </w:p>
    <w:p>
      <w:pPr>
        <w:jc w:val="both"/>
        <w:ind w:right="200" w:firstLine="416"/>
        <w:spacing w:after="0" w:line="276" w:lineRule="auto"/>
        <w:rPr>
          <w:sz w:val="20"/>
          <w:szCs w:val="20"/>
          <w:color w:val="auto"/>
        </w:rPr>
      </w:pPr>
      <w:r>
        <w:rPr>
          <w:rFonts w:ascii="Arial" w:cs="Arial" w:eastAsia="Arial" w:hAnsi="Arial"/>
          <w:sz w:val="16"/>
          <w:szCs w:val="16"/>
          <w:color w:val="auto"/>
        </w:rPr>
        <w:t>The change in cash flows from investing activities in the six months ended June 30, 2020, as compared to the six months ended June 30, 2019, was primarily due to a $104.9 million increase in net sales of investments and a $9.2 million decrease in cash paid for property, plant and equipment, partially offset by the $10.0 million payment that we received from Recro in connection with the contingent consideration in the six months ended June 30, 2019.</w:t>
      </w:r>
    </w:p>
    <w:p>
      <w:pPr>
        <w:spacing w:after="0" w:line="108" w:lineRule="exact"/>
        <w:rPr>
          <w:sz w:val="20"/>
          <w:szCs w:val="20"/>
          <w:color w:val="auto"/>
        </w:rPr>
      </w:pPr>
    </w:p>
    <w:p>
      <w:pPr>
        <w:jc w:val="both"/>
        <w:ind w:right="200" w:firstLine="416"/>
        <w:spacing w:after="0" w:line="307" w:lineRule="auto"/>
        <w:rPr>
          <w:sz w:val="20"/>
          <w:szCs w:val="20"/>
          <w:color w:val="auto"/>
        </w:rPr>
      </w:pPr>
      <w:r>
        <w:rPr>
          <w:rFonts w:ascii="Arial" w:cs="Arial" w:eastAsia="Arial" w:hAnsi="Arial"/>
          <w:sz w:val="16"/>
          <w:szCs w:val="16"/>
          <w:color w:val="auto"/>
        </w:rPr>
        <w:t>The change in cash flows from financing activities in the six months ended June 30, 2020, as compared to the six months ended June 30, 2019, was due to a $4.0 million decrease in the amount of cash we received from our employees upon the exercise of stock options, net of employee taxes.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71" w:lineRule="exact"/>
        <w:rPr>
          <w:sz w:val="20"/>
          <w:szCs w:val="20"/>
          <w:color w:val="auto"/>
        </w:rPr>
      </w:pPr>
    </w:p>
    <w:p>
      <w:pPr>
        <w:jc w:val="both"/>
        <w:ind w:right="220" w:firstLine="416"/>
        <w:spacing w:after="0" w:line="307" w:lineRule="auto"/>
        <w:rPr>
          <w:sz w:val="20"/>
          <w:szCs w:val="20"/>
          <w:color w:val="auto"/>
        </w:rPr>
      </w:pPr>
      <w:r>
        <w:rPr>
          <w:rFonts w:ascii="Arial" w:cs="Arial" w:eastAsia="Arial" w:hAnsi="Arial"/>
          <w:sz w:val="16"/>
          <w:szCs w:val="16"/>
          <w:color w:val="auto"/>
        </w:rPr>
        <w:t xml:space="preserve">At June 30, 2020, the principal balance of our borrowings consisted of $277.9 million outstanding under our 2023 Term Loans. See Note 11, </w:t>
      </w:r>
      <w:r>
        <w:rPr>
          <w:rFonts w:ascii="Arial" w:cs="Arial" w:eastAsia="Arial" w:hAnsi="Arial"/>
          <w:sz w:val="16"/>
          <w:szCs w:val="16"/>
          <w:i w:val="1"/>
          <w:iCs w:val="1"/>
          <w:color w:val="auto"/>
        </w:rPr>
        <w:t>Long-Term Debt</w:t>
      </w:r>
      <w:r>
        <w:rPr>
          <w:rFonts w:ascii="Arial" w:cs="Arial" w:eastAsia="Arial" w:hAnsi="Arial"/>
          <w:sz w:val="16"/>
          <w:szCs w:val="16"/>
          <w:color w:val="auto"/>
        </w:rPr>
        <w:t>, in the “Notes to Condensed Consolidated Financial Statements” in this Form 10-Q for a further discussion of our 2023 Term Loans.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58" w:lineRule="exact"/>
        <w:rPr>
          <w:sz w:val="20"/>
          <w:szCs w:val="20"/>
          <w:color w:val="auto"/>
        </w:rPr>
      </w:pPr>
    </w:p>
    <w:p>
      <w:pPr>
        <w:ind w:right="180" w:firstLine="416"/>
        <w:spacing w:after="0" w:line="231" w:lineRule="auto"/>
        <w:rPr>
          <w:sz w:val="20"/>
          <w:szCs w:val="20"/>
          <w:color w:val="auto"/>
        </w:rPr>
      </w:pPr>
      <w:r>
        <w:rPr>
          <w:rFonts w:ascii="Arial" w:cs="Arial" w:eastAsia="Arial" w:hAnsi="Arial"/>
          <w:sz w:val="18"/>
          <w:szCs w:val="18"/>
          <w:color w:val="auto"/>
        </w:rPr>
        <w:t xml:space="preserve">See the “Contractual Obligations” section in “Part II, Item 7—Management’s Discussion and Analysis of Financial Condition and Results of Operations” in our Annual Report for a discussion of our contractual obligations. In addition, in January 2020, our lease at 900 Winter Street commenced and our operating lease liabilities increased as a result. Our future operating lease liabilities are disclosed in Note 9, </w:t>
      </w:r>
      <w:r>
        <w:rPr>
          <w:rFonts w:ascii="Arial" w:cs="Arial" w:eastAsia="Arial" w:hAnsi="Arial"/>
          <w:sz w:val="18"/>
          <w:szCs w:val="18"/>
          <w:i w:val="1"/>
          <w:iCs w:val="1"/>
          <w:color w:val="auto"/>
        </w:rPr>
        <w:t>Leases</w:t>
      </w:r>
      <w:r>
        <w:rPr>
          <w:rFonts w:ascii="Arial" w:cs="Arial" w:eastAsia="Arial" w:hAnsi="Arial"/>
          <w:sz w:val="18"/>
          <w:szCs w:val="18"/>
          <w:color w:val="auto"/>
        </w:rPr>
        <w:t>, in the “Notes to Condensed Consolidated Financial Statements” in this Form 10-Q.</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June 30, 2020, we were not party to any off-balance sheet arrangements that have, or are reasonably likely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5" w:name="page36"/>
    <w:bookmarkEnd w:id="35"/>
    <w:p>
      <w:pPr>
        <w:ind w:right="520"/>
        <w:spacing w:after="0" w:line="246" w:lineRule="auto"/>
        <w:rPr>
          <w:sz w:val="20"/>
          <w:szCs w:val="20"/>
          <w:color w:val="auto"/>
        </w:rPr>
      </w:pPr>
      <w:r>
        <w:rPr>
          <w:rFonts w:ascii="Arial" w:cs="Arial" w:eastAsia="Arial" w:hAnsi="Arial"/>
          <w:sz w:val="18"/>
          <w:szCs w:val="18"/>
          <w:color w:val="auto"/>
        </w:rPr>
        <w:t>have, a current or future effect on our financial condition, changes in financial condition, revenue or expenses, results of operations, liquidity, capital expenditures or capital resources material to investors.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158" w:lineRule="exact"/>
        <w:rPr>
          <w:sz w:val="20"/>
          <w:szCs w:val="20"/>
          <w:color w:val="auto"/>
        </w:rPr>
      </w:pPr>
    </w:p>
    <w:p>
      <w:pPr>
        <w:ind w:right="160" w:firstLine="416"/>
        <w:spacing w:after="0" w:line="227" w:lineRule="auto"/>
        <w:rPr>
          <w:sz w:val="20"/>
          <w:szCs w:val="20"/>
          <w:color w:val="auto"/>
        </w:rPr>
      </w:pPr>
      <w:r>
        <w:rPr>
          <w:rFonts w:ascii="Arial" w:cs="Arial" w:eastAsia="Arial" w:hAnsi="Arial"/>
          <w:sz w:val="18"/>
          <w:szCs w:val="18"/>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assumptions or conditions. See the “Critical Accounting Estimates” section in “Part II, Item 7—Management’s Discussion and Analysis of Financial Condition and Results of Operations” in our Annual Report for a discussion of our critical accounting estimates.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71" w:lineRule="exact"/>
        <w:rPr>
          <w:sz w:val="20"/>
          <w:szCs w:val="20"/>
          <w:color w:val="auto"/>
        </w:rPr>
      </w:pPr>
    </w:p>
    <w:p>
      <w:pPr>
        <w:ind w:right="60" w:firstLine="416"/>
        <w:spacing w:after="0" w:line="246" w:lineRule="auto"/>
        <w:rPr>
          <w:sz w:val="20"/>
          <w:szCs w:val="20"/>
          <w:color w:val="auto"/>
        </w:rPr>
      </w:pPr>
      <w:r>
        <w:rPr>
          <w:rFonts w:ascii="Arial" w:cs="Arial" w:eastAsia="Arial" w:hAnsi="Arial"/>
          <w:sz w:val="18"/>
          <w:szCs w:val="18"/>
          <w:color w:val="auto"/>
        </w:rPr>
        <w:t xml:space="preserve">See the “New Accounting Pronouncements” section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Condensed Consolidated Financial Statements” in this Form 10-Q for a discussion of certain new accounting standards applicable to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89" w:lineRule="exact"/>
        <w:rPr>
          <w:sz w:val="20"/>
          <w:szCs w:val="20"/>
          <w:color w:val="auto"/>
        </w:rPr>
      </w:pPr>
    </w:p>
    <w:p>
      <w:pPr>
        <w:ind w:right="180" w:firstLine="416"/>
        <w:spacing w:after="0" w:line="255" w:lineRule="auto"/>
        <w:rPr>
          <w:sz w:val="20"/>
          <w:szCs w:val="20"/>
          <w:color w:val="auto"/>
        </w:rPr>
      </w:pPr>
      <w:r>
        <w:rPr>
          <w:rFonts w:ascii="Arial" w:cs="Arial" w:eastAsia="Arial" w:hAnsi="Arial"/>
          <w:sz w:val="18"/>
          <w:szCs w:val="18"/>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2019, and we do not anticipate any near-term changes in the nature of our market risk exposures or in our management’s objectives and strategies with respect to managing such exposures.</w:t>
      </w:r>
    </w:p>
    <w:p>
      <w:pPr>
        <w:spacing w:after="0" w:line="165" w:lineRule="exact"/>
        <w:rPr>
          <w:sz w:val="20"/>
          <w:szCs w:val="20"/>
          <w:color w:val="auto"/>
        </w:rPr>
      </w:pPr>
    </w:p>
    <w:p>
      <w:pPr>
        <w:ind w:right="200" w:firstLine="416"/>
        <w:spacing w:after="0" w:line="301" w:lineRule="auto"/>
        <w:rPr>
          <w:sz w:val="20"/>
          <w:szCs w:val="20"/>
          <w:color w:val="auto"/>
        </w:rPr>
      </w:pPr>
      <w:r>
        <w:rPr>
          <w:rFonts w:ascii="Arial" w:cs="Arial" w:eastAsia="Arial" w:hAnsi="Arial"/>
          <w:sz w:val="16"/>
          <w:szCs w:val="16"/>
          <w:color w:val="auto"/>
        </w:rPr>
        <w:t>We are exposed to foreign currency exchange risk related to manufacturing and royalty revenues we receive on certain of our products, partially offset by certain operating costs arising from expenses and payables in connection with our Irish operations that are settled predominantly in Euro. These foreign currency exchange rate risks are summarized in “Part II, Item 7A—Quantitative and Qualitative Disclosures About Market Risk” in our Annual Report. There has been no material change in our assessment of our sensitivity to foreign currency exchange rate risk since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98" w:lineRule="exact"/>
        <w:rPr>
          <w:sz w:val="20"/>
          <w:szCs w:val="20"/>
          <w:color w:val="auto"/>
        </w:rPr>
      </w:pPr>
    </w:p>
    <w:p>
      <w:pPr>
        <w:ind w:firstLine="416"/>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design and operation of our disclosure controls and procedures (as defined in Rule 13a-15(e) under the Exchange Act), as of June 30, 2020. Based on that evaluation, our Chief Executive Officer and Chief Financial Officer each concluded that our disclosure controls and procedures were effective as of June 30, 2020 to provide reasonable assurance that the information required to be disclosed by us in the reports that we file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 in Internal Control Over Financial Reporting</w:t>
      </w:r>
    </w:p>
    <w:p>
      <w:pPr>
        <w:spacing w:after="0" w:line="185" w:lineRule="exact"/>
        <w:rPr>
          <w:sz w:val="20"/>
          <w:szCs w:val="20"/>
          <w:color w:val="auto"/>
        </w:rPr>
      </w:pPr>
    </w:p>
    <w:p>
      <w:pPr>
        <w:ind w:right="160" w:firstLine="416"/>
        <w:spacing w:after="0" w:line="277" w:lineRule="auto"/>
        <w:rPr>
          <w:sz w:val="20"/>
          <w:szCs w:val="20"/>
          <w:color w:val="auto"/>
        </w:rPr>
      </w:pPr>
      <w:r>
        <w:rPr>
          <w:rFonts w:ascii="Arial" w:cs="Arial" w:eastAsia="Arial" w:hAnsi="Arial"/>
          <w:sz w:val="18"/>
          <w:szCs w:val="18"/>
          <w:color w:val="auto"/>
        </w:rPr>
        <w:t>During the period covered by this report, there have been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02" w:lineRule="exact"/>
        <w:rPr>
          <w:sz w:val="20"/>
          <w:szCs w:val="20"/>
          <w:color w:val="auto"/>
        </w:rPr>
      </w:pPr>
    </w:p>
    <w:p>
      <w:pPr>
        <w:ind w:right="460" w:firstLine="416"/>
        <w:spacing w:after="0" w:line="342" w:lineRule="auto"/>
        <w:rPr>
          <w:sz w:val="20"/>
          <w:szCs w:val="20"/>
          <w:color w:val="auto"/>
        </w:rPr>
      </w:pPr>
      <w:r>
        <w:rPr>
          <w:rFonts w:ascii="Arial" w:cs="Arial" w:eastAsia="Arial" w:hAnsi="Arial"/>
          <w:sz w:val="16"/>
          <w:szCs w:val="16"/>
          <w:color w:val="auto"/>
        </w:rPr>
        <w:t xml:space="preserve">For information regarding legal proceedings, see the discussion of legal proceedings in Note 15,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Condensed Consolidated Financial Statements” in this Form 10-Q, which discussion is incorporated into this Part II, Item 1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12529"/>
        </w:rPr>
        <w:t>Our business, financial condition and results of operations may be adversely affected by the COVID-19 global pandemic or other similar outbreaks of contagious diseases.</w:t>
      </w:r>
    </w:p>
    <w:p>
      <w:pPr>
        <w:spacing w:after="0" w:line="143" w:lineRule="exact"/>
        <w:rPr>
          <w:sz w:val="20"/>
          <w:szCs w:val="20"/>
          <w:color w:val="auto"/>
        </w:rPr>
      </w:pPr>
    </w:p>
    <w:p>
      <w:pPr>
        <w:ind w:right="180" w:firstLine="416"/>
        <w:spacing w:after="0" w:line="263" w:lineRule="auto"/>
        <w:rPr>
          <w:sz w:val="20"/>
          <w:szCs w:val="20"/>
          <w:color w:val="auto"/>
        </w:rPr>
      </w:pPr>
      <w:r>
        <w:rPr>
          <w:rFonts w:ascii="Arial" w:cs="Arial" w:eastAsia="Arial" w:hAnsi="Arial"/>
          <w:sz w:val="18"/>
          <w:szCs w:val="18"/>
          <w:color w:val="212529"/>
        </w:rPr>
        <w:t>We rely upon third parties for many aspects of our business, including the provision of goods and services related to the manufacture of our clinical products and our, and our partners’, marketed products, the conduct of our clinical trials, and the sale of marketed products from which we receive manufacturing and royalty revenue.</w:t>
      </w:r>
    </w:p>
    <w:p>
      <w:pPr>
        <w:spacing w:after="0" w:line="143" w:lineRule="exact"/>
        <w:rPr>
          <w:sz w:val="20"/>
          <w:szCs w:val="20"/>
          <w:color w:val="auto"/>
        </w:rPr>
      </w:pPr>
    </w:p>
    <w:p>
      <w:pPr>
        <w:ind w:right="60" w:firstLine="416"/>
        <w:spacing w:after="0" w:line="254" w:lineRule="auto"/>
        <w:rPr>
          <w:sz w:val="20"/>
          <w:szCs w:val="20"/>
          <w:color w:val="auto"/>
        </w:rPr>
      </w:pPr>
      <w:r>
        <w:rPr>
          <w:rFonts w:ascii="Arial" w:cs="Arial" w:eastAsia="Arial" w:hAnsi="Arial"/>
          <w:sz w:val="18"/>
          <w:szCs w:val="18"/>
          <w:color w:val="212529"/>
        </w:rPr>
        <w:t>Outbreaks of contagious diseases and other adverse public health developments, affecting us and/or the third parties on which we rely, could have a material and adverse effect on our business, financial condition and results of operations</w:t>
      </w:r>
      <w:r>
        <w:rPr>
          <w:rFonts w:ascii="Arial" w:cs="Arial" w:eastAsia="Arial" w:hAnsi="Arial"/>
          <w:sz w:val="18"/>
          <w:szCs w:val="18"/>
          <w:color w:val="000000"/>
        </w:rPr>
        <w:t>.</w:t>
      </w:r>
      <w:r>
        <w:rPr>
          <w:rFonts w:ascii="Arial" w:cs="Arial" w:eastAsia="Arial" w:hAnsi="Arial"/>
          <w:sz w:val="18"/>
          <w:szCs w:val="18"/>
          <w:color w:val="212529"/>
        </w:rPr>
        <w:t xml:space="preserve"> In March 2020, COVID-19 was declared by the World Health Organization to be a global pandemic. It has impacted, and is continuing to impact, many aspects of society, including the operation of the healthcare system and other business and economic activity worldwide. Almost all U.S. states, many local jurisdictions and countries across the world have issued “shelter-in-place” orders, quarantines, executive orders and similar government orders, restrictions, and recommendations for their residents to control the spread of COVID-19. Such orders, restrictions and recommendations, and the perception that additional orders, restrictions or recommendations could occur, have resulted in widespread closures of businesses, work stoppages, slowdowns and delays, work-from-home policies and travel restrictions, among other effects.</w:t>
      </w:r>
    </w:p>
    <w:p>
      <w:pPr>
        <w:spacing w:after="0" w:line="151" w:lineRule="exact"/>
        <w:rPr>
          <w:sz w:val="20"/>
          <w:szCs w:val="20"/>
          <w:color w:val="auto"/>
        </w:rPr>
      </w:pPr>
    </w:p>
    <w:p>
      <w:pPr>
        <w:ind w:firstLine="416"/>
        <w:spacing w:after="0" w:line="263" w:lineRule="auto"/>
        <w:rPr>
          <w:sz w:val="20"/>
          <w:szCs w:val="20"/>
          <w:color w:val="auto"/>
        </w:rPr>
      </w:pPr>
      <w:r>
        <w:rPr>
          <w:rFonts w:ascii="Arial" w:cs="Arial" w:eastAsia="Arial" w:hAnsi="Arial"/>
          <w:sz w:val="18"/>
          <w:szCs w:val="18"/>
          <w:color w:val="212529"/>
        </w:rPr>
        <w:t>The COVID-19 pandemic has, to varying degrees, disrupted our business operations and the business operations of the third parties on which we rely, including our suppliers, packagers, distributors, contract research organizations, customers, clinical site investigators, community advocacy partners, and others.</w:t>
      </w:r>
    </w:p>
    <w:p>
      <w:pPr>
        <w:spacing w:after="0" w:line="157" w:lineRule="exact"/>
        <w:rPr>
          <w:sz w:val="20"/>
          <w:szCs w:val="20"/>
          <w:color w:val="auto"/>
        </w:rPr>
      </w:pPr>
    </w:p>
    <w:p>
      <w:pPr>
        <w:ind w:right="40" w:firstLine="416"/>
        <w:spacing w:after="0" w:line="268" w:lineRule="auto"/>
        <w:rPr>
          <w:sz w:val="20"/>
          <w:szCs w:val="20"/>
          <w:color w:val="auto"/>
        </w:rPr>
      </w:pPr>
      <w:r>
        <w:rPr>
          <w:rFonts w:ascii="Arial" w:cs="Arial" w:eastAsia="Arial" w:hAnsi="Arial"/>
          <w:sz w:val="17"/>
          <w:szCs w:val="17"/>
          <w:color w:val="212529"/>
        </w:rPr>
        <w:t>This pandemic, and other similar outbreaks of contagious diseases, may adversely impact our business, financial condition and results of operations. For example, commercial sales of the medicines from which we derive revenue—consisting primarily of injectable medications administered by healthcare professionals—have been, and we expect will continue to be, adversely impacted as a result of developments that have transpired, and may continue to transpire, in response to this pandemic, including the implementation of “shelter-in-place” policies, social distancing and other measures. In addition, we, and the third-party clinical trial sites or investigators involved in our clinical trials have experienced certain interruptions, and may experience additional or more significant interruptions or delays going forward as a result of this pandemic, and these could impact the conduct of our clinical trials and our ability to complete them in a timely manner or at all, which in turn could delay and/or negatively impact the regulatory review and approval of our product candidates. The COVID-19 pandemic may also impact the third parties on which we rely for goods and services in the manufacture of our products, which may negatively impact our ability to continue to manufacture and supply our medicines and investigational products, or the ability of third-parties in our distribution channels to deliver our medicines and investigational products in a timely manner or at all. Further, this pandemic and measures to mitigate the spread of COVID-19 have had, and may continue to have, an adverse effect on global economic conditions, which could have an adverse effect on our business and financial condition, including the demand for, and ability of patients to access, our medicines, or our ability to obtain financing if needed on favorable terms or at all.</w:t>
      </w:r>
    </w:p>
    <w:p>
      <w:pPr>
        <w:spacing w:after="0" w:line="146" w:lineRule="exact"/>
        <w:rPr>
          <w:sz w:val="20"/>
          <w:szCs w:val="20"/>
          <w:color w:val="auto"/>
        </w:rPr>
      </w:pPr>
    </w:p>
    <w:p>
      <w:pPr>
        <w:ind w:right="80" w:firstLine="416"/>
        <w:spacing w:after="0" w:line="254" w:lineRule="auto"/>
        <w:rPr>
          <w:sz w:val="20"/>
          <w:szCs w:val="20"/>
          <w:color w:val="auto"/>
        </w:rPr>
      </w:pPr>
      <w:r>
        <w:rPr>
          <w:rFonts w:ascii="Arial" w:cs="Arial" w:eastAsia="Arial" w:hAnsi="Arial"/>
          <w:sz w:val="18"/>
          <w:szCs w:val="18"/>
          <w:color w:val="212529"/>
        </w:rPr>
        <w:t>Although some local, state and national governments are starting to relax “shelter-in-place” orders, quarantines and similar restrictions, the regulations vary, and while we have begun to observe, and expect to continue to observe, a gradual normalization in patient and healthcare provider practices, the impact and extent of the relaxing of such restrictions and the expected normalization of such practices is not yet known, and the degree to which the ongoing COVID-19 pandemic may continue to impact our business, financial condition and results of operations will depend on the manner in which this pandemic continues to evolve and future developments in response thereto, which are highly uncertain and cannot be predicted as of the date of this Form 10-Q and which may include, among other things, the ultimate severity and duration of this pandemic; governmental, business or other actions that have been, or will be, taken</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 w:name="page38"/>
    <w:bookmarkEnd w:id="37"/>
    <w:p>
      <w:pPr>
        <w:spacing w:after="0" w:line="270" w:lineRule="auto"/>
        <w:rPr>
          <w:sz w:val="20"/>
          <w:szCs w:val="20"/>
          <w:color w:val="auto"/>
        </w:rPr>
      </w:pPr>
      <w:r>
        <w:rPr>
          <w:rFonts w:ascii="Arial" w:cs="Arial" w:eastAsia="Arial" w:hAnsi="Arial"/>
          <w:sz w:val="17"/>
          <w:szCs w:val="17"/>
          <w:color w:val="212529"/>
        </w:rPr>
        <w:t>in response to this pandemic, including continued restrictions on travel and mobility, business closures and imposition of social distancing measures; impacts of the pandemic on the vendors or distribution channels in our supply chain and on our ability to continue to manufacture our products; impacts of the pandemic on the conduct of our clinical trials, including with respect to enrollment rates, availability of investigators and clinical trial sites, and monitoring of data; impacts of the pandemic on healthcare systems that serve people living with opioid dependence, alcohol dependence and schizophrenia; impacts of the pandemic on the regulatory agencies with which we interact in the development, review, approval and commercialization of our medicines; impacts of the pandemic on reimbursement for our products, including our Medicaid rebate liability, and for services related to the use of our products; and impacts of the pandemic on the U.S., Irish and/or global economies more broadly. For example, if the U.S. Consumer Price Index—Urban (CPI-U) becomes negative, this would increase our Medicaid rebate liability. For a discussion of the Medicaid rebate liability, please see the “Pricing and Reimbursement” section in “Part I, Item 1—Business” in our Annual Report.</w:t>
      </w:r>
    </w:p>
    <w:p>
      <w:pPr>
        <w:spacing w:after="0" w:line="154" w:lineRule="exact"/>
        <w:rPr>
          <w:sz w:val="20"/>
          <w:szCs w:val="20"/>
          <w:color w:val="auto"/>
        </w:rPr>
      </w:pPr>
    </w:p>
    <w:p>
      <w:pPr>
        <w:ind w:right="400" w:firstLine="416"/>
        <w:spacing w:after="0" w:line="277" w:lineRule="auto"/>
        <w:rPr>
          <w:sz w:val="20"/>
          <w:szCs w:val="20"/>
          <w:color w:val="auto"/>
        </w:rPr>
      </w:pPr>
      <w:r>
        <w:rPr>
          <w:rFonts w:ascii="Arial" w:cs="Arial" w:eastAsia="Arial" w:hAnsi="Arial"/>
          <w:sz w:val="18"/>
          <w:szCs w:val="18"/>
          <w:color w:val="212529"/>
        </w:rPr>
        <w:t>There have been no other material changes from the risk factors disclosed in our Annual Report. Further discussion of our risk factors appears in “Part I, Item 1A—Risk Factors” in our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89"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On September 16, 2011, our board of directors authorized the continuation of the Alkermes, Inc. program to repurchase up to $215.0 million of our ordinary shares at the discretion of management from time to time in the open market or through privately negotiated transactions. We did not purchase any shares under this program during the six months ended June 30, 2020. As of June 30, 2020, we had purchased a total of 8,866,342 shares under this program at a cost of $114.0 million.</w:t>
      </w:r>
    </w:p>
    <w:p>
      <w:pPr>
        <w:spacing w:after="0" w:line="160"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During the three months ended June 30, 2020, we acquired 7,874 of our ordinary shares, at an average price of $15.50 per share, related to the vesting of employee equity awards to satisfy withholding tax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89"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The Company’s policy governing transactions in its securities by its directors, officers and employees permits its officers, directors and employees to enter into trading plans in accordance with Rule 10b5-1 under the Exchange Act. During the quarter ended June 30, 2020, Mr. David W. Anstice, a director of the Company, entered into a trading plan in accordance with Rule 10b5-1 and the Company’s policy governing transactions in its securities by its directors, officers and employees. The Company undertakes no obligation to update or revise the information provided herein, including for any revision or termination of an established trading plan.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Item 6. </w:t>
            </w:r>
            <w:r>
              <w:rPr>
                <w:rFonts w:ascii="Arial" w:cs="Arial" w:eastAsia="Arial" w:hAnsi="Arial"/>
                <w:sz w:val="18"/>
                <w:szCs w:val="18"/>
                <w:b w:val="1"/>
                <w:bCs w:val="1"/>
                <w:i w:val="1"/>
                <w:iCs w:val="1"/>
                <w:color w:val="auto"/>
                <w:w w:val="99"/>
              </w:rPr>
              <w:t>Exhibits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10820" w:type="dxa"/>
            <w:vAlign w:val="bottom"/>
            <w:gridSpan w:val="14"/>
          </w:tcPr>
          <w:p>
            <w:pPr>
              <w:spacing w:after="0"/>
              <w:rPr>
                <w:sz w:val="20"/>
                <w:szCs w:val="20"/>
                <w:color w:val="auto"/>
              </w:rPr>
            </w:pPr>
            <w:r>
              <w:rPr>
                <w:rFonts w:ascii="Arial" w:cs="Arial" w:eastAsia="Arial" w:hAnsi="Arial"/>
                <w:sz w:val="18"/>
                <w:szCs w:val="18"/>
                <w:color w:val="auto"/>
              </w:rPr>
              <w:t>The following exhibits are filed or furnished as part of this Form 10-Q:</w:t>
            </w:r>
          </w:p>
        </w:tc>
      </w:tr>
      <w:tr>
        <w:trPr>
          <w:trHeight w:val="405"/>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40" w:type="dxa"/>
            <w:vAlign w:val="bottom"/>
            <w:gridSpan w:val="7"/>
          </w:tcPr>
          <w:p>
            <w:pPr>
              <w:ind w:left="124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gridSpan w:val="7"/>
          </w:tcPr>
          <w:p>
            <w:pPr>
              <w:ind w:left="1580"/>
              <w:spacing w:after="0"/>
              <w:rPr>
                <w:sz w:val="20"/>
                <w:szCs w:val="20"/>
                <w:color w:val="auto"/>
              </w:rPr>
            </w:pPr>
            <w:r>
              <w:rPr>
                <w:rFonts w:ascii="Arial" w:cs="Arial" w:eastAsia="Arial" w:hAnsi="Arial"/>
                <w:sz w:val="18"/>
                <w:szCs w:val="18"/>
                <w:b w:val="1"/>
                <w:bCs w:val="1"/>
                <w:color w:val="auto"/>
              </w:rPr>
              <w:t>Description of Exhibit</w:t>
            </w:r>
          </w:p>
        </w:tc>
      </w:tr>
      <w:tr>
        <w:trPr>
          <w:trHeight w:val="209"/>
        </w:trPr>
        <w:tc>
          <w:tcPr>
            <w:tcW w:w="4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5"/>
              </w:rPr>
              <w:t>10.1</w:t>
            </w:r>
          </w:p>
        </w:tc>
        <w:tc>
          <w:tcPr>
            <w:tcW w:w="92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9780" w:type="dxa"/>
            <w:vAlign w:val="bottom"/>
            <w:gridSpan w:val="11"/>
            <w:shd w:val="clear" w:color="auto" w:fill="CFF0FC"/>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Offer Letter between Alkermes, Inc. and Christian Todd Nichols, dated March 29, 2019.</w:t>
              </w:r>
            </w:hyperlink>
          </w:p>
        </w:tc>
      </w:tr>
      <w:tr>
        <w:trPr>
          <w:trHeight w:val="176"/>
        </w:trPr>
        <w:tc>
          <w:tcPr>
            <w:tcW w:w="420" w:type="dxa"/>
            <w:vAlign w:val="bottom"/>
          </w:tcPr>
          <w:p>
            <w:pPr>
              <w:ind w:left="100"/>
              <w:spacing w:after="0" w:line="176" w:lineRule="exact"/>
              <w:rPr>
                <w:sz w:val="20"/>
                <w:szCs w:val="20"/>
                <w:color w:val="auto"/>
              </w:rPr>
            </w:pPr>
            <w:r>
              <w:rPr>
                <w:rFonts w:ascii="Arial" w:cs="Arial" w:eastAsia="Arial" w:hAnsi="Arial"/>
                <w:sz w:val="18"/>
                <w:szCs w:val="18"/>
                <w:color w:val="auto"/>
                <w:w w:val="85"/>
              </w:rPr>
              <w:t>10.2</w:t>
            </w:r>
          </w:p>
        </w:tc>
        <w:tc>
          <w:tcPr>
            <w:tcW w:w="92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w:t>
            </w:r>
          </w:p>
        </w:tc>
        <w:tc>
          <w:tcPr>
            <w:tcW w:w="9900" w:type="dxa"/>
            <w:vAlign w:val="bottom"/>
            <w:gridSpan w:val="12"/>
          </w:tcPr>
          <w:p>
            <w:pPr>
              <w:ind w:left="120"/>
              <w:spacing w:after="0" w:line="17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Form of Employment Agreement entered into by and between Alkermes, Inc. and Christian Todd Nichols (incorporated by reference to</w:t>
              </w:r>
            </w:hyperlink>
          </w:p>
        </w:tc>
      </w:tr>
      <w:tr>
        <w:trPr>
          <w:trHeight w:val="236"/>
        </w:trPr>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tcBorders>
              <w:top w:val="single" w:sz="8" w:color="0000EE"/>
            </w:tcBorders>
            <w:gridSpan w:val="10"/>
          </w:tcPr>
          <w:p>
            <w:pPr>
              <w:ind w:left="120"/>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Exhibit 10.1 of the Alkermes plc Quarterly Report on Form 10-Q (File No. 011-14131) filed on November 2, 2016).</w:t>
              </w:r>
            </w:hyperlink>
          </w:p>
        </w:tc>
        <w:tc>
          <w:tcPr>
            <w:tcW w:w="20" w:type="dxa"/>
            <w:vAlign w:val="bottom"/>
          </w:tcPr>
          <w:p>
            <w:pPr>
              <w:spacing w:after="0"/>
              <w:rPr>
                <w:sz w:val="20"/>
                <w:szCs w:val="20"/>
                <w:color w:val="auto"/>
              </w:rPr>
            </w:pPr>
          </w:p>
        </w:tc>
      </w:tr>
      <w:tr>
        <w:trPr>
          <w:trHeight w:val="176"/>
        </w:trPr>
        <w:tc>
          <w:tcPr>
            <w:tcW w:w="1340" w:type="dxa"/>
            <w:vAlign w:val="bottom"/>
            <w:gridSpan w:val="3"/>
            <w:shd w:val="clear" w:color="auto" w:fill="CFF0FC"/>
          </w:tcPr>
          <w:p>
            <w:pPr>
              <w:ind w:left="100"/>
              <w:spacing w:after="0" w:line="176" w:lineRule="exact"/>
              <w:rPr>
                <w:sz w:val="20"/>
                <w:szCs w:val="20"/>
                <w:color w:val="auto"/>
              </w:rPr>
            </w:pPr>
            <w:r>
              <w:rPr>
                <w:rFonts w:ascii="Arial" w:cs="Arial" w:eastAsia="Arial" w:hAnsi="Arial"/>
                <w:sz w:val="18"/>
                <w:szCs w:val="18"/>
                <w:color w:val="auto"/>
              </w:rPr>
              <w:t>10.3†</w:t>
            </w:r>
          </w:p>
        </w:tc>
        <w:tc>
          <w:tcPr>
            <w:tcW w:w="9900" w:type="dxa"/>
            <w:vAlign w:val="bottom"/>
            <w:gridSpan w:val="12"/>
            <w:shd w:val="clear" w:color="auto" w:fill="CFF0FC"/>
          </w:tcPr>
          <w:p>
            <w:pPr>
              <w:ind w:left="120"/>
              <w:spacing w:after="0" w:line="176" w:lineRule="exact"/>
              <w:rPr>
                <w:rFonts w:ascii="Arial" w:cs="Arial" w:eastAsia="Arial" w:hAnsi="Arial"/>
                <w:sz w:val="18"/>
                <w:szCs w:val="18"/>
                <w:color w:val="0000EE"/>
                <w:w w:val="96"/>
              </w:rPr>
            </w:pPr>
            <w:hyperlink r:id="rId67">
              <w:r>
                <w:rPr>
                  <w:rFonts w:ascii="Arial" w:cs="Arial" w:eastAsia="Arial" w:hAnsi="Arial"/>
                  <w:sz w:val="18"/>
                  <w:szCs w:val="18"/>
                  <w:color w:val="0000EE"/>
                  <w:w w:val="96"/>
                </w:rPr>
                <w:t>Alkermes plc 2018 Stock Option and Incentive Plan, as amended (incorporated by reference to Exhibit 10.1 of the Alkermes plc</w:t>
              </w:r>
            </w:hyperlink>
          </w:p>
        </w:tc>
      </w:tr>
      <w:tr>
        <w:trPr>
          <w:trHeight w:val="217"/>
        </w:trPr>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0000EE"/>
              <w:bottom w:val="single" w:sz="8" w:color="CFF0FC"/>
            </w:tcBorders>
            <w:shd w:val="clear" w:color="auto" w:fill="CFF0FC"/>
          </w:tcPr>
          <w:p>
            <w:pPr>
              <w:spacing w:after="0"/>
              <w:rPr>
                <w:sz w:val="18"/>
                <w:szCs w:val="18"/>
                <w:color w:val="auto"/>
              </w:rPr>
            </w:pPr>
          </w:p>
        </w:tc>
        <w:tc>
          <w:tcPr>
            <w:tcW w:w="5360" w:type="dxa"/>
            <w:vAlign w:val="bottom"/>
            <w:tcBorders>
              <w:top w:val="single" w:sz="8" w:color="0000EE"/>
              <w:bottom w:val="single" w:sz="8" w:color="0000EE"/>
            </w:tcBorders>
            <w:gridSpan w:val="4"/>
            <w:shd w:val="clear" w:color="auto" w:fill="CFF0FC"/>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Current Report on Form 8-K (File No. 001-35299) filed on May 20, 2020)</w:t>
              </w:r>
            </w:hyperlink>
          </w:p>
        </w:tc>
        <w:tc>
          <w:tcPr>
            <w:tcW w:w="3740" w:type="dxa"/>
            <w:vAlign w:val="bottom"/>
            <w:tcBorders>
              <w:top w:val="single" w:sz="8" w:color="0000EE"/>
              <w:bottom w:val="single" w:sz="8" w:color="CFF0FC"/>
            </w:tcBorders>
            <w:shd w:val="clear" w:color="auto" w:fill="CFF0FC"/>
          </w:tcPr>
          <w:p>
            <w:pPr>
              <w:spacing w:after="0"/>
              <w:rPr>
                <w:sz w:val="18"/>
                <w:szCs w:val="18"/>
                <w:color w:val="auto"/>
              </w:rPr>
            </w:pPr>
          </w:p>
        </w:tc>
        <w:tc>
          <w:tcPr>
            <w:tcW w:w="560" w:type="dxa"/>
            <w:vAlign w:val="bottom"/>
            <w:tcBorders>
              <w:top w:val="single" w:sz="8" w:color="CFF0FC"/>
              <w:bottom w:val="single" w:sz="8" w:color="CFF0FC"/>
            </w:tcBorders>
            <w:gridSpan w:val="5"/>
            <w:shd w:val="clear" w:color="auto" w:fill="CFF0FC"/>
          </w:tcPr>
          <w:p>
            <w:pPr>
              <w:spacing w:after="0"/>
              <w:rPr>
                <w:sz w:val="18"/>
                <w:szCs w:val="18"/>
                <w:color w:val="auto"/>
              </w:rPr>
            </w:pPr>
          </w:p>
        </w:tc>
      </w:tr>
      <w:tr>
        <w:trPr>
          <w:trHeight w:val="175"/>
        </w:trPr>
        <w:tc>
          <w:tcPr>
            <w:tcW w:w="420" w:type="dxa"/>
            <w:vAlign w:val="bottom"/>
          </w:tcPr>
          <w:p>
            <w:pPr>
              <w:ind w:left="100"/>
              <w:spacing w:after="0" w:line="176" w:lineRule="exact"/>
              <w:rPr>
                <w:sz w:val="20"/>
                <w:szCs w:val="20"/>
                <w:color w:val="auto"/>
              </w:rPr>
            </w:pPr>
            <w:r>
              <w:rPr>
                <w:rFonts w:ascii="Arial" w:cs="Arial" w:eastAsia="Arial" w:hAnsi="Arial"/>
                <w:sz w:val="18"/>
                <w:szCs w:val="18"/>
                <w:color w:val="auto"/>
                <w:w w:val="85"/>
              </w:rPr>
              <w:t>10.4</w:t>
            </w:r>
          </w:p>
        </w:tc>
        <w:tc>
          <w:tcPr>
            <w:tcW w:w="92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w:t>
            </w:r>
          </w:p>
        </w:tc>
        <w:tc>
          <w:tcPr>
            <w:tcW w:w="9900" w:type="dxa"/>
            <w:vAlign w:val="bottom"/>
            <w:gridSpan w:val="12"/>
          </w:tcPr>
          <w:p>
            <w:pPr>
              <w:ind w:left="120"/>
              <w:spacing w:after="0" w:line="176"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Form of Non-Qualified Stock Option (Non-Employee Director) Award Certificate under the Alkermes plc 2018 Stock Option and</w:t>
              </w:r>
            </w:hyperlink>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tcBorders>
              <w:top w:val="single" w:sz="8" w:color="0000EE"/>
            </w:tcBorders>
            <w:gridSpan w:val="7"/>
          </w:tcPr>
          <w:p>
            <w:pPr>
              <w:ind w:left="12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Incentive Plan, as amended.</w:t>
              </w:r>
            </w:hyperlink>
          </w:p>
        </w:tc>
        <w:tc>
          <w:tcPr>
            <w:tcW w:w="440" w:type="dxa"/>
            <w:vAlign w:val="bottom"/>
            <w:gridSpan w:val="4"/>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20" w:type="dxa"/>
            <w:vAlign w:val="bottom"/>
            <w:shd w:val="clear" w:color="auto" w:fill="CFF0FC"/>
          </w:tcPr>
          <w:p>
            <w:pPr>
              <w:ind w:left="100"/>
              <w:spacing w:after="0" w:line="176" w:lineRule="exact"/>
              <w:rPr>
                <w:sz w:val="20"/>
                <w:szCs w:val="20"/>
                <w:color w:val="auto"/>
              </w:rPr>
            </w:pPr>
            <w:r>
              <w:rPr>
                <w:rFonts w:ascii="Arial" w:cs="Arial" w:eastAsia="Arial" w:hAnsi="Arial"/>
                <w:sz w:val="18"/>
                <w:szCs w:val="18"/>
                <w:color w:val="auto"/>
                <w:w w:val="85"/>
              </w:rPr>
              <w:t>10.5</w:t>
            </w:r>
          </w:p>
        </w:tc>
        <w:tc>
          <w:tcPr>
            <w:tcW w:w="920" w:type="dxa"/>
            <w:vAlign w:val="bottom"/>
            <w:gridSpan w:val="2"/>
            <w:shd w:val="clear" w:color="auto" w:fill="CFF0FC"/>
          </w:tcPr>
          <w:p>
            <w:pPr>
              <w:ind w:left="40"/>
              <w:spacing w:after="0" w:line="176" w:lineRule="exact"/>
              <w:rPr>
                <w:sz w:val="20"/>
                <w:szCs w:val="20"/>
                <w:color w:val="auto"/>
              </w:rPr>
            </w:pPr>
            <w:r>
              <w:rPr>
                <w:rFonts w:ascii="Arial" w:cs="Arial" w:eastAsia="Arial" w:hAnsi="Arial"/>
                <w:sz w:val="18"/>
                <w:szCs w:val="18"/>
                <w:color w:val="auto"/>
              </w:rPr>
              <w:t>#†</w:t>
            </w:r>
          </w:p>
        </w:tc>
        <w:tc>
          <w:tcPr>
            <w:tcW w:w="9900" w:type="dxa"/>
            <w:vAlign w:val="bottom"/>
            <w:gridSpan w:val="12"/>
            <w:shd w:val="clear" w:color="auto" w:fill="CFF0FC"/>
          </w:tcPr>
          <w:p>
            <w:pPr>
              <w:ind w:left="120"/>
              <w:spacing w:after="0" w:line="17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Form of Restricted Stock Unit (Time-Vesting) (Non-Employee Director) Award Certificate under the Alkermes plc 2018 Stock Option</w:t>
              </w:r>
            </w:hyperlink>
          </w:p>
        </w:tc>
      </w:tr>
      <w:tr>
        <w:trPr>
          <w:trHeight w:val="196"/>
        </w:trPr>
        <w:tc>
          <w:tcPr>
            <w:tcW w:w="42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0000EE"/>
            </w:tcBorders>
            <w:shd w:val="clear" w:color="auto" w:fill="CFF0FC"/>
          </w:tcPr>
          <w:p>
            <w:pPr>
              <w:spacing w:after="0"/>
              <w:rPr>
                <w:sz w:val="17"/>
                <w:szCs w:val="17"/>
                <w:color w:val="auto"/>
              </w:rPr>
            </w:pPr>
          </w:p>
        </w:tc>
        <w:tc>
          <w:tcPr>
            <w:tcW w:w="9560" w:type="dxa"/>
            <w:vAlign w:val="bottom"/>
            <w:tcBorders>
              <w:top w:val="single" w:sz="8" w:color="0000EE"/>
            </w:tcBorders>
            <w:gridSpan w:val="7"/>
            <w:shd w:val="clear" w:color="auto" w:fill="CFF0FC"/>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and Incentive Plan, as amended.</w:t>
              </w:r>
            </w:hyperlink>
          </w:p>
        </w:tc>
        <w:tc>
          <w:tcPr>
            <w:tcW w:w="100" w:type="dxa"/>
            <w:vAlign w:val="bottom"/>
            <w:tcBorders>
              <w:top w:val="single" w:sz="8" w:color="CFF0FC"/>
            </w:tcBorders>
            <w:gridSpan w:val="3"/>
            <w:shd w:val="clear" w:color="auto" w:fill="CFF0FC"/>
          </w:tcPr>
          <w:p>
            <w:pPr>
              <w:spacing w:after="0"/>
              <w:rPr>
                <w:sz w:val="17"/>
                <w:szCs w:val="17"/>
                <w:color w:val="auto"/>
              </w:rPr>
            </w:pPr>
          </w:p>
        </w:tc>
      </w:tr>
      <w:tr>
        <w:trPr>
          <w:trHeight w:val="21"/>
        </w:trPr>
        <w:tc>
          <w:tcPr>
            <w:tcW w:w="4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0000EE"/>
            </w:tcBorders>
            <w:shd w:val="clear" w:color="auto" w:fill="CFF0FC"/>
          </w:tcPr>
          <w:p>
            <w:pPr>
              <w:spacing w:after="0" w:line="20" w:lineRule="exact"/>
              <w:rPr>
                <w:sz w:val="1"/>
                <w:szCs w:val="1"/>
                <w:color w:val="auto"/>
              </w:rPr>
            </w:pPr>
          </w:p>
        </w:tc>
        <w:tc>
          <w:tcPr>
            <w:tcW w:w="1120" w:type="dxa"/>
            <w:vAlign w:val="bottom"/>
            <w:tcBorders>
              <w:top w:val="single" w:sz="8" w:color="0000EE"/>
            </w:tcBorders>
            <w:shd w:val="clear" w:color="auto" w:fill="CFF0FC"/>
          </w:tcPr>
          <w:p>
            <w:pPr>
              <w:spacing w:after="0" w:line="20" w:lineRule="exact"/>
              <w:rPr>
                <w:sz w:val="1"/>
                <w:szCs w:val="1"/>
                <w:color w:val="auto"/>
              </w:rPr>
            </w:pPr>
          </w:p>
        </w:tc>
        <w:tc>
          <w:tcPr>
            <w:tcW w:w="300" w:type="dxa"/>
            <w:vAlign w:val="bottom"/>
            <w:tcBorders>
              <w:top w:val="single" w:sz="8" w:color="0000EE"/>
            </w:tcBorders>
            <w:shd w:val="clear" w:color="auto" w:fill="CFF0FC"/>
          </w:tcPr>
          <w:p>
            <w:pPr>
              <w:spacing w:after="0" w:line="20" w:lineRule="exact"/>
              <w:rPr>
                <w:sz w:val="1"/>
                <w:szCs w:val="1"/>
                <w:color w:val="auto"/>
              </w:rPr>
            </w:pPr>
          </w:p>
        </w:tc>
        <w:tc>
          <w:tcPr>
            <w:tcW w:w="3040" w:type="dxa"/>
            <w:vAlign w:val="bottom"/>
            <w:tcBorders>
              <w:top w:val="single" w:sz="8" w:color="CFF0FC"/>
            </w:tcBorders>
            <w:shd w:val="clear" w:color="auto" w:fill="CFF0FC"/>
          </w:tcPr>
          <w:p>
            <w:pPr>
              <w:spacing w:after="0" w:line="20" w:lineRule="exact"/>
              <w:rPr>
                <w:sz w:val="1"/>
                <w:szCs w:val="1"/>
                <w:color w:val="auto"/>
              </w:rPr>
            </w:pPr>
          </w:p>
        </w:tc>
        <w:tc>
          <w:tcPr>
            <w:tcW w:w="3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420" w:type="dxa"/>
            <w:vAlign w:val="bottom"/>
          </w:tcPr>
          <w:p>
            <w:pPr>
              <w:ind w:left="100"/>
              <w:spacing w:after="0" w:line="176" w:lineRule="exact"/>
              <w:rPr>
                <w:sz w:val="20"/>
                <w:szCs w:val="20"/>
                <w:color w:val="auto"/>
              </w:rPr>
            </w:pPr>
            <w:r>
              <w:rPr>
                <w:rFonts w:ascii="Arial" w:cs="Arial" w:eastAsia="Arial" w:hAnsi="Arial"/>
                <w:sz w:val="18"/>
                <w:szCs w:val="18"/>
                <w:color w:val="auto"/>
                <w:w w:val="85"/>
              </w:rPr>
              <w:t>10.6</w:t>
            </w:r>
          </w:p>
        </w:tc>
        <w:tc>
          <w:tcPr>
            <w:tcW w:w="92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w:t>
            </w:r>
          </w:p>
        </w:tc>
        <w:tc>
          <w:tcPr>
            <w:tcW w:w="9900" w:type="dxa"/>
            <w:vAlign w:val="bottom"/>
            <w:gridSpan w:val="12"/>
          </w:tcPr>
          <w:p>
            <w:pPr>
              <w:ind w:left="120"/>
              <w:spacing w:after="0" w:line="17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Form of Restricted Stock Unit Award Certificate (Performance-Vesting) under the Alkermes plc 2018 Stock Option and Incentive Plan,</w:t>
              </w:r>
            </w:hyperlink>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tcBorders>
              <w:top w:val="single" w:sz="8" w:color="0000EE"/>
            </w:tcBorders>
            <w:gridSpan w:val="9"/>
          </w:tcPr>
          <w:p>
            <w:pPr>
              <w:ind w:left="12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as amended.</w:t>
              </w:r>
            </w:hyperlink>
          </w:p>
        </w:tc>
        <w:tc>
          <w:tcPr>
            <w:tcW w:w="40" w:type="dxa"/>
            <w:vAlign w:val="bottom"/>
            <w:gridSpan w:val="2"/>
          </w:tcPr>
          <w:p>
            <w:pPr>
              <w:spacing w:after="0"/>
              <w:rPr>
                <w:sz w:val="17"/>
                <w:szCs w:val="17"/>
                <w:color w:val="auto"/>
              </w:rPr>
            </w:pPr>
          </w:p>
        </w:tc>
      </w:tr>
      <w:tr>
        <w:trPr>
          <w:trHeight w:val="21"/>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4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5"/>
              </w:rPr>
              <w:t>31.1</w:t>
            </w:r>
          </w:p>
        </w:tc>
        <w:tc>
          <w:tcPr>
            <w:tcW w:w="4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8"/>
                <w:szCs w:val="18"/>
                <w:color w:val="auto"/>
              </w:rPr>
            </w:pPr>
          </w:p>
        </w:tc>
        <w:tc>
          <w:tcPr>
            <w:tcW w:w="9900" w:type="dxa"/>
            <w:vAlign w:val="bottom"/>
            <w:gridSpan w:val="12"/>
            <w:shd w:val="clear" w:color="auto" w:fill="CFF0FC"/>
          </w:tcPr>
          <w:p>
            <w:pPr>
              <w:ind w:left="1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Rule 13a-14(a)/15d-14(a) Certification.</w:t>
              </w:r>
            </w:hyperlink>
          </w:p>
        </w:tc>
      </w:tr>
      <w:tr>
        <w:trPr>
          <w:trHeight w:val="216"/>
        </w:trPr>
        <w:tc>
          <w:tcPr>
            <w:tcW w:w="420" w:type="dxa"/>
            <w:vAlign w:val="bottom"/>
          </w:tcPr>
          <w:p>
            <w:pPr>
              <w:ind w:left="100"/>
              <w:spacing w:after="0"/>
              <w:rPr>
                <w:sz w:val="20"/>
                <w:szCs w:val="20"/>
                <w:color w:val="auto"/>
              </w:rPr>
            </w:pPr>
            <w:r>
              <w:rPr>
                <w:rFonts w:ascii="Arial" w:cs="Arial" w:eastAsia="Arial" w:hAnsi="Arial"/>
                <w:sz w:val="18"/>
                <w:szCs w:val="18"/>
                <w:color w:val="auto"/>
                <w:w w:val="85"/>
              </w:rPr>
              <w:t>31.2</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900" w:type="dxa"/>
            <w:vAlign w:val="bottom"/>
            <w:gridSpan w:val="12"/>
          </w:tcPr>
          <w:p>
            <w:pPr>
              <w:ind w:left="1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Rule 13a-14(a)/15d-14(a) Certification.</w:t>
              </w:r>
            </w:hyperlink>
          </w:p>
        </w:tc>
      </w:tr>
      <w:tr>
        <w:trPr>
          <w:trHeight w:val="216"/>
        </w:trPr>
        <w:tc>
          <w:tcPr>
            <w:tcW w:w="4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5"/>
              </w:rPr>
              <w:t>32.1</w:t>
            </w:r>
          </w:p>
        </w:tc>
        <w:tc>
          <w:tcPr>
            <w:tcW w:w="92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900" w:type="dxa"/>
            <w:vAlign w:val="bottom"/>
            <w:gridSpan w:val="12"/>
            <w:shd w:val="clear" w:color="auto" w:fill="CFF0FC"/>
          </w:tcPr>
          <w:p>
            <w:pPr>
              <w:ind w:left="1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Certification pursuant to 18 U.S.C. Section 1350, as adopted pursuant to Section 906 of the Sarbanes-Oxley Act of 2002.</w:t>
              </w:r>
            </w:hyperlink>
          </w:p>
        </w:tc>
      </w:tr>
      <w:tr>
        <w:trPr>
          <w:trHeight w:val="216"/>
        </w:trPr>
        <w:tc>
          <w:tcPr>
            <w:tcW w:w="1340" w:type="dxa"/>
            <w:vAlign w:val="bottom"/>
            <w:gridSpan w:val="3"/>
          </w:tcPr>
          <w:p>
            <w:pPr>
              <w:ind w:left="100"/>
              <w:spacing w:after="0"/>
              <w:rPr>
                <w:sz w:val="20"/>
                <w:szCs w:val="20"/>
                <w:color w:val="auto"/>
              </w:rPr>
            </w:pPr>
            <w:r>
              <w:rPr>
                <w:rFonts w:ascii="Arial" w:cs="Arial" w:eastAsia="Arial" w:hAnsi="Arial"/>
                <w:sz w:val="18"/>
                <w:szCs w:val="18"/>
                <w:color w:val="auto"/>
              </w:rPr>
              <w:t>101.SCH #</w:t>
            </w:r>
          </w:p>
        </w:tc>
        <w:tc>
          <w:tcPr>
            <w:tcW w:w="9900" w:type="dxa"/>
            <w:vAlign w:val="bottom"/>
            <w:gridSpan w:val="12"/>
          </w:tcPr>
          <w:p>
            <w:pPr>
              <w:ind w:left="12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3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101.CAL #</w:t>
            </w:r>
          </w:p>
        </w:tc>
        <w:tc>
          <w:tcPr>
            <w:tcW w:w="9900" w:type="dxa"/>
            <w:vAlign w:val="bottom"/>
            <w:gridSpan w:val="12"/>
            <w:shd w:val="clear" w:color="auto" w:fill="CFF0FC"/>
          </w:tcPr>
          <w:p>
            <w:pPr>
              <w:ind w:left="1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340" w:type="dxa"/>
            <w:vAlign w:val="bottom"/>
            <w:gridSpan w:val="3"/>
          </w:tcPr>
          <w:p>
            <w:pPr>
              <w:ind w:left="100"/>
              <w:spacing w:after="0"/>
              <w:rPr>
                <w:sz w:val="20"/>
                <w:szCs w:val="20"/>
                <w:color w:val="auto"/>
              </w:rPr>
            </w:pPr>
            <w:r>
              <w:rPr>
                <w:rFonts w:ascii="Arial" w:cs="Arial" w:eastAsia="Arial" w:hAnsi="Arial"/>
                <w:sz w:val="18"/>
                <w:szCs w:val="18"/>
                <w:color w:val="auto"/>
              </w:rPr>
              <w:t>101.LAB #</w:t>
            </w:r>
          </w:p>
        </w:tc>
        <w:tc>
          <w:tcPr>
            <w:tcW w:w="9900" w:type="dxa"/>
            <w:vAlign w:val="bottom"/>
            <w:gridSpan w:val="12"/>
          </w:tcPr>
          <w:p>
            <w:pPr>
              <w:ind w:left="1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3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101.PRE #</w:t>
            </w:r>
          </w:p>
        </w:tc>
        <w:tc>
          <w:tcPr>
            <w:tcW w:w="9900" w:type="dxa"/>
            <w:vAlign w:val="bottom"/>
            <w:gridSpan w:val="12"/>
            <w:shd w:val="clear" w:color="auto" w:fill="CFF0FC"/>
          </w:tcPr>
          <w:p>
            <w:pPr>
              <w:ind w:left="1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340" w:type="dxa"/>
            <w:vAlign w:val="bottom"/>
            <w:gridSpan w:val="3"/>
          </w:tcPr>
          <w:p>
            <w:pPr>
              <w:ind w:left="100"/>
              <w:spacing w:after="0"/>
              <w:rPr>
                <w:sz w:val="20"/>
                <w:szCs w:val="20"/>
                <w:color w:val="auto"/>
              </w:rPr>
            </w:pPr>
            <w:r>
              <w:rPr>
                <w:rFonts w:ascii="Arial" w:cs="Arial" w:eastAsia="Arial" w:hAnsi="Arial"/>
                <w:sz w:val="18"/>
                <w:szCs w:val="18"/>
                <w:color w:val="auto"/>
              </w:rPr>
              <w:t>101.DEF #</w:t>
            </w:r>
          </w:p>
        </w:tc>
        <w:tc>
          <w:tcPr>
            <w:tcW w:w="9900" w:type="dxa"/>
            <w:vAlign w:val="bottom"/>
            <w:gridSpan w:val="12"/>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02"/>
        </w:trPr>
        <w:tc>
          <w:tcPr>
            <w:tcW w:w="840" w:type="dxa"/>
            <w:vAlign w:val="bottom"/>
            <w:gridSpan w:val="2"/>
            <w:shd w:val="clear" w:color="auto" w:fill="CFF0FC"/>
          </w:tcPr>
          <w:p>
            <w:pPr>
              <w:ind w:left="100"/>
              <w:spacing w:after="0" w:line="201" w:lineRule="exact"/>
              <w:rPr>
                <w:sz w:val="20"/>
                <w:szCs w:val="20"/>
                <w:color w:val="auto"/>
              </w:rPr>
            </w:pPr>
            <w:r>
              <w:rPr>
                <w:rFonts w:ascii="Arial" w:cs="Arial" w:eastAsia="Arial" w:hAnsi="Arial"/>
                <w:sz w:val="18"/>
                <w:szCs w:val="18"/>
                <w:color w:val="auto"/>
              </w:rPr>
              <w:t>104 #</w:t>
            </w:r>
          </w:p>
        </w:tc>
        <w:tc>
          <w:tcPr>
            <w:tcW w:w="500" w:type="dxa"/>
            <w:vAlign w:val="bottom"/>
            <w:shd w:val="clear" w:color="auto" w:fill="CFF0FC"/>
          </w:tcPr>
          <w:p>
            <w:pPr>
              <w:spacing w:after="0"/>
              <w:rPr>
                <w:sz w:val="17"/>
                <w:szCs w:val="17"/>
                <w:color w:val="auto"/>
              </w:rPr>
            </w:pPr>
          </w:p>
        </w:tc>
        <w:tc>
          <w:tcPr>
            <w:tcW w:w="9900" w:type="dxa"/>
            <w:vAlign w:val="bottom"/>
            <w:gridSpan w:val="12"/>
            <w:shd w:val="clear" w:color="auto" w:fill="CFF0FC"/>
          </w:tcPr>
          <w:p>
            <w:pPr>
              <w:ind w:left="120"/>
              <w:spacing w:after="0" w:line="201" w:lineRule="exact"/>
              <w:rPr>
                <w:sz w:val="20"/>
                <w:szCs w:val="20"/>
                <w:color w:val="auto"/>
              </w:rPr>
            </w:pPr>
            <w:r>
              <w:rPr>
                <w:rFonts w:ascii="Arial" w:cs="Arial" w:eastAsia="Arial" w:hAnsi="Arial"/>
                <w:sz w:val="18"/>
                <w:szCs w:val="18"/>
                <w:color w:val="auto"/>
                <w:w w:val="95"/>
              </w:rPr>
              <w:t>Cover Page Interactive Data File (formatted as Inline XBRL with applicable taxonomy extension information contained in Exhibits</w:t>
            </w:r>
          </w:p>
        </w:tc>
      </w:tr>
      <w:tr>
        <w:trPr>
          <w:trHeight w:val="230"/>
        </w:trPr>
        <w:tc>
          <w:tcPr>
            <w:tcW w:w="4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101)</w:t>
            </w:r>
          </w:p>
        </w:tc>
        <w:tc>
          <w:tcPr>
            <w:tcW w:w="1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40" w:type="dxa"/>
            <w:vAlign w:val="bottom"/>
            <w:shd w:val="clear" w:color="auto" w:fill="CFF0FC"/>
          </w:tcPr>
          <w:p>
            <w:pPr>
              <w:spacing w:after="0"/>
              <w:rPr>
                <w:sz w:val="20"/>
                <w:szCs w:val="20"/>
                <w:color w:val="auto"/>
              </w:rPr>
            </w:pPr>
          </w:p>
        </w:tc>
        <w:tc>
          <w:tcPr>
            <w:tcW w:w="3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r>
      <w:tr>
        <w:trPr>
          <w:trHeight w:val="135"/>
        </w:trPr>
        <w:tc>
          <w:tcPr>
            <w:tcW w:w="4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94" w:lineRule="exact"/>
        <w:rPr>
          <w:sz w:val="20"/>
          <w:szCs w:val="20"/>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60" w:hanging="55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5540" w:right="4560" w:hanging="5532"/>
        <w:spacing w:after="0" w:line="623" w:lineRule="auto"/>
        <w:tabs>
          <w:tab w:leader="none" w:pos="567"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ALKERMES plc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ind w:left="3360"/>
        <w:spacing w:after="0"/>
        <w:tabs>
          <w:tab w:leader="none" w:pos="3860" w:val="left"/>
        </w:tabs>
        <w:rPr>
          <w:sz w:val="20"/>
          <w:szCs w:val="20"/>
          <w:color w:val="auto"/>
        </w:rPr>
      </w:pPr>
      <w:r>
        <w:rPr>
          <w:rFonts w:ascii="Arial" w:cs="Arial" w:eastAsia="Arial" w:hAnsi="Arial"/>
          <w:sz w:val="18"/>
          <w:szCs w:val="18"/>
          <w:color w:val="auto"/>
        </w:rPr>
        <w:t>By:</w:t>
        <w:tab/>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14605</wp:posOffset>
            </wp:positionV>
            <wp:extent cx="3128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3360"/>
        <w:spacing w:after="0"/>
        <w:tabs>
          <w:tab w:leader="none" w:pos="3860" w:val="left"/>
        </w:tabs>
        <w:rPr>
          <w:sz w:val="20"/>
          <w:szCs w:val="20"/>
          <w:color w:val="auto"/>
        </w:rPr>
      </w:pPr>
      <w:r>
        <w:rPr>
          <w:rFonts w:ascii="Arial" w:cs="Arial" w:eastAsia="Arial" w:hAnsi="Arial"/>
          <w:sz w:val="18"/>
          <w:szCs w:val="18"/>
          <w:color w:val="auto"/>
        </w:rPr>
        <w:t>By:</w:t>
        <w:tab/>
        <w:t>/s/ James M. Frates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14605</wp:posOffset>
            </wp:positionV>
            <wp:extent cx="31286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2020</w:t>
      </w:r>
    </w:p>
    <w:p>
      <w:pPr>
        <w:spacing w:after="0" w:line="200" w:lineRule="exact"/>
        <w:rPr>
          <w:sz w:val="20"/>
          <w:szCs w:val="20"/>
          <w:color w:val="auto"/>
        </w:rPr>
      </w:pPr>
    </w:p>
    <w:p>
      <w:pPr>
        <w:spacing w:after="0" w:line="24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00"/>
          </w:cols>
          <w:pgMar w:left="320" w:top="337" w:right="8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968375" cy="248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96837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Dear Christian,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behalf of Alkermes, Inc., I am pleased to offer you the position of Senior Vice President, Sales &amp; Marketing, in the Sales Management 10-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133 department, reporting to Jim Robinson, President and Chief Operating Officer. This is a full time exempt position and will be located in Waltham, MA.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This letter, and its accompanying documents, confirms the terms of the offer.</w:t>
      </w:r>
    </w:p>
    <w:p>
      <w:pPr>
        <w:spacing w:after="0" w:line="221" w:lineRule="exact"/>
        <w:rPr>
          <w:sz w:val="20"/>
          <w:szCs w:val="20"/>
          <w:color w:val="auto"/>
        </w:rPr>
      </w:pPr>
    </w:p>
    <w:p>
      <w:pPr>
        <w:ind w:left="140"/>
        <w:spacing w:after="0"/>
        <w:tabs>
          <w:tab w:leader="none" w:pos="2020" w:val="left"/>
        </w:tabs>
        <w:rPr>
          <w:sz w:val="20"/>
          <w:szCs w:val="20"/>
          <w:color w:val="auto"/>
        </w:rPr>
      </w:pPr>
      <w:r>
        <w:rPr>
          <w:rFonts w:ascii="Arial" w:cs="Arial" w:eastAsia="Arial" w:hAnsi="Arial"/>
          <w:sz w:val="18"/>
          <w:szCs w:val="18"/>
          <w:b w:val="1"/>
          <w:bCs w:val="1"/>
          <w:color w:val="auto"/>
        </w:rPr>
        <w:t>Base Pay:</w:t>
      </w:r>
      <w:r>
        <w:rPr>
          <w:sz w:val="20"/>
          <w:szCs w:val="20"/>
          <w:color w:val="auto"/>
        </w:rPr>
        <w:tab/>
      </w:r>
      <w:r>
        <w:rPr>
          <w:rFonts w:ascii="Arial" w:cs="Arial" w:eastAsia="Arial" w:hAnsi="Arial"/>
          <w:sz w:val="16"/>
          <w:szCs w:val="16"/>
          <w:color w:val="auto"/>
        </w:rPr>
        <w:t>Your starting annual salary will be $475,000, subject to applicable taxes and withholdings. You will be paid bi-weekly.</w:t>
      </w:r>
    </w:p>
    <w:p>
      <w:pPr>
        <w:spacing w:after="0" w:line="225" w:lineRule="exact"/>
        <w:rPr>
          <w:sz w:val="20"/>
          <w:szCs w:val="20"/>
          <w:color w:val="auto"/>
        </w:rPr>
      </w:pPr>
    </w:p>
    <w:p>
      <w:pPr>
        <w:jc w:val="both"/>
        <w:ind w:left="2040" w:right="200" w:hanging="1903"/>
        <w:spacing w:after="0" w:line="263" w:lineRule="auto"/>
        <w:tabs>
          <w:tab w:leader="none" w:pos="2020" w:val="left"/>
        </w:tabs>
        <w:rPr>
          <w:sz w:val="20"/>
          <w:szCs w:val="20"/>
          <w:color w:val="auto"/>
        </w:rPr>
      </w:pPr>
      <w:r>
        <w:rPr>
          <w:rFonts w:ascii="Arial" w:cs="Arial" w:eastAsia="Arial" w:hAnsi="Arial"/>
          <w:sz w:val="18"/>
          <w:szCs w:val="18"/>
          <w:b w:val="1"/>
          <w:bCs w:val="1"/>
          <w:color w:val="auto"/>
        </w:rPr>
        <w:t>Annual Bonus:</w:t>
      </w:r>
      <w:r>
        <w:rPr>
          <w:sz w:val="20"/>
          <w:szCs w:val="20"/>
          <w:color w:val="auto"/>
        </w:rPr>
        <w:tab/>
      </w:r>
      <w:r>
        <w:rPr>
          <w:rFonts w:ascii="Arial" w:cs="Arial" w:eastAsia="Arial" w:hAnsi="Arial"/>
          <w:sz w:val="18"/>
          <w:szCs w:val="18"/>
          <w:color w:val="auto"/>
        </w:rPr>
        <w:t>You will be eligible to participate in the 2019 G e n e r a l Performance Pay Plan. Your annual Performance Pay target will be 50%. Your actual Performance Pay will be based on individual and company performance. You must be actively employed by Alkermes on the date the bonus is paid to receive a Performance Pay bonus.</w:t>
      </w:r>
    </w:p>
    <w:p>
      <w:pPr>
        <w:spacing w:after="0" w:line="400" w:lineRule="exact"/>
        <w:rPr>
          <w:sz w:val="20"/>
          <w:szCs w:val="20"/>
          <w:color w:val="auto"/>
        </w:rPr>
      </w:pPr>
    </w:p>
    <w:p>
      <w:pPr>
        <w:jc w:val="both"/>
        <w:ind w:left="2040" w:right="380" w:hanging="1903"/>
        <w:spacing w:after="0" w:line="263" w:lineRule="auto"/>
        <w:tabs>
          <w:tab w:leader="none" w:pos="2020" w:val="left"/>
        </w:tabs>
        <w:rPr>
          <w:sz w:val="20"/>
          <w:szCs w:val="20"/>
          <w:color w:val="auto"/>
        </w:rPr>
      </w:pPr>
      <w:r>
        <w:rPr>
          <w:rFonts w:ascii="Arial" w:cs="Arial" w:eastAsia="Arial" w:hAnsi="Arial"/>
          <w:sz w:val="18"/>
          <w:szCs w:val="18"/>
          <w:b w:val="1"/>
          <w:bCs w:val="1"/>
          <w:color w:val="auto"/>
        </w:rPr>
        <w:t>Sign On Bonus:</w:t>
      </w:r>
      <w:r>
        <w:rPr>
          <w:sz w:val="20"/>
          <w:szCs w:val="20"/>
          <w:color w:val="auto"/>
        </w:rPr>
        <w:tab/>
      </w:r>
      <w:r>
        <w:rPr>
          <w:rFonts w:ascii="Arial" w:cs="Arial" w:eastAsia="Arial" w:hAnsi="Arial"/>
          <w:sz w:val="18"/>
          <w:szCs w:val="18"/>
          <w:color w:val="auto"/>
        </w:rPr>
        <w:t>You will receive a sign-on bonus of $400,000 (“First Sign-on Bonus”). This is a one-time payment that is considered wages and is therefore subject to supplemental income tax rates. The First Sign-on Bonus should be paid within thirty (30) days of your start date.</w:t>
      </w:r>
    </w:p>
    <w:p>
      <w:pPr>
        <w:spacing w:after="0" w:line="188" w:lineRule="exact"/>
        <w:rPr>
          <w:sz w:val="20"/>
          <w:szCs w:val="20"/>
          <w:color w:val="auto"/>
        </w:rPr>
      </w:pPr>
    </w:p>
    <w:p>
      <w:pPr>
        <w:ind w:left="2040" w:right="320"/>
        <w:spacing w:after="0" w:line="263" w:lineRule="auto"/>
        <w:rPr>
          <w:sz w:val="20"/>
          <w:szCs w:val="20"/>
          <w:color w:val="auto"/>
        </w:rPr>
      </w:pPr>
      <w:r>
        <w:rPr>
          <w:rFonts w:ascii="Arial" w:cs="Arial" w:eastAsia="Arial" w:hAnsi="Arial"/>
          <w:sz w:val="18"/>
          <w:szCs w:val="18"/>
          <w:color w:val="auto"/>
        </w:rPr>
        <w:t>You will receive a second sign-on bonus of $200,000 (“Second Sign-on Bonus”). This is a one-time payment that is considered wages and is therefore subject to supplemental income tax rates. The Second Sign-on Bonus should be paid within thirty (30) days of your one-year anniversary date.</w:t>
      </w:r>
    </w:p>
    <w:p>
      <w:pPr>
        <w:spacing w:after="0" w:line="184" w:lineRule="exact"/>
        <w:rPr>
          <w:sz w:val="20"/>
          <w:szCs w:val="20"/>
          <w:color w:val="auto"/>
        </w:rPr>
      </w:pPr>
    </w:p>
    <w:p>
      <w:pPr>
        <w:ind w:left="2040" w:right="180"/>
        <w:spacing w:after="0" w:line="263" w:lineRule="auto"/>
        <w:rPr>
          <w:sz w:val="20"/>
          <w:szCs w:val="20"/>
          <w:color w:val="auto"/>
        </w:rPr>
      </w:pPr>
      <w:r>
        <w:rPr>
          <w:rFonts w:ascii="Arial" w:cs="Arial" w:eastAsia="Arial" w:hAnsi="Arial"/>
          <w:sz w:val="18"/>
          <w:szCs w:val="18"/>
          <w:color w:val="auto"/>
        </w:rPr>
        <w:t>The First Sign-on Bonus and Second Sign-on Bonus shall be subject to certain payback terms which are outlined in the Sign-On Bonus Payback Agreement which will be provided to you and must be executed before either bonus can be paid to you.</w:t>
      </w:r>
    </w:p>
    <w:p>
      <w:pPr>
        <w:spacing w:after="0" w:line="180" w:lineRule="exact"/>
        <w:rPr>
          <w:sz w:val="20"/>
          <w:szCs w:val="20"/>
          <w:color w:val="auto"/>
        </w:rPr>
      </w:pPr>
    </w:p>
    <w:p>
      <w:pPr>
        <w:ind w:left="140"/>
        <w:spacing w:after="0"/>
        <w:tabs>
          <w:tab w:leader="none" w:pos="2020" w:val="left"/>
        </w:tabs>
        <w:rPr>
          <w:sz w:val="20"/>
          <w:szCs w:val="20"/>
          <w:color w:val="auto"/>
        </w:rPr>
      </w:pPr>
      <w:r>
        <w:rPr>
          <w:rFonts w:ascii="Arial" w:cs="Arial" w:eastAsia="Arial" w:hAnsi="Arial"/>
          <w:sz w:val="18"/>
          <w:szCs w:val="18"/>
          <w:b w:val="1"/>
          <w:bCs w:val="1"/>
          <w:color w:val="auto"/>
        </w:rPr>
        <w:t>Former Employer</w:t>
      </w:r>
      <w:r>
        <w:rPr>
          <w:sz w:val="20"/>
          <w:szCs w:val="20"/>
          <w:color w:val="auto"/>
        </w:rPr>
        <w:tab/>
      </w:r>
      <w:r>
        <w:rPr>
          <w:rFonts w:ascii="Arial" w:cs="Arial" w:eastAsia="Arial" w:hAnsi="Arial"/>
          <w:sz w:val="16"/>
          <w:szCs w:val="16"/>
          <w:color w:val="auto"/>
        </w:rPr>
        <w:t>You will receive a separate sign-on amount up to $360,000 (net amount), which is contingent upon and limited to the amount</w:t>
      </w:r>
    </w:p>
    <w:p>
      <w:pPr>
        <w:spacing w:after="0" w:line="27" w:lineRule="exact"/>
        <w:rPr>
          <w:sz w:val="20"/>
          <w:szCs w:val="20"/>
          <w:color w:val="auto"/>
        </w:rPr>
      </w:pPr>
    </w:p>
    <w:p>
      <w:pPr>
        <w:jc w:val="both"/>
        <w:ind w:left="2040" w:right="740" w:hanging="1899"/>
        <w:spacing w:after="0" w:line="253" w:lineRule="auto"/>
        <w:tabs>
          <w:tab w:leader="none" w:pos="2020" w:val="left"/>
        </w:tabs>
        <w:rPr>
          <w:sz w:val="20"/>
          <w:szCs w:val="20"/>
          <w:color w:val="auto"/>
        </w:rPr>
      </w:pPr>
      <w:r>
        <w:rPr>
          <w:rFonts w:ascii="Arial" w:cs="Arial" w:eastAsia="Arial" w:hAnsi="Arial"/>
          <w:sz w:val="18"/>
          <w:szCs w:val="18"/>
          <w:b w:val="1"/>
          <w:bCs w:val="1"/>
          <w:color w:val="auto"/>
        </w:rPr>
        <w:t>Reimbursement:</w:t>
      </w:r>
      <w:r>
        <w:rPr>
          <w:sz w:val="20"/>
          <w:szCs w:val="20"/>
          <w:color w:val="auto"/>
        </w:rPr>
        <w:tab/>
      </w:r>
      <w:r>
        <w:rPr>
          <w:rFonts w:ascii="Arial" w:cs="Arial" w:eastAsia="Arial" w:hAnsi="Arial"/>
          <w:sz w:val="18"/>
          <w:szCs w:val="18"/>
          <w:color w:val="auto"/>
        </w:rPr>
        <w:t>of reimbursement to your former employer, if any, that you are required to pay to your former employer (the “Former Employer Reimbursement”). The payback terms of the Former Employer Reimbursement are outlined in the Former Employer Reimbursement Agreement, which will be provided to you and which must be executed before the Former Employer Reimbursement can be paid to you.</w:t>
      </w:r>
    </w:p>
    <w:p>
      <w:pPr>
        <w:spacing w:after="0" w:line="189" w:lineRule="exact"/>
        <w:rPr>
          <w:sz w:val="20"/>
          <w:szCs w:val="20"/>
          <w:color w:val="auto"/>
        </w:rPr>
      </w:pPr>
    </w:p>
    <w:p>
      <w:pPr>
        <w:ind w:left="140"/>
        <w:spacing w:after="0"/>
        <w:tabs>
          <w:tab w:leader="none" w:pos="2000" w:val="left"/>
        </w:tabs>
        <w:rPr>
          <w:sz w:val="20"/>
          <w:szCs w:val="20"/>
          <w:color w:val="auto"/>
        </w:rPr>
      </w:pPr>
      <w:r>
        <w:rPr>
          <w:rFonts w:ascii="Arial" w:cs="Arial" w:eastAsia="Arial" w:hAnsi="Arial"/>
          <w:sz w:val="18"/>
          <w:szCs w:val="18"/>
          <w:b w:val="1"/>
          <w:bCs w:val="1"/>
          <w:color w:val="auto"/>
        </w:rPr>
        <w:t>Equity Participation:</w:t>
      </w:r>
      <w:r>
        <w:rPr>
          <w:sz w:val="20"/>
          <w:szCs w:val="20"/>
          <w:color w:val="auto"/>
        </w:rPr>
        <w:tab/>
      </w:r>
      <w:r>
        <w:rPr>
          <w:rFonts w:ascii="Arial" w:cs="Arial" w:eastAsia="Arial" w:hAnsi="Arial"/>
          <w:sz w:val="16"/>
          <w:szCs w:val="16"/>
          <w:color w:val="auto"/>
        </w:rPr>
        <w:t>Subject to approval by the Compensation Committee of the Board of Directors of Alkermes plc, you will be granted a ten</w:t>
      </w:r>
    </w:p>
    <w:p>
      <w:pPr>
        <w:spacing w:after="0" w:line="27" w:lineRule="exact"/>
        <w:rPr>
          <w:sz w:val="20"/>
          <w:szCs w:val="20"/>
          <w:color w:val="auto"/>
        </w:rPr>
      </w:pPr>
    </w:p>
    <w:p>
      <w:pPr>
        <w:ind w:left="2020" w:right="180" w:firstLine="5"/>
        <w:spacing w:after="0" w:line="267" w:lineRule="auto"/>
        <w:tabs>
          <w:tab w:leader="none" w:pos="23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year stock option exercisable for 50000 shares of Alkermes plc ordinary shares and a grant of 14000 Restricted Stock Units. The Compensation Committee generally meets once per month to approve grants for employees who began employment at the company during the previous month. The stock option and restricted stock unit grants will be subject to the terms and conditions of the applicable Alkermes plc equity plan. The price of the option will be the closing price of the stock on the date of grant. The stock option grant and the restricted stock unit grant will each vest ratably over four (4) years on the anniversary of the grant date, provided that you remain employed by an Alkermes plc affiliated company. You will receive notice of your equity award grant via Alkermes/Merrill Lynch’s Benefits On-line system. Information regarding your equity grant including the grant award certificate can also be found in the Alkermes/Merrill Lynch’s Benefits On-line system and in the applicable Alkermes plc equity plan. In the event you cease to be employed by an Alkermes plc affiliated company, vesting of the equity grants shall cease. We will provide you with a copy of the Alkermes plc equity plan from which your equity grant was made for complete details.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968375" cy="2482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968375" cy="248285"/>
                    </a:xfrm>
                    <a:prstGeom prst="rect">
                      <a:avLst/>
                    </a:prstGeom>
                    <a:noFill/>
                  </pic:spPr>
                </pic:pic>
              </a:graphicData>
            </a:graphic>
          </wp:anchor>
        </w:drawing>
        <w:t>Relocation:</w:t>
      </w:r>
    </w:p>
    <w:p>
      <w:pPr>
        <w:spacing w:after="0" w:line="20" w:lineRule="exact"/>
        <w:rPr>
          <w:sz w:val="20"/>
          <w:szCs w:val="20"/>
          <w:color w:val="auto"/>
        </w:rPr>
      </w:pPr>
      <w:r>
        <w:rPr>
          <w:sz w:val="20"/>
          <w:szCs w:val="20"/>
          <w:color w:val="auto"/>
        </w:rPr>
        <w:br w:type="column"/>
      </w:r>
    </w:p>
    <w:p>
      <w:pPr>
        <w:ind w:right="40"/>
        <w:spacing w:after="0" w:line="269" w:lineRule="auto"/>
        <w:rPr>
          <w:sz w:val="20"/>
          <w:szCs w:val="20"/>
          <w:color w:val="auto"/>
        </w:rPr>
      </w:pPr>
      <w:r>
        <w:rPr>
          <w:rFonts w:ascii="Arial" w:cs="Arial" w:eastAsia="Arial" w:hAnsi="Arial"/>
          <w:sz w:val="17"/>
          <w:szCs w:val="17"/>
          <w:color w:val="auto"/>
        </w:rPr>
        <w:t>As part of this offer, you may be eligible for Alkermes’ relocation benefits provided you meet all program qualification requirements. Enclosed is a summary of your relocation benefits. Upon accepting this offer of employment, and upon your successful completion of all aspects of the Alkermes pre-employment screening processes, your Human Resources representative will arrange for a relocation counselor to begin your relocation process. In the interim period, do not contact or initiate any relocation related services including, but not limited to, real estate agents, mortgage companies and household goods moving services. Relocation services initiated outside of our relocation program may not be covered and could therefore result in the forfeiture of certain benefits. Additionally, should you voluntarily terminate your employment with Alkermes within twelve (12) months from your effective start date, you acknowledge by accepting this offer that you will be required to reimburse Alkermes all or part of the expenses paid on to you or on your behalf associated with your relocation, as outlined in the Relocation Payback Agreement that you will be required to sign upon the initiation of your relocation benefits.</w:t>
      </w:r>
    </w:p>
    <w:p>
      <w:pPr>
        <w:spacing w:after="0" w:line="178" w:lineRule="exact"/>
        <w:rPr>
          <w:sz w:val="20"/>
          <w:szCs w:val="20"/>
          <w:color w:val="auto"/>
        </w:rPr>
      </w:pPr>
    </w:p>
    <w:p>
      <w:pPr>
        <w:sectPr>
          <w:pgSz w:w="11900" w:h="16838" w:orient="portrait"/>
          <w:cols w:equalWidth="0" w:num="2">
            <w:col w:w="1160" w:space="720"/>
            <w:col w:w="9020"/>
          </w:cols>
          <w:pgMar w:left="460" w:top="729" w:right="539" w:bottom="1440" w:gutter="0" w:footer="0" w:header="0"/>
        </w:sectPr>
      </w:pPr>
    </w:p>
    <w:p>
      <w:pPr>
        <w:spacing w:after="0"/>
        <w:rPr>
          <w:sz w:val="20"/>
          <w:szCs w:val="20"/>
          <w:color w:val="auto"/>
        </w:rPr>
      </w:pPr>
      <w:r>
        <w:rPr>
          <w:rFonts w:ascii="Arial" w:cs="Arial" w:eastAsia="Arial" w:hAnsi="Arial"/>
          <w:sz w:val="16"/>
          <w:szCs w:val="16"/>
          <w:b w:val="1"/>
          <w:bCs w:val="1"/>
          <w:color w:val="auto"/>
        </w:rPr>
        <w:t>Vacation:</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In addition to location specific paid holidays, you are entitled to 3 weeks of annual vacation. During this year, your vacation allotment will be prorated in accordance with Alkermes policy.</w:t>
      </w:r>
    </w:p>
    <w:p>
      <w:pPr>
        <w:spacing w:after="0" w:line="166" w:lineRule="exact"/>
        <w:rPr>
          <w:sz w:val="20"/>
          <w:szCs w:val="20"/>
          <w:color w:val="auto"/>
        </w:rPr>
      </w:pPr>
    </w:p>
    <w:p>
      <w:pPr>
        <w:sectPr>
          <w:pgSz w:w="11900" w:h="16838" w:orient="portrait"/>
          <w:cols w:equalWidth="0" w:num="2">
            <w:col w:w="1160" w:space="720"/>
            <w:col w:w="9020"/>
          </w:cols>
          <w:pgMar w:left="460" w:top="729" w:right="5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Benefits:</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 xml:space="preserve">You will also be eligible to participate in the Alkermes benefits program as described in the accompanying </w:t>
      </w:r>
      <w:r>
        <w:rPr>
          <w:rFonts w:ascii="Arial" w:cs="Arial" w:eastAsia="Arial" w:hAnsi="Arial"/>
          <w:sz w:val="18"/>
          <w:szCs w:val="18"/>
          <w:i w:val="1"/>
          <w:iCs w:val="1"/>
          <w:color w:val="auto"/>
        </w:rPr>
        <w:t>Decision Guide</w:t>
      </w:r>
      <w:r>
        <w:rPr>
          <w:rFonts w:ascii="Arial" w:cs="Arial" w:eastAsia="Arial" w:hAnsi="Arial"/>
          <w:sz w:val="18"/>
          <w:szCs w:val="18"/>
          <w:color w:val="auto"/>
        </w:rPr>
        <w:t>. Medical, Dental, and Vision coverage will begin on your start date. Complete details and enrollment information will be included with your New Employee Welcome Packet.</w:t>
      </w:r>
    </w:p>
    <w:p>
      <w:pPr>
        <w:spacing w:after="0" w:line="180" w:lineRule="exact"/>
        <w:rPr>
          <w:sz w:val="20"/>
          <w:szCs w:val="20"/>
          <w:color w:val="auto"/>
        </w:rPr>
      </w:pPr>
    </w:p>
    <w:p>
      <w:pPr>
        <w:sectPr>
          <w:pgSz w:w="11900" w:h="16838" w:orient="portrait"/>
          <w:cols w:equalWidth="0" w:num="2">
            <w:col w:w="1160" w:space="720"/>
            <w:col w:w="9020"/>
          </w:cols>
          <w:pgMar w:left="460" w:top="729" w:right="5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Offer Contingencies:</w:t>
      </w:r>
    </w:p>
    <w:p>
      <w:pPr>
        <w:spacing w:after="0" w:line="20" w:lineRule="exact"/>
        <w:rPr>
          <w:sz w:val="20"/>
          <w:szCs w:val="20"/>
          <w:color w:val="auto"/>
        </w:rPr>
      </w:pPr>
      <w:r>
        <w:rPr>
          <w:sz w:val="20"/>
          <w:szCs w:val="20"/>
          <w:color w:val="auto"/>
        </w:rPr>
        <w:br w:type="column"/>
      </w:r>
    </w:p>
    <w:p>
      <w:pPr>
        <w:ind w:right="200"/>
        <w:spacing w:after="0" w:line="308" w:lineRule="auto"/>
        <w:rPr>
          <w:sz w:val="20"/>
          <w:szCs w:val="20"/>
          <w:color w:val="auto"/>
        </w:rPr>
      </w:pPr>
      <w:r>
        <w:rPr>
          <w:rFonts w:ascii="Arial" w:cs="Arial" w:eastAsia="Arial" w:hAnsi="Arial"/>
          <w:sz w:val="17"/>
          <w:szCs w:val="17"/>
          <w:color w:val="auto"/>
        </w:rPr>
        <w:t>This employment offer is contingent upon successful completion of all aspects of the Alkermes pre-employment screening process. This process includes the verification of information you will provide to us for a background check.</w:t>
      </w:r>
    </w:p>
    <w:p>
      <w:pPr>
        <w:spacing w:after="0" w:line="142" w:lineRule="exact"/>
        <w:rPr>
          <w:sz w:val="20"/>
          <w:szCs w:val="20"/>
          <w:color w:val="auto"/>
        </w:rPr>
      </w:pPr>
    </w:p>
    <w:p>
      <w:pPr>
        <w:sectPr>
          <w:pgSz w:w="11900" w:h="16838" w:orient="portrait"/>
          <w:cols w:equalWidth="0" w:num="2">
            <w:col w:w="1620" w:space="260"/>
            <w:col w:w="9020"/>
          </w:cols>
          <w:pgMar w:left="460" w:top="729" w:right="539" w:bottom="1440" w:gutter="0" w:footer="0" w:header="0"/>
          <w:type w:val="continuous"/>
        </w:sectPr>
      </w:pPr>
    </w:p>
    <w:p>
      <w:pPr>
        <w:jc w:val="both"/>
        <w:ind w:right="220"/>
        <w:spacing w:after="0" w:line="314" w:lineRule="auto"/>
        <w:rPr>
          <w:sz w:val="20"/>
          <w:szCs w:val="20"/>
          <w:color w:val="auto"/>
        </w:rPr>
      </w:pPr>
      <w:r>
        <w:rPr>
          <w:rFonts w:ascii="Arial" w:cs="Arial" w:eastAsia="Arial" w:hAnsi="Arial"/>
          <w:sz w:val="16"/>
          <w:szCs w:val="16"/>
          <w:b w:val="1"/>
          <w:bCs w:val="1"/>
          <w:color w:val="auto"/>
        </w:rPr>
        <w:t>Background Verification Process:</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This process will verify the information you have provided concerning your prior employment and education. As Alkermes is concerned with the security of our customers, employees, business partners and the general public, we will perform a criminal history check to determine whether you have criminal convictions of record and to verify your identity. For positions within our Finance department, a credit check will also be performed.</w:t>
      </w:r>
    </w:p>
    <w:p>
      <w:pPr>
        <w:spacing w:after="0" w:line="183" w:lineRule="exact"/>
        <w:rPr>
          <w:sz w:val="20"/>
          <w:szCs w:val="20"/>
          <w:color w:val="auto"/>
        </w:rPr>
      </w:pPr>
    </w:p>
    <w:p>
      <w:pPr>
        <w:sectPr>
          <w:pgSz w:w="11900" w:h="16838" w:orient="portrait"/>
          <w:cols w:equalWidth="0" w:num="2">
            <w:col w:w="1160" w:space="720"/>
            <w:col w:w="9020"/>
          </w:cols>
          <w:pgMar w:left="460" w:top="729" w:right="5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Employment Eligibility </w:t>
      </w:r>
      <w:r>
        <w:rPr>
          <w:rFonts w:ascii="Arial" w:cs="Arial" w:eastAsia="Arial" w:hAnsi="Arial"/>
          <w:sz w:val="16"/>
          <w:szCs w:val="16"/>
          <w:color w:val="auto"/>
        </w:rPr>
        <w:t>Please note that all persons in the United States are required to complete an Employment Eligibility Verification Form on</w:t>
      </w:r>
    </w:p>
    <w:p>
      <w:pPr>
        <w:spacing w:after="0" w:line="50" w:lineRule="exact"/>
        <w:rPr>
          <w:sz w:val="20"/>
          <w:szCs w:val="20"/>
          <w:color w:val="auto"/>
        </w:rPr>
      </w:pPr>
    </w:p>
    <w:p>
      <w:pPr>
        <w:ind w:left="1880" w:right="480" w:hanging="1879"/>
        <w:spacing w:after="0" w:line="260" w:lineRule="auto"/>
        <w:tabs>
          <w:tab w:leader="none" w:pos="1860" w:val="left"/>
        </w:tabs>
        <w:rPr>
          <w:sz w:val="20"/>
          <w:szCs w:val="20"/>
          <w:color w:val="auto"/>
        </w:rPr>
      </w:pPr>
      <w:r>
        <w:rPr>
          <w:rFonts w:ascii="Arial" w:cs="Arial" w:eastAsia="Arial" w:hAnsi="Arial"/>
          <w:sz w:val="18"/>
          <w:szCs w:val="18"/>
          <w:b w:val="1"/>
          <w:bCs w:val="1"/>
          <w:color w:val="auto"/>
        </w:rPr>
        <w:t>Verification</w:t>
      </w:r>
      <w:r>
        <w:rPr>
          <w:sz w:val="20"/>
          <w:szCs w:val="20"/>
          <w:color w:val="auto"/>
        </w:rPr>
        <w:tab/>
      </w:r>
      <w:r>
        <w:rPr>
          <w:rFonts w:ascii="Arial" w:cs="Arial" w:eastAsia="Arial" w:hAnsi="Arial"/>
          <w:sz w:val="18"/>
          <w:szCs w:val="18"/>
          <w:color w:val="auto"/>
        </w:rPr>
        <w:t>the first day of employment and submit an original document or documents that establish identity and employment eligibility within three (3) business days of employment.</w:t>
      </w:r>
    </w:p>
    <w:p>
      <w:pPr>
        <w:spacing w:after="0" w:line="185" w:lineRule="exact"/>
        <w:rPr>
          <w:sz w:val="20"/>
          <w:szCs w:val="20"/>
          <w:color w:val="auto"/>
        </w:rPr>
      </w:pPr>
    </w:p>
    <w:p>
      <w:pPr>
        <w:ind w:left="1900" w:right="340"/>
        <w:spacing w:after="0" w:line="263" w:lineRule="auto"/>
        <w:rPr>
          <w:sz w:val="20"/>
          <w:szCs w:val="20"/>
          <w:color w:val="auto"/>
        </w:rPr>
      </w:pPr>
      <w:r>
        <w:rPr>
          <w:rFonts w:ascii="Arial" w:cs="Arial" w:eastAsia="Arial" w:hAnsi="Arial"/>
          <w:sz w:val="18"/>
          <w:szCs w:val="18"/>
          <w:color w:val="auto"/>
        </w:rPr>
        <w:t>For your convenience, HireRight will be sending you an electronic vision of the Form I -9. You will need to complete Section 1 through HireRight on or before your first day of work. You will need to present original document(s) of your choice as listed on the HireRight site on your first day.</w:t>
      </w:r>
    </w:p>
    <w:p>
      <w:pPr>
        <w:spacing w:after="0" w:line="184" w:lineRule="exact"/>
        <w:rPr>
          <w:sz w:val="20"/>
          <w:szCs w:val="20"/>
          <w:color w:val="auto"/>
        </w:rPr>
      </w:pPr>
    </w:p>
    <w:p>
      <w:pPr>
        <w:ind w:left="1880" w:right="60"/>
        <w:spacing w:after="0" w:line="279" w:lineRule="auto"/>
        <w:rPr>
          <w:sz w:val="20"/>
          <w:szCs w:val="20"/>
          <w:color w:val="auto"/>
        </w:rPr>
      </w:pPr>
      <w:r>
        <w:rPr>
          <w:rFonts w:ascii="Arial" w:cs="Arial" w:eastAsia="Arial" w:hAnsi="Arial"/>
          <w:sz w:val="17"/>
          <w:szCs w:val="17"/>
          <w:color w:val="auto"/>
        </w:rPr>
        <w:t>Alkermes participates in the E-Verify program. E-Verify is a Social Security Administration/Department of Homeland Security program which allows employers to electronically verify each new employee’s work authorization using information provided on Form I-9. The verification process will occur within three (3) business days of employment. If you would like further information regarding E-Verify, please contact Alkermes Human Resources department.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220345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00"/>
          </w:cols>
          <w:pgMar w:left="460" w:top="729" w:right="539" w:bottom="1440" w:gutter="0" w:footer="0" w:header="0"/>
          <w:type w:val="continuous"/>
        </w:sectPr>
      </w:pPr>
    </w:p>
    <w:bookmarkStart w:id="42" w:name="page43"/>
    <w:bookmarkEnd w:id="42"/>
    <w:p>
      <w:pPr>
        <w:ind w:left="140" w:right="14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968375" cy="248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968375" cy="248285"/>
                    </a:xfrm>
                    <a:prstGeom prst="rect">
                      <a:avLst/>
                    </a:prstGeom>
                    <a:noFill/>
                  </pic:spPr>
                </pic:pic>
              </a:graphicData>
            </a:graphic>
          </wp:anchor>
        </w:drawing>
        <w:t>Proprietary Information, No Conflicts:</w:t>
      </w:r>
    </w:p>
    <w:p>
      <w:pPr>
        <w:spacing w:after="0" w:line="20" w:lineRule="exact"/>
        <w:rPr>
          <w:sz w:val="20"/>
          <w:szCs w:val="20"/>
          <w:color w:val="auto"/>
        </w:rPr>
      </w:pPr>
      <w:r>
        <w:rPr>
          <w:sz w:val="20"/>
          <w:szCs w:val="20"/>
          <w:color w:val="auto"/>
        </w:rPr>
        <w:br w:type="column"/>
      </w:r>
    </w:p>
    <w:p>
      <w:pPr>
        <w:ind w:right="400"/>
        <w:spacing w:after="0" w:line="255" w:lineRule="auto"/>
        <w:rPr>
          <w:sz w:val="20"/>
          <w:szCs w:val="20"/>
          <w:color w:val="auto"/>
        </w:rPr>
      </w:pPr>
      <w:r>
        <w:rPr>
          <w:rFonts w:ascii="Arial" w:cs="Arial" w:eastAsia="Arial" w:hAnsi="Arial"/>
          <w:sz w:val="18"/>
          <w:szCs w:val="18"/>
          <w:color w:val="auto"/>
        </w:rPr>
        <w:t>You agree to execute the Company’s standard Employee Agreement With Respect to Inventions and Proprietary Information and Non-Solicitation and to be bound by all of the provisions thereof. A copy is enclosed with this letter. You hereby represent that you are not presently bound by any employment agreement, confidential or proprietary information agreement or similar agreement with any current or previous employer that would impose any restriction on your acceptance of this offer or that would interfere with your ability to fulfill the responsibilities of your position with the Company.</w:t>
      </w:r>
    </w:p>
    <w:p>
      <w:pPr>
        <w:spacing w:after="0" w:line="188" w:lineRule="exact"/>
        <w:rPr>
          <w:sz w:val="20"/>
          <w:szCs w:val="20"/>
          <w:color w:val="auto"/>
        </w:rPr>
      </w:pPr>
    </w:p>
    <w:p>
      <w:pPr>
        <w:sectPr>
          <w:pgSz w:w="11900" w:h="16838" w:orient="portrait"/>
          <w:cols w:equalWidth="0" w:num="2">
            <w:col w:w="1300" w:space="720"/>
            <w:col w:w="9180"/>
          </w:cols>
          <w:pgMar w:left="320" w:top="729" w:right="379" w:bottom="1440" w:gutter="0" w:footer="0" w:header="0"/>
        </w:sectPr>
      </w:pPr>
    </w:p>
    <w:p>
      <w:pPr>
        <w:ind w:left="140"/>
        <w:spacing w:after="0"/>
        <w:rPr>
          <w:sz w:val="20"/>
          <w:szCs w:val="20"/>
          <w:color w:val="auto"/>
        </w:rPr>
      </w:pPr>
      <w:r>
        <w:rPr>
          <w:rFonts w:ascii="Arial" w:cs="Arial" w:eastAsia="Arial" w:hAnsi="Arial"/>
          <w:sz w:val="16"/>
          <w:szCs w:val="16"/>
          <w:b w:val="1"/>
          <w:bCs w:val="1"/>
          <w:color w:val="auto"/>
        </w:rPr>
        <w:t>Employment Period:</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This letter, and its accompanying documents, set out the complete terms of our offer of employment but are not intended as, and should not be considered, a contract of employment for a fixed period of time. If you accept this offer of employment with the Company, you accept that your employment is at-will, which means that you or Alkermes are free to end the employment relationship at any time, with or without cause.</w:t>
      </w:r>
    </w:p>
    <w:p>
      <w:pPr>
        <w:spacing w:after="0" w:line="200" w:lineRule="exact"/>
        <w:rPr>
          <w:sz w:val="20"/>
          <w:szCs w:val="20"/>
          <w:color w:val="auto"/>
        </w:rPr>
      </w:pPr>
    </w:p>
    <w:p>
      <w:pPr>
        <w:sectPr>
          <w:pgSz w:w="11900" w:h="16838" w:orient="portrait"/>
          <w:cols w:equalWidth="0" w:num="2">
            <w:col w:w="1740" w:space="280"/>
            <w:col w:w="9180"/>
          </w:cols>
          <w:pgMar w:left="320" w:top="729" w:right="379" w:bottom="1440" w:gutter="0" w:footer="0" w:header="0"/>
          <w:type w:val="continuous"/>
        </w:sectPr>
      </w:pPr>
    </w:p>
    <w:p>
      <w:pPr>
        <w:spacing w:after="0" w:line="2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Christian, all of us here at Alkermes are very enthusiastic about the prospect of you joining the Company and have the highest expectation of your future contributions.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Please indicate your acceptance of the foregoing with your signature, and return all completed documents to the Company no later than April 8, 2019. After that date, the offer will lapse. Once signed by you, this letter, together with the documents referred to herein, will constitute the complete agreement between you and Alkermes regarding employment matters and will supercede all prior written or oral agreements or understandings on these matters.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151765</wp:posOffset>
            </wp:positionV>
            <wp:extent cx="1251585" cy="445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2515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Peter Mello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Talent Acquisition, Human Resources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Alkermes,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is signed and accepted as of the date indicated below by: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Christian Todd Nichols</w:t>
            </w:r>
          </w:p>
        </w:tc>
        <w:tc>
          <w:tcPr>
            <w:tcW w:w="1240" w:type="dxa"/>
            <w:vAlign w:val="bottom"/>
          </w:tcPr>
          <w:p>
            <w:pPr>
              <w:spacing w:after="0"/>
              <w:rPr>
                <w:sz w:val="20"/>
                <w:szCs w:val="20"/>
                <w:color w:val="auto"/>
              </w:rPr>
            </w:pPr>
            <w:r>
              <w:rPr>
                <w:rFonts w:ascii="Arial" w:cs="Arial" w:eastAsia="Arial" w:hAnsi="Arial"/>
                <w:sz w:val="18"/>
                <w:szCs w:val="18"/>
                <w:color w:val="auto"/>
              </w:rPr>
              <w:t>3/29/19</w:t>
            </w:r>
          </w:p>
        </w:tc>
      </w:tr>
      <w:tr>
        <w:trPr>
          <w:trHeight w:val="224"/>
        </w:trPr>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Candidate Name</w:t>
            </w:r>
          </w:p>
        </w:tc>
        <w:tc>
          <w:tcPr>
            <w:tcW w:w="180" w:type="dxa"/>
            <w:vAlign w:val="bottom"/>
          </w:tcPr>
          <w:p>
            <w:pPr>
              <w:spacing w:after="0"/>
              <w:rPr>
                <w:sz w:val="19"/>
                <w:szCs w:val="19"/>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 of 3</w:t>
      </w:r>
    </w:p>
    <w:p>
      <w:pPr>
        <w:sectPr>
          <w:pgSz w:w="11900" w:h="16838" w:orient="portrait"/>
          <w:cols w:equalWidth="0" w:num="1">
            <w:col w:w="11200"/>
          </w:cols>
          <w:pgMar w:left="320" w:top="729" w:right="37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Plan Award Certificate – Non-Employee Director Non-Qualified Stock Option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Alkermes plc</w:t>
      </w:r>
    </w:p>
    <w:p>
      <w:pPr>
        <w:spacing w:after="0" w:line="219" w:lineRule="auto"/>
        <w:rPr>
          <w:sz w:val="20"/>
          <w:szCs w:val="20"/>
          <w:color w:val="auto"/>
        </w:rPr>
      </w:pPr>
      <w:r>
        <w:rPr>
          <w:rFonts w:ascii="Arial" w:cs="Arial" w:eastAsia="Arial" w:hAnsi="Arial"/>
          <w:sz w:val="18"/>
          <w:szCs w:val="18"/>
          <w:color w:val="auto"/>
        </w:rPr>
        <w:t>Connaught House</w:t>
      </w:r>
    </w:p>
    <w:p>
      <w:pPr>
        <w:spacing w:after="0" w:line="219" w:lineRule="auto"/>
        <w:rPr>
          <w:sz w:val="20"/>
          <w:szCs w:val="20"/>
          <w:color w:val="auto"/>
        </w:rPr>
      </w:pPr>
      <w:r>
        <w:rPr>
          <w:rFonts w:ascii="Arial" w:cs="Arial" w:eastAsia="Arial" w:hAnsi="Arial"/>
          <w:sz w:val="18"/>
          <w:szCs w:val="18"/>
          <w:color w:val="auto"/>
        </w:rPr>
        <w:t>1 Burlington Road</w:t>
      </w:r>
    </w:p>
    <w:p>
      <w:pPr>
        <w:spacing w:after="0"/>
        <w:rPr>
          <w:sz w:val="20"/>
          <w:szCs w:val="20"/>
          <w:color w:val="auto"/>
        </w:rPr>
      </w:pPr>
      <w:r>
        <w:rPr>
          <w:rFonts w:ascii="Arial" w:cs="Arial" w:eastAsia="Arial" w:hAnsi="Arial"/>
          <w:sz w:val="18"/>
          <w:szCs w:val="18"/>
          <w:color w:val="auto"/>
        </w:rPr>
        <w:t>Dublin 4, Ireland</w:t>
      </w:r>
    </w:p>
    <w:p>
      <w:pPr>
        <w:spacing w:after="0" w:line="151" w:lineRule="exact"/>
        <w:rPr>
          <w:sz w:val="20"/>
          <w:szCs w:val="20"/>
          <w:color w:val="auto"/>
        </w:rPr>
      </w:pPr>
    </w:p>
    <w:tbl>
      <w:tblPr>
        <w:tblLayout w:type="fixed"/>
        <w:tblInd w:w="30" w:type="dxa"/>
        <w:tblCellMar>
          <w:top w:w="0" w:type="dxa"/>
          <w:left w:w="0" w:type="dxa"/>
          <w:bottom w:w="0" w:type="dxa"/>
          <w:right w:w="0" w:type="dxa"/>
        </w:tblCellMar>
      </w:tblPr>
      <w:tr>
        <w:trPr>
          <w:trHeight w:val="231"/>
        </w:trPr>
        <w:tc>
          <w:tcPr>
            <w:tcW w:w="13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87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Participant Name</w:t>
            </w:r>
          </w:p>
        </w:tc>
      </w:tr>
      <w:tr>
        <w:trPr>
          <w:trHeight w:val="337"/>
        </w:trPr>
        <w:tc>
          <w:tcPr>
            <w:tcW w:w="1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Address:</w:t>
            </w:r>
          </w:p>
        </w:tc>
        <w:tc>
          <w:tcPr>
            <w:tcW w:w="874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Participant Address</w:t>
            </w:r>
          </w:p>
        </w:tc>
      </w:tr>
      <w:tr>
        <w:trPr>
          <w:trHeight w:val="351"/>
        </w:trPr>
        <w:tc>
          <w:tcPr>
            <w:tcW w:w="1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Grant ID:</w:t>
            </w:r>
          </w:p>
        </w:tc>
        <w:tc>
          <w:tcPr>
            <w:tcW w:w="874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Grant ID</w:t>
            </w:r>
          </w:p>
        </w:tc>
      </w:tr>
      <w:tr>
        <w:trPr>
          <w:trHeight w:val="351"/>
        </w:trPr>
        <w:tc>
          <w:tcPr>
            <w:tcW w:w="1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Plan:</w:t>
            </w:r>
          </w:p>
        </w:tc>
        <w:tc>
          <w:tcPr>
            <w:tcW w:w="874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Plan ID</w:t>
            </w:r>
          </w:p>
        </w:tc>
      </w:tr>
      <w:tr>
        <w:trPr>
          <w:trHeight w:val="324"/>
        </w:trPr>
        <w:tc>
          <w:tcPr>
            <w:tcW w:w="1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ID:</w:t>
            </w:r>
          </w:p>
        </w:tc>
        <w:tc>
          <w:tcPr>
            <w:tcW w:w="8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Optionee ID</w:t>
            </w:r>
          </w:p>
        </w:tc>
      </w:tr>
    </w:tbl>
    <w:p>
      <w:pPr>
        <w:spacing w:after="0" w:line="175" w:lineRule="exact"/>
        <w:rPr>
          <w:sz w:val="20"/>
          <w:szCs w:val="20"/>
          <w:color w:val="auto"/>
        </w:rPr>
      </w:pPr>
    </w:p>
    <w:p>
      <w:pPr>
        <w:jc w:val="both"/>
        <w:ind w:right="660"/>
        <w:spacing w:after="0"/>
        <w:rPr>
          <w:sz w:val="20"/>
          <w:szCs w:val="20"/>
          <w:color w:val="auto"/>
        </w:rPr>
      </w:pPr>
      <w:r>
        <w:rPr>
          <w:rFonts w:ascii="Arial" w:cs="Arial" w:eastAsia="Arial" w:hAnsi="Arial"/>
          <w:sz w:val="18"/>
          <w:szCs w:val="18"/>
          <w:color w:val="auto"/>
        </w:rPr>
        <w:t>Effective [Grant Date] (the “Grant Date”), you have been granted a non-qualified stock option (the “NQ Option”) to buy [Award Grant Amount] ordinary shares, par value $0.01 per share (the “Shares”), of Alkermes plc (the “Company”) with an exercise price of $[Grant Price] per share.</w:t>
      </w:r>
    </w:p>
    <w:p>
      <w:pPr>
        <w:spacing w:after="0" w:line="203" w:lineRule="exact"/>
        <w:rPr>
          <w:sz w:val="20"/>
          <w:szCs w:val="20"/>
          <w:color w:val="auto"/>
        </w:rPr>
      </w:pPr>
    </w:p>
    <w:p>
      <w:pPr>
        <w:jc w:val="both"/>
        <w:ind w:right="660"/>
        <w:spacing w:after="0" w:line="238" w:lineRule="auto"/>
        <w:rPr>
          <w:sz w:val="20"/>
          <w:szCs w:val="20"/>
          <w:color w:val="auto"/>
        </w:rPr>
      </w:pPr>
      <w:r>
        <w:rPr>
          <w:rFonts w:ascii="Arial" w:cs="Arial" w:eastAsia="Arial" w:hAnsi="Arial"/>
          <w:sz w:val="18"/>
          <w:szCs w:val="18"/>
          <w:color w:val="auto"/>
        </w:rPr>
        <w:t>The NQ Option was granted under the Alkermes plc 2018 Stock Option and Incentive Plan (the “Plan”), and is governed by the terms and conditions thereof and of this award certificate (this “Award Certificate”). A copy of the Plan is available upon request. Unless otherwise defined in this Award Certificate, all capitalized terms used in this Award Certificate shall have the respective meanings ascribed to them in the Plan.</w:t>
      </w:r>
    </w:p>
    <w:p>
      <w:pPr>
        <w:spacing w:after="0" w:line="205" w:lineRule="exact"/>
        <w:rPr>
          <w:sz w:val="20"/>
          <w:szCs w:val="20"/>
          <w:color w:val="auto"/>
        </w:rPr>
      </w:pPr>
    </w:p>
    <w:p>
      <w:pPr>
        <w:jc w:val="both"/>
        <w:ind w:right="660"/>
        <w:spacing w:after="0"/>
        <w:rPr>
          <w:sz w:val="20"/>
          <w:szCs w:val="20"/>
          <w:color w:val="auto"/>
        </w:rPr>
      </w:pPr>
      <w:r>
        <w:rPr>
          <w:rFonts w:ascii="Arial" w:cs="Arial" w:eastAsia="Arial" w:hAnsi="Arial"/>
          <w:sz w:val="18"/>
          <w:szCs w:val="18"/>
          <w:color w:val="auto"/>
        </w:rPr>
        <w:t>Vesting details for the NQ Option are available via your Bank of America Merrill Lynch Benefits Online account. The NQ Option shall expire on the earlier to occur of: (i) the 10th anniversary of the Grant Date or (ii) three years after any termination of your service relationship with the Company.</w:t>
      </w:r>
    </w:p>
    <w:p>
      <w:pPr>
        <w:spacing w:after="0" w:line="203" w:lineRule="exact"/>
        <w:rPr>
          <w:sz w:val="20"/>
          <w:szCs w:val="20"/>
          <w:color w:val="auto"/>
        </w:rPr>
      </w:pPr>
    </w:p>
    <w:p>
      <w:pPr>
        <w:jc w:val="both"/>
        <w:ind w:right="660"/>
        <w:spacing w:after="0" w:line="238" w:lineRule="auto"/>
        <w:rPr>
          <w:sz w:val="20"/>
          <w:szCs w:val="20"/>
          <w:color w:val="auto"/>
        </w:rPr>
      </w:pPr>
      <w:r>
        <w:rPr>
          <w:rFonts w:ascii="Arial" w:cs="Arial" w:eastAsia="Arial" w:hAnsi="Arial"/>
          <w:sz w:val="18"/>
          <w:szCs w:val="18"/>
          <w:color w:val="auto"/>
        </w:rPr>
        <w:t xml:space="preserve">In the event of the termination of your service relationship with the Company, the NQ Option shall vest and become exercisable in full on the date of such termination, and the period during which the NQ Option may be exercised (to the extent that it is exercisable on the date of such termination) shall be three years following the date of such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event shall such three-year period extend beyond the original term of the NQ Option.</w:t>
      </w:r>
    </w:p>
    <w:p>
      <w:pPr>
        <w:spacing w:after="0" w:line="178" w:lineRule="exact"/>
        <w:rPr>
          <w:sz w:val="20"/>
          <w:szCs w:val="20"/>
          <w:color w:val="auto"/>
        </w:rPr>
      </w:pPr>
    </w:p>
    <w:p>
      <w:pPr>
        <w:jc w:val="both"/>
        <w:ind w:right="660"/>
        <w:spacing w:after="0"/>
        <w:rPr>
          <w:sz w:val="20"/>
          <w:szCs w:val="20"/>
          <w:color w:val="auto"/>
        </w:rPr>
      </w:pPr>
      <w:r>
        <w:rPr>
          <w:rFonts w:ascii="Arial" w:cs="Arial" w:eastAsia="Arial" w:hAnsi="Arial"/>
          <w:sz w:val="18"/>
          <w:szCs w:val="18"/>
          <w:color w:val="auto"/>
        </w:rPr>
        <w:t>The grant of the NQ Option does not infer any right to, or expectation of, the grant of any additional Options or other Awards on the same basis or at all, in any future year. Participation in the Plan shall in no way give you any rights to compensation for any claim of loss in relation to the Plan, including without limitation:</w:t>
      </w:r>
    </w:p>
    <w:p>
      <w:pPr>
        <w:spacing w:after="0" w:line="176" w:lineRule="exact"/>
        <w:rPr>
          <w:sz w:val="20"/>
          <w:szCs w:val="20"/>
          <w:color w:val="auto"/>
        </w:rPr>
      </w:pPr>
    </w:p>
    <w:p>
      <w:pPr>
        <w:ind w:left="1960" w:right="3180" w:hanging="786"/>
        <w:spacing w:after="0" w:line="235" w:lineRule="auto"/>
        <w:tabs>
          <w:tab w:leader="none" w:pos="19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loss or reduction of any rights or expectations under the Plan in any circumstances or for any reason;</w:t>
      </w:r>
    </w:p>
    <w:p>
      <w:pPr>
        <w:spacing w:after="0" w:line="161" w:lineRule="exact"/>
        <w:rPr>
          <w:rFonts w:ascii="Arial" w:cs="Arial" w:eastAsia="Arial" w:hAnsi="Arial"/>
          <w:sz w:val="18"/>
          <w:szCs w:val="18"/>
          <w:color w:val="auto"/>
        </w:rPr>
      </w:pPr>
    </w:p>
    <w:p>
      <w:pPr>
        <w:ind w:left="1960" w:right="860" w:hanging="786"/>
        <w:spacing w:after="0" w:line="235"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exercise of a discretion or a decision taken in relation to an Award or to the Plan, or any failure to exercise a discretion or take a decision; or</w:t>
      </w:r>
    </w:p>
    <w:p>
      <w:pPr>
        <w:spacing w:after="0" w:line="202" w:lineRule="exact"/>
        <w:rPr>
          <w:rFonts w:ascii="Arial" w:cs="Arial" w:eastAsia="Arial" w:hAnsi="Arial"/>
          <w:sz w:val="18"/>
          <w:szCs w:val="18"/>
          <w:color w:val="auto"/>
        </w:rPr>
      </w:pPr>
    </w:p>
    <w:p>
      <w:pPr>
        <w:ind w:left="1960" w:hanging="786"/>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operation, suspension, termination or amendment of the Plan.</w:t>
      </w:r>
    </w:p>
    <w:p>
      <w:pPr>
        <w:spacing w:after="0" w:line="185" w:lineRule="exact"/>
        <w:rPr>
          <w:sz w:val="20"/>
          <w:szCs w:val="20"/>
          <w:color w:val="auto"/>
        </w:rPr>
      </w:pPr>
    </w:p>
    <w:p>
      <w:pPr>
        <w:jc w:val="both"/>
        <w:ind w:right="660"/>
        <w:spacing w:after="0" w:line="268" w:lineRule="auto"/>
        <w:rPr>
          <w:sz w:val="20"/>
          <w:szCs w:val="20"/>
          <w:color w:val="auto"/>
        </w:rPr>
      </w:pPr>
      <w:r>
        <w:rPr>
          <w:rFonts w:ascii="Arial" w:cs="Arial" w:eastAsia="Arial" w:hAnsi="Arial"/>
          <w:sz w:val="18"/>
          <w:szCs w:val="18"/>
          <w:color w:val="auto"/>
        </w:rPr>
        <w:t>Any controversy or claim arising out of or relating to this Award Certificate and/or the NQ Option shall, to the fullest extent permitted by law, be settled by arbitration in any forum and form agreed upon by the parties or, in the absence of such an agreement, under the auspices of the American Arbitration Association (“AAA”) in Boston, Massachusetts, USA, in accordance with the rules and procedures of the AAA, including, but not limited to, the rules and procedures applicable to the selection of arbitrators. Judgment upon the award rendered by the arbitrator may be entered in any court having jurisdiction thereof.</w:t>
      </w:r>
    </w:p>
    <w:p>
      <w:pPr>
        <w:spacing w:after="0" w:line="200" w:lineRule="exact"/>
        <w:rPr>
          <w:sz w:val="20"/>
          <w:szCs w:val="20"/>
          <w:color w:val="auto"/>
        </w:rPr>
      </w:pPr>
    </w:p>
    <w:p>
      <w:pPr>
        <w:spacing w:after="0" w:line="208"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224790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720" w:top="1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2018 Plan Award Certificate – Non-Employee Director Non-Qualified Stock Option</w:t>
      </w:r>
    </w:p>
    <w:p>
      <w:pPr>
        <w:spacing w:after="0" w:line="2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may not be issued any Shares in respect of the NQ Option unless either (i) the Shares are registered under the Securities Act of 1933, as amended (the “Securities Act”); or (ii) the Company has determined that such issuance would be exempt from the registration requirements of the Securities Act. The NQ Option also must comply with other applicable laws and regulations governing the NQ Option, and you will not receive such Shares if the Company determines that such receipt would not be in material compliance with such laws and regulations.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has no duty or obligation to minimize the tax consequences to you of the NQ Option and will not be liable to you for any adverse tax consequences to you arising in connection with the NQ Option. You are advised to consult with your own personal tax, financial and/or legal advisors regarding the tax consequences of the NQ Option.</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This Award Certificate may not be modified or amended except in a writing signed by you and a duly authorized officer of the Company. Notwithstanding the foregoing, the Administrator reserves the right to modify or amend, by written notice to you, the terms of the NQ Option and/or this Award Certificate in any way it may deem necessary or advisable (i) as a result of any change in applicable laws or regulations, or any future law, regulation, ruling, or judicial decision, in each case applicable to the NQ Option, or (ii) for any other legal purpose,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 each case of (i) or (ii) above), no such modification or amendment shall adversely affect your rights under the NQ Option and/or this Award Certificate without your written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Alkermes plc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rPr>
          <w:sz w:val="20"/>
          <w:szCs w:val="20"/>
          <w:color w:val="auto"/>
        </w:rPr>
      </w:pPr>
      <w:r>
        <w:rPr>
          <w:rFonts w:ascii="Arial" w:cs="Arial" w:eastAsia="Arial" w:hAnsi="Arial"/>
          <w:sz w:val="18"/>
          <w:szCs w:val="18"/>
          <w:color w:val="auto"/>
        </w:rPr>
        <w:t>By:_________________ , _______________</w:t>
      </w: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 of 2</w:t>
      </w:r>
    </w:p>
    <w:p>
      <w:pPr>
        <w:sectPr>
          <w:pgSz w:w="11900" w:h="16838" w:orient="portrait"/>
          <w:cols w:equalWidth="0" w:num="1">
            <w:col w:w="10180"/>
          </w:cols>
          <w:pgMar w:left="720" w:top="292"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10.5</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2018 Plan Award Certificate – Non-Employee Director Restricted Stock Unit (Time-Vesting)</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Alkermes plc</w:t>
      </w:r>
    </w:p>
    <w:p>
      <w:pPr>
        <w:ind w:left="200"/>
        <w:spacing w:after="0" w:line="219" w:lineRule="auto"/>
        <w:rPr>
          <w:sz w:val="20"/>
          <w:szCs w:val="20"/>
          <w:color w:val="auto"/>
        </w:rPr>
      </w:pPr>
      <w:r>
        <w:rPr>
          <w:rFonts w:ascii="Arial" w:cs="Arial" w:eastAsia="Arial" w:hAnsi="Arial"/>
          <w:sz w:val="18"/>
          <w:szCs w:val="18"/>
          <w:color w:val="auto"/>
        </w:rPr>
        <w:t>Connaught House</w:t>
      </w:r>
    </w:p>
    <w:p>
      <w:pPr>
        <w:ind w:left="200"/>
        <w:spacing w:after="0" w:line="219" w:lineRule="auto"/>
        <w:rPr>
          <w:sz w:val="20"/>
          <w:szCs w:val="20"/>
          <w:color w:val="auto"/>
        </w:rPr>
      </w:pPr>
      <w:r>
        <w:rPr>
          <w:rFonts w:ascii="Arial" w:cs="Arial" w:eastAsia="Arial" w:hAnsi="Arial"/>
          <w:sz w:val="18"/>
          <w:szCs w:val="18"/>
          <w:color w:val="auto"/>
        </w:rPr>
        <w:t>1 Burlington Road</w:t>
      </w:r>
    </w:p>
    <w:p>
      <w:pPr>
        <w:ind w:left="200"/>
        <w:spacing w:after="0"/>
        <w:rPr>
          <w:sz w:val="20"/>
          <w:szCs w:val="20"/>
          <w:color w:val="auto"/>
        </w:rPr>
      </w:pPr>
      <w:r>
        <w:rPr>
          <w:rFonts w:ascii="Arial" w:cs="Arial" w:eastAsia="Arial" w:hAnsi="Arial"/>
          <w:sz w:val="18"/>
          <w:szCs w:val="18"/>
          <w:color w:val="auto"/>
        </w:rPr>
        <w:t>Dublin 4, Ireland</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2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938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Participant Name</w:t>
            </w:r>
          </w:p>
        </w:tc>
      </w:tr>
      <w:tr>
        <w:trPr>
          <w:trHeight w:val="337"/>
        </w:trPr>
        <w:tc>
          <w:tcPr>
            <w:tcW w:w="12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Address:</w:t>
            </w:r>
          </w:p>
        </w:tc>
        <w:tc>
          <w:tcPr>
            <w:tcW w:w="93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Participant Address</w:t>
            </w:r>
          </w:p>
        </w:tc>
      </w:tr>
      <w:tr>
        <w:trPr>
          <w:trHeight w:val="351"/>
        </w:trPr>
        <w:tc>
          <w:tcPr>
            <w:tcW w:w="12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Grant ID:</w:t>
            </w:r>
          </w:p>
        </w:tc>
        <w:tc>
          <w:tcPr>
            <w:tcW w:w="93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Grant ID</w:t>
            </w:r>
          </w:p>
        </w:tc>
      </w:tr>
      <w:tr>
        <w:trPr>
          <w:trHeight w:val="351"/>
        </w:trPr>
        <w:tc>
          <w:tcPr>
            <w:tcW w:w="12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Plan:</w:t>
            </w:r>
          </w:p>
        </w:tc>
        <w:tc>
          <w:tcPr>
            <w:tcW w:w="938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Plan ID</w:t>
            </w:r>
          </w:p>
        </w:tc>
      </w:tr>
      <w:tr>
        <w:trPr>
          <w:trHeight w:val="324"/>
        </w:trPr>
        <w:tc>
          <w:tcPr>
            <w:tcW w:w="12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ID:</w:t>
            </w:r>
          </w:p>
        </w:tc>
        <w:tc>
          <w:tcPr>
            <w:tcW w:w="938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Grantee ID</w:t>
            </w:r>
          </w:p>
        </w:tc>
      </w:tr>
    </w:tbl>
    <w:p>
      <w:pPr>
        <w:spacing w:after="0" w:line="175" w:lineRule="exact"/>
        <w:rPr>
          <w:sz w:val="20"/>
          <w:szCs w:val="20"/>
          <w:color w:val="auto"/>
        </w:rPr>
      </w:pPr>
    </w:p>
    <w:p>
      <w:pPr>
        <w:jc w:val="both"/>
        <w:ind w:left="200" w:right="660"/>
        <w:spacing w:after="0"/>
        <w:rPr>
          <w:sz w:val="20"/>
          <w:szCs w:val="20"/>
          <w:color w:val="auto"/>
        </w:rPr>
      </w:pPr>
      <w:r>
        <w:rPr>
          <w:rFonts w:ascii="Arial" w:cs="Arial" w:eastAsia="Arial" w:hAnsi="Arial"/>
          <w:sz w:val="18"/>
          <w:szCs w:val="18"/>
          <w:color w:val="auto"/>
        </w:rPr>
        <w:t>Effective [Grant Date] (the “Grant Date”), you have been granted a time-vesting restricted stock unit award (the "RSU"). The RSU is for a total of [Award Grant Amount] ordinary shares, par value $0.01 per share (the “Shares”), of Alkermes plc (the “Company”).</w:t>
      </w:r>
    </w:p>
    <w:p>
      <w:pPr>
        <w:spacing w:after="0" w:line="203" w:lineRule="exact"/>
        <w:rPr>
          <w:sz w:val="20"/>
          <w:szCs w:val="20"/>
          <w:color w:val="auto"/>
        </w:rPr>
      </w:pPr>
    </w:p>
    <w:p>
      <w:pPr>
        <w:jc w:val="both"/>
        <w:ind w:left="200" w:right="660"/>
        <w:spacing w:after="0" w:line="238" w:lineRule="auto"/>
        <w:rPr>
          <w:sz w:val="20"/>
          <w:szCs w:val="20"/>
          <w:color w:val="auto"/>
        </w:rPr>
      </w:pPr>
      <w:r>
        <w:rPr>
          <w:rFonts w:ascii="Arial" w:cs="Arial" w:eastAsia="Arial" w:hAnsi="Arial"/>
          <w:sz w:val="18"/>
          <w:szCs w:val="18"/>
          <w:color w:val="auto"/>
        </w:rPr>
        <w:t>The RSU was granted under the Alkermes plc 2018 Stock Option and Incentive Plan (the “Plan”) and is governed by the terms and conditions thereof and of this award certificate (this “Award Certificate”). A copy of the Plan is available upon request. Unless otherwise defined in this Award Certificate, all capitalized terms used in this Award Certificate shall have the respective meanings ascribed to them in the Plan.</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Vesting details for the RSU are available via your Bank of America Merrill Lynch Benefits Online account.</w:t>
      </w:r>
    </w:p>
    <w:p>
      <w:pPr>
        <w:spacing w:after="0" w:line="212" w:lineRule="exact"/>
        <w:rPr>
          <w:sz w:val="20"/>
          <w:szCs w:val="20"/>
          <w:color w:val="auto"/>
        </w:rPr>
      </w:pPr>
    </w:p>
    <w:p>
      <w:pPr>
        <w:jc w:val="both"/>
        <w:ind w:left="200" w:right="660"/>
        <w:spacing w:after="0" w:line="237" w:lineRule="auto"/>
        <w:rPr>
          <w:sz w:val="20"/>
          <w:szCs w:val="20"/>
          <w:color w:val="auto"/>
        </w:rPr>
      </w:pPr>
      <w:r>
        <w:rPr>
          <w:rFonts w:ascii="Arial" w:cs="Arial" w:eastAsia="Arial" w:hAnsi="Arial"/>
          <w:sz w:val="18"/>
          <w:szCs w:val="18"/>
          <w:color w:val="auto"/>
        </w:rPr>
        <w:t>You must be in a service relationship with the Company on each vesting date in order to receive the Shares that vest on each such date. The Company will deliver to you a number of Shares equal to the number of vested Shares underlying your RSU, subject to the satisfaction of tax withholding obligations as set forth in the Plan, within three business days of each applicable vesting date. Delivery of the Shares in settlement of your RSU is intended to comply with the requirements for the short-term deferral exemption available under Treasury Regulations Section 1.409A-1(b)(4) and shall be construed and administered in such manner.</w:t>
      </w:r>
    </w:p>
    <w:p>
      <w:pPr>
        <w:spacing w:after="0" w:line="205" w:lineRule="exact"/>
        <w:rPr>
          <w:sz w:val="20"/>
          <w:szCs w:val="20"/>
          <w:color w:val="auto"/>
        </w:rPr>
      </w:pPr>
    </w:p>
    <w:p>
      <w:pPr>
        <w:jc w:val="both"/>
        <w:ind w:left="200" w:right="660"/>
        <w:spacing w:after="0" w:line="246" w:lineRule="auto"/>
        <w:rPr>
          <w:sz w:val="20"/>
          <w:szCs w:val="20"/>
          <w:color w:val="auto"/>
        </w:rPr>
      </w:pPr>
      <w:r>
        <w:rPr>
          <w:rFonts w:ascii="Arial" w:cs="Arial" w:eastAsia="Arial" w:hAnsi="Arial"/>
          <w:sz w:val="18"/>
          <w:szCs w:val="18"/>
          <w:color w:val="auto"/>
        </w:rPr>
        <w:t>In the event of the termination of your service relationship with the Company, the RSU shall automatically vest in full, effective upon such termination.</w:t>
      </w:r>
    </w:p>
    <w:p>
      <w:pPr>
        <w:spacing w:after="0" w:line="170" w:lineRule="exact"/>
        <w:rPr>
          <w:sz w:val="20"/>
          <w:szCs w:val="20"/>
          <w:color w:val="auto"/>
        </w:rPr>
      </w:pPr>
    </w:p>
    <w:p>
      <w:pPr>
        <w:jc w:val="both"/>
        <w:ind w:left="200" w:right="660"/>
        <w:spacing w:after="0"/>
        <w:rPr>
          <w:sz w:val="20"/>
          <w:szCs w:val="20"/>
          <w:color w:val="auto"/>
        </w:rPr>
      </w:pPr>
      <w:r>
        <w:rPr>
          <w:rFonts w:ascii="Arial" w:cs="Arial" w:eastAsia="Arial" w:hAnsi="Arial"/>
          <w:sz w:val="18"/>
          <w:szCs w:val="18"/>
          <w:color w:val="auto"/>
        </w:rPr>
        <w:t>The grant of the RSU does not infer any right to, or expectation of, the grant of any additional Awards on the same basis or at all, in any future year. Participation in the Plan shall in no way give you any rights to compensation for any claim of loss in relation to the Plan, including without limitation:</w:t>
      </w:r>
    </w:p>
    <w:p>
      <w:pPr>
        <w:spacing w:after="0" w:line="176" w:lineRule="exact"/>
        <w:rPr>
          <w:sz w:val="20"/>
          <w:szCs w:val="20"/>
          <w:color w:val="auto"/>
        </w:rPr>
      </w:pPr>
    </w:p>
    <w:p>
      <w:pPr>
        <w:ind w:left="2160" w:right="1160" w:hanging="786"/>
        <w:spacing w:after="0" w:line="246" w:lineRule="auto"/>
        <w:tabs>
          <w:tab w:leader="none" w:pos="2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loss or reduction of any rights or expectations under the Plan in any circumstances or for any reason;</w:t>
      </w:r>
    </w:p>
    <w:p>
      <w:pPr>
        <w:spacing w:after="0" w:line="156" w:lineRule="exact"/>
        <w:rPr>
          <w:rFonts w:ascii="Arial" w:cs="Arial" w:eastAsia="Arial" w:hAnsi="Arial"/>
          <w:sz w:val="18"/>
          <w:szCs w:val="18"/>
          <w:color w:val="auto"/>
        </w:rPr>
      </w:pPr>
    </w:p>
    <w:p>
      <w:pPr>
        <w:ind w:left="2160" w:right="860" w:hanging="786"/>
        <w:spacing w:after="0" w:line="235" w:lineRule="auto"/>
        <w:tabs>
          <w:tab w:leader="none" w:pos="2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exercise of a discretion or a decision taken in relation to an Award or to the Plan, or any failure to exercise a discretion or take a decision; or</w:t>
      </w:r>
    </w:p>
    <w:p>
      <w:pPr>
        <w:spacing w:after="0" w:line="202" w:lineRule="exact"/>
        <w:rPr>
          <w:rFonts w:ascii="Arial" w:cs="Arial" w:eastAsia="Arial" w:hAnsi="Arial"/>
          <w:sz w:val="18"/>
          <w:szCs w:val="18"/>
          <w:color w:val="auto"/>
        </w:rPr>
      </w:pPr>
    </w:p>
    <w:p>
      <w:pPr>
        <w:ind w:left="2160" w:hanging="786"/>
        <w:spacing w:after="0"/>
        <w:tabs>
          <w:tab w:leader="none" w:pos="2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operation, suspension, termination or amendment of the Plan.</w:t>
      </w:r>
    </w:p>
    <w:p>
      <w:pPr>
        <w:spacing w:after="0" w:line="185" w:lineRule="exact"/>
        <w:rPr>
          <w:sz w:val="20"/>
          <w:szCs w:val="20"/>
          <w:color w:val="auto"/>
        </w:rPr>
      </w:pPr>
    </w:p>
    <w:p>
      <w:pPr>
        <w:jc w:val="both"/>
        <w:ind w:left="200" w:right="660"/>
        <w:spacing w:after="0" w:line="268" w:lineRule="auto"/>
        <w:rPr>
          <w:sz w:val="20"/>
          <w:szCs w:val="20"/>
          <w:color w:val="auto"/>
        </w:rPr>
      </w:pPr>
      <w:r>
        <w:rPr>
          <w:rFonts w:ascii="Arial" w:cs="Arial" w:eastAsia="Arial" w:hAnsi="Arial"/>
          <w:sz w:val="18"/>
          <w:szCs w:val="18"/>
          <w:color w:val="auto"/>
        </w:rPr>
        <w:t>Any controversy or claim arising out of or relating to this Award Certificate and/or the RSU shall, to the fullest extent permitted by law, be settled by arbitration in any forum and form agreed upon by the parties or, in the absence of such an agreement, under the auspices of the American Arbitration Association (“AAA”) in Boston, Massachusetts, USA, in accordance with the rules and procedures of the AAA, including, but not limited to, the rules and procedures applicable to the selection of arbitrators. Judgment upon the award rendered by the arbitrator may be entered in any court having jurisdiction thereof.</w:t>
      </w:r>
    </w:p>
    <w:p>
      <w:pPr>
        <w:spacing w:after="0" w:line="200" w:lineRule="exact"/>
        <w:rPr>
          <w:sz w:val="20"/>
          <w:szCs w:val="20"/>
          <w:color w:val="auto"/>
        </w:rPr>
      </w:pPr>
    </w:p>
    <w:p>
      <w:pPr>
        <w:spacing w:after="0" w:line="208"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224790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520" w:top="10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2018 Plan Award Certificate – Non-Employee Director Restricted Stock Unit (Time-Vesting)</w:t>
      </w:r>
    </w:p>
    <w:p>
      <w:pPr>
        <w:spacing w:after="0" w:line="2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may not be issued any Shares in respect of the RSU unless either (i) the Shares are registered under the Securities Act of 1933, as amended (the “Securities Act”); or (ii) the Company has determined that such issuance would be exempt from the registration requirements of the Securities Act. The RSU also must comply with other applicable laws and regulations governing the RSU, and you will not receive such Shares if the Company determines that such receipt would not be in material compliance with such laws and regulations.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has no duty or obligation to minimize the tax consequences to you of the RSU and will not be liable to you for any adverse tax consequences to you arising in connection with the RSU. You are advised to consult with your own personal tax, financial and/or legal advisors regarding the tax consequences of the RSU.</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Award Certificate may not be modified or amended except in a writing signed by you and a duly authorized officer of the Company. Notwithstanding the foregoing, the Administrator reserves the right to modify or amend, by written notice to you, the terms of the RSU and/or this Award Certificate in any way it may deem necessary or advisable (i) as a result of any change in applicable laws or regulations, or any future law, regulation, ruling, or judicial decision, in each case applicable to the RSU, or</w:t>
      </w:r>
    </w:p>
    <w:p>
      <w:pPr>
        <w:spacing w:after="0" w:line="2" w:lineRule="exact"/>
        <w:rPr>
          <w:sz w:val="20"/>
          <w:szCs w:val="20"/>
          <w:color w:val="auto"/>
        </w:rPr>
      </w:pPr>
    </w:p>
    <w:p>
      <w:pPr>
        <w:spacing w:after="0" w:line="292" w:lineRule="auto"/>
        <w:tabs>
          <w:tab w:leader="none" w:pos="2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for any other legal purpose,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 each case of (i) or (ii) above), no such modification or amendment shall adversely affect your rights under the RSU and/or this Award Certificate without your written consent.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Alkermes plc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rPr>
          <w:sz w:val="20"/>
          <w:szCs w:val="20"/>
          <w:color w:val="auto"/>
        </w:rPr>
      </w:pPr>
      <w:r>
        <w:rPr>
          <w:rFonts w:ascii="Arial" w:cs="Arial" w:eastAsia="Arial" w:hAnsi="Arial"/>
          <w:sz w:val="18"/>
          <w:szCs w:val="18"/>
          <w:color w:val="auto"/>
        </w:rPr>
        <w:t>By:_________________ , _______________</w:t>
      </w: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 of 2</w:t>
      </w:r>
    </w:p>
    <w:p>
      <w:pPr>
        <w:sectPr>
          <w:pgSz w:w="11900" w:h="16838" w:orient="portrait"/>
          <w:cols w:equalWidth="0" w:num="1">
            <w:col w:w="10180"/>
          </w:cols>
          <w:pgMar w:left="720" w:top="292"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10.6</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2018 Plan Award Certificate – Restricted Stock Unit (Performance-Vesting)</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Alkermes plc</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Connaught House</w:t>
      </w:r>
    </w:p>
    <w:p>
      <w:pPr>
        <w:ind w:left="100"/>
        <w:spacing w:after="0" w:line="197" w:lineRule="auto"/>
        <w:rPr>
          <w:sz w:val="20"/>
          <w:szCs w:val="20"/>
          <w:color w:val="auto"/>
        </w:rPr>
      </w:pPr>
      <w:r>
        <w:rPr>
          <w:rFonts w:ascii="Arial" w:cs="Arial" w:eastAsia="Arial" w:hAnsi="Arial"/>
          <w:sz w:val="20"/>
          <w:szCs w:val="20"/>
          <w:color w:val="auto"/>
        </w:rPr>
        <w:t>1 Burlington Road</w:t>
      </w:r>
    </w:p>
    <w:p>
      <w:pPr>
        <w:ind w:left="100"/>
        <w:spacing w:after="0"/>
        <w:rPr>
          <w:sz w:val="20"/>
          <w:szCs w:val="20"/>
          <w:color w:val="auto"/>
        </w:rPr>
      </w:pPr>
      <w:r>
        <w:rPr>
          <w:rFonts w:ascii="Arial" w:cs="Arial" w:eastAsia="Arial" w:hAnsi="Arial"/>
          <w:sz w:val="20"/>
          <w:szCs w:val="20"/>
          <w:color w:val="auto"/>
        </w:rPr>
        <w:t>Dublin 4, Ireland</w:t>
      </w:r>
    </w:p>
    <w:p>
      <w:pPr>
        <w:spacing w:after="0" w:line="128"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2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20"/>
                <w:szCs w:val="20"/>
                <w:color w:val="auto"/>
              </w:rPr>
              <w:t>Name:</w:t>
            </w:r>
          </w:p>
        </w:tc>
        <w:tc>
          <w:tcPr>
            <w:tcW w:w="942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20"/>
                <w:szCs w:val="20"/>
                <w:color w:val="auto"/>
              </w:rPr>
              <w:t>Participant Name</w:t>
            </w:r>
          </w:p>
        </w:tc>
      </w:tr>
      <w:tr>
        <w:trPr>
          <w:trHeight w:val="307"/>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Address:</w:t>
            </w:r>
          </w:p>
        </w:tc>
        <w:tc>
          <w:tcPr>
            <w:tcW w:w="9420" w:type="dxa"/>
            <w:vAlign w:val="bottom"/>
            <w:tcBorders>
              <w:right w:val="single" w:sz="8" w:color="auto"/>
            </w:tcBorders>
          </w:tcPr>
          <w:p>
            <w:pPr>
              <w:ind w:left="500"/>
              <w:spacing w:after="0"/>
              <w:rPr>
                <w:sz w:val="20"/>
                <w:szCs w:val="20"/>
                <w:color w:val="auto"/>
              </w:rPr>
            </w:pPr>
            <w:r>
              <w:rPr>
                <w:rFonts w:ascii="Arial" w:cs="Arial" w:eastAsia="Arial" w:hAnsi="Arial"/>
                <w:sz w:val="20"/>
                <w:szCs w:val="20"/>
                <w:color w:val="auto"/>
              </w:rPr>
              <w:t>Participant Address</w:t>
            </w:r>
          </w:p>
        </w:tc>
      </w:tr>
      <w:tr>
        <w:trPr>
          <w:trHeight w:val="35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Grant ID:</w:t>
            </w:r>
          </w:p>
        </w:tc>
        <w:tc>
          <w:tcPr>
            <w:tcW w:w="9420" w:type="dxa"/>
            <w:vAlign w:val="bottom"/>
            <w:tcBorders>
              <w:right w:val="single" w:sz="8" w:color="auto"/>
            </w:tcBorders>
          </w:tcPr>
          <w:p>
            <w:pPr>
              <w:ind w:left="500"/>
              <w:spacing w:after="0"/>
              <w:rPr>
                <w:sz w:val="20"/>
                <w:szCs w:val="20"/>
                <w:color w:val="auto"/>
              </w:rPr>
            </w:pPr>
            <w:r>
              <w:rPr>
                <w:rFonts w:ascii="Arial" w:cs="Arial" w:eastAsia="Arial" w:hAnsi="Arial"/>
                <w:sz w:val="20"/>
                <w:szCs w:val="20"/>
                <w:color w:val="auto"/>
              </w:rPr>
              <w:t>Grant ID</w:t>
            </w:r>
          </w:p>
        </w:tc>
      </w:tr>
      <w:tr>
        <w:trPr>
          <w:trHeight w:val="35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Plan:</w:t>
            </w:r>
          </w:p>
        </w:tc>
        <w:tc>
          <w:tcPr>
            <w:tcW w:w="9420" w:type="dxa"/>
            <w:vAlign w:val="bottom"/>
            <w:tcBorders>
              <w:right w:val="single" w:sz="8" w:color="auto"/>
            </w:tcBorders>
          </w:tcPr>
          <w:p>
            <w:pPr>
              <w:ind w:left="500"/>
              <w:spacing w:after="0"/>
              <w:rPr>
                <w:sz w:val="20"/>
                <w:szCs w:val="20"/>
                <w:color w:val="auto"/>
              </w:rPr>
            </w:pPr>
            <w:r>
              <w:rPr>
                <w:rFonts w:ascii="Arial" w:cs="Arial" w:eastAsia="Arial" w:hAnsi="Arial"/>
                <w:sz w:val="20"/>
                <w:szCs w:val="20"/>
                <w:color w:val="auto"/>
              </w:rPr>
              <w:t>Plan ID</w:t>
            </w:r>
          </w:p>
        </w:tc>
      </w:tr>
      <w:tr>
        <w:trPr>
          <w:trHeight w:val="320"/>
        </w:trPr>
        <w:tc>
          <w:tcPr>
            <w:tcW w:w="1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ID:</w:t>
            </w:r>
          </w:p>
        </w:tc>
        <w:tc>
          <w:tcPr>
            <w:tcW w:w="942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20"/>
                <w:szCs w:val="20"/>
                <w:color w:val="auto"/>
              </w:rPr>
              <w:t>Grantee ID</w:t>
            </w:r>
          </w:p>
        </w:tc>
      </w:tr>
    </w:tbl>
    <w:p>
      <w:pPr>
        <w:spacing w:after="0" w:line="172" w:lineRule="exact"/>
        <w:rPr>
          <w:sz w:val="20"/>
          <w:szCs w:val="20"/>
          <w:color w:val="auto"/>
        </w:rPr>
      </w:pPr>
    </w:p>
    <w:p>
      <w:pPr>
        <w:jc w:val="both"/>
        <w:ind w:left="100" w:right="1240"/>
        <w:spacing w:after="0" w:line="250" w:lineRule="auto"/>
        <w:rPr>
          <w:sz w:val="20"/>
          <w:szCs w:val="20"/>
          <w:color w:val="auto"/>
        </w:rPr>
      </w:pPr>
      <w:r>
        <w:rPr>
          <w:rFonts w:ascii="Arial" w:cs="Arial" w:eastAsia="Arial" w:hAnsi="Arial"/>
          <w:sz w:val="20"/>
          <w:szCs w:val="20"/>
          <w:color w:val="auto"/>
        </w:rPr>
        <w:t>Effective [Grant Date] (the “Grant Date”), you have been granted a performance-vesting restricted stock unit award (the “PRSU”). The PRSU is for a total of [Award Grant Amount] ordinary shares, par value $0.01 per share (the “Shares”), of Alkermes plc (the “Company”).</w:t>
      </w:r>
    </w:p>
    <w:p>
      <w:pPr>
        <w:spacing w:after="0" w:line="186" w:lineRule="exact"/>
        <w:rPr>
          <w:sz w:val="20"/>
          <w:szCs w:val="20"/>
          <w:color w:val="auto"/>
        </w:rPr>
      </w:pPr>
    </w:p>
    <w:p>
      <w:pPr>
        <w:ind w:left="100" w:right="700"/>
        <w:spacing w:after="0" w:line="263" w:lineRule="auto"/>
        <w:rPr>
          <w:sz w:val="20"/>
          <w:szCs w:val="20"/>
          <w:color w:val="auto"/>
        </w:rPr>
      </w:pPr>
      <w:r>
        <w:rPr>
          <w:rFonts w:ascii="Arial" w:cs="Arial" w:eastAsia="Arial" w:hAnsi="Arial"/>
          <w:sz w:val="19"/>
          <w:szCs w:val="19"/>
          <w:color w:val="auto"/>
        </w:rPr>
        <w:t>The PRSU was granted under the Alkermes plc 2018 Stock Option and Incentive Plan (the “Plan”) and is governed by the terms and conditions thereof and of this award certificate (this “Award Certificate”). A copy of the Plan is posted on your local human resources page of the Company’s website. Unless otherwise defined in this Award Certificate, all capitalized terms used in this Award Certificate shall have the respective meanings ascribed to them in the Plan.</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20"/>
          <w:szCs w:val="20"/>
          <w:color w:val="auto"/>
        </w:rPr>
        <w:t xml:space="preserve">Vesting details for the PRSU are as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to this certificate.</w:t>
      </w:r>
    </w:p>
    <w:p>
      <w:pPr>
        <w:spacing w:after="0" w:line="202" w:lineRule="exact"/>
        <w:rPr>
          <w:sz w:val="20"/>
          <w:szCs w:val="20"/>
          <w:color w:val="auto"/>
        </w:rPr>
      </w:pPr>
    </w:p>
    <w:p>
      <w:pPr>
        <w:ind w:left="100" w:right="660"/>
        <w:spacing w:after="0" w:line="260" w:lineRule="auto"/>
        <w:rPr>
          <w:sz w:val="20"/>
          <w:szCs w:val="20"/>
          <w:color w:val="auto"/>
        </w:rPr>
      </w:pPr>
      <w:r>
        <w:rPr>
          <w:rFonts w:ascii="Arial" w:cs="Arial" w:eastAsia="Arial" w:hAnsi="Arial"/>
          <w:sz w:val="19"/>
          <w:szCs w:val="19"/>
          <w:color w:val="auto"/>
        </w:rPr>
        <w:t>You must be employed by the Company on each vesting date in order to receive the Shares that vest on each such date. For purposes of the PRSU, and as set forth in Section 14 of the Plan, you will continue to be deemed employed by the Company for so long as you (x) remain employed by the Company or any Subsidiary, regardless of any transfer between the Company or such Subsidiary or between Subsidiaries, or any transfer from one eligibility category under Section 4 of the Plan to another, or (y) are on an approved leave of absence from the Company or any Subsidiary.</w:t>
      </w:r>
    </w:p>
    <w:p>
      <w:pPr>
        <w:spacing w:after="0" w:line="194" w:lineRule="exact"/>
        <w:rPr>
          <w:sz w:val="20"/>
          <w:szCs w:val="20"/>
          <w:color w:val="auto"/>
        </w:rPr>
      </w:pPr>
    </w:p>
    <w:p>
      <w:pPr>
        <w:ind w:left="80" w:right="720"/>
        <w:spacing w:after="0" w:line="321" w:lineRule="auto"/>
        <w:rPr>
          <w:sz w:val="20"/>
          <w:szCs w:val="20"/>
          <w:color w:val="auto"/>
        </w:rPr>
      </w:pPr>
      <w:r>
        <w:rPr>
          <w:rFonts w:ascii="Arial" w:cs="Arial" w:eastAsia="Arial" w:hAnsi="Arial"/>
          <w:sz w:val="16"/>
          <w:szCs w:val="16"/>
          <w:color w:val="auto"/>
        </w:rPr>
        <w:t>No portion of the PRSU shall vest prior to the one-year anniversary of the Grant Date, except as set forth in Section 7(a) of the Plan. Subject to this exception, if a vesting event or milestone is achieved and the compensation committee of the Company’s board of directors acknowledges and recognizes the achievement of such vesting event or milestone during the 12-month period between the Grant Date and the one year anniversary of the Grant Date, the portion of the Shares subject to such vesting event or milestone shall vest on the first business day immediately following the one year anniversary of the Grant Date.</w:t>
      </w:r>
    </w:p>
    <w:p>
      <w:pPr>
        <w:spacing w:after="0" w:line="147" w:lineRule="exact"/>
        <w:rPr>
          <w:sz w:val="20"/>
          <w:szCs w:val="20"/>
          <w:color w:val="auto"/>
        </w:rPr>
      </w:pPr>
    </w:p>
    <w:p>
      <w:pPr>
        <w:ind w:left="100" w:right="680"/>
        <w:spacing w:after="0" w:line="244" w:lineRule="auto"/>
        <w:rPr>
          <w:sz w:val="20"/>
          <w:szCs w:val="20"/>
          <w:color w:val="auto"/>
        </w:rPr>
      </w:pPr>
      <w:r>
        <w:rPr>
          <w:rFonts w:ascii="Arial" w:cs="Arial" w:eastAsia="Arial" w:hAnsi="Arial"/>
          <w:sz w:val="20"/>
          <w:szCs w:val="20"/>
          <w:color w:val="auto"/>
        </w:rPr>
        <w:t>The Company will deliver to you a number of Shares equal to the number of vested Shares underlying your PRSU, subject to the satisfaction of tax withholding obligations as set forth in the Plan, within three business days of each applicable vesting date. Delivery of the Shares in settlement of your PRSU is intended to comply with the requirements for the short-term deferral exemption available under Treasury Regulations Section 1.409A-1(b)(4) and shall be construed and administered in such manner.</w:t>
      </w:r>
    </w:p>
    <w:p>
      <w:pPr>
        <w:spacing w:after="0" w:line="208" w:lineRule="exact"/>
        <w:rPr>
          <w:sz w:val="20"/>
          <w:szCs w:val="20"/>
          <w:color w:val="auto"/>
        </w:rPr>
      </w:pPr>
    </w:p>
    <w:p>
      <w:pPr>
        <w:ind w:left="100" w:right="960"/>
        <w:spacing w:after="0" w:line="287" w:lineRule="auto"/>
        <w:rPr>
          <w:sz w:val="20"/>
          <w:szCs w:val="20"/>
          <w:color w:val="auto"/>
        </w:rPr>
      </w:pPr>
      <w:r>
        <w:rPr>
          <w:rFonts w:ascii="Arial" w:cs="Arial" w:eastAsia="Arial" w:hAnsi="Arial"/>
          <w:sz w:val="19"/>
          <w:szCs w:val="19"/>
          <w:color w:val="auto"/>
        </w:rPr>
        <w:t>In the event of the termination of your employment with the Company by reason of death or permanent disability prior to the end of the PRSU’s performance period, the PRSU shall vest as follows at the end of the performance period:</w:t>
      </w:r>
    </w:p>
    <w:p>
      <w:pPr>
        <w:spacing w:after="0" w:line="166" w:lineRule="exact"/>
        <w:rPr>
          <w:sz w:val="20"/>
          <w:szCs w:val="20"/>
          <w:color w:val="auto"/>
        </w:rPr>
      </w:pPr>
    </w:p>
    <w:p>
      <w:pPr>
        <w:ind w:left="2060" w:right="1340" w:hanging="786"/>
        <w:spacing w:after="0" w:line="260" w:lineRule="auto"/>
        <w:tabs>
          <w:tab w:leader="none" w:pos="2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if the termination of employment due to death or permanent disability occurs in a calendar year subsequent to the calendar year in which the Grant Date falls, you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483235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620" w:top="121" w:right="33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2018 Plan Award Certificate – Restricted Stock Unit (Performance-Vesting)</w:t>
      </w:r>
    </w:p>
    <w:p>
      <w:pPr>
        <w:spacing w:after="0" w:line="235" w:lineRule="exact"/>
        <w:rPr>
          <w:sz w:val="20"/>
          <w:szCs w:val="20"/>
          <w:color w:val="auto"/>
        </w:rPr>
      </w:pPr>
    </w:p>
    <w:p>
      <w:pPr>
        <w:ind w:left="1960" w:right="200"/>
        <w:spacing w:after="0" w:line="250" w:lineRule="auto"/>
        <w:rPr>
          <w:sz w:val="20"/>
          <w:szCs w:val="20"/>
          <w:color w:val="auto"/>
        </w:rPr>
      </w:pPr>
      <w:r>
        <w:rPr>
          <w:rFonts w:ascii="Arial" w:cs="Arial" w:eastAsia="Arial" w:hAnsi="Arial"/>
          <w:sz w:val="20"/>
          <w:szCs w:val="20"/>
          <w:color w:val="auto"/>
        </w:rPr>
        <w:t>be entitled to the full amount of the PRSU to which you would otherwise have been entitled absent such termination, if any, as determined based on the terms of the PRSU at the end of the performance period; and</w:t>
      </w:r>
    </w:p>
    <w:p>
      <w:pPr>
        <w:spacing w:after="0" w:line="199" w:lineRule="exact"/>
        <w:rPr>
          <w:sz w:val="20"/>
          <w:szCs w:val="20"/>
          <w:color w:val="auto"/>
        </w:rPr>
      </w:pPr>
    </w:p>
    <w:p>
      <w:pPr>
        <w:ind w:left="1960" w:hanging="786"/>
        <w:spacing w:after="0" w:line="257" w:lineRule="auto"/>
        <w:tabs>
          <w:tab w:leader="none" w:pos="19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if the termination of employment due to death or permanent disability occurs in the calendar year in which the Grant Date falls, then you will be entitled to a pro-rata amount of the PRSU to which you would have otherwise been entitled absent such termination, if any, as determined based on the terms of the PRSU at the end of the performance period, with such pro-rated amount equal to the product of the full amount to which you would otherwise have been entitled multiplied by the fraction which has as its numerator the number of full months of employment completed in the calendar year in which such termination of employment due to death or disability occurs, and has as its denominator 36 (being the number of months in the performance period).</w:t>
      </w:r>
    </w:p>
    <w:p>
      <w:pPr>
        <w:spacing w:after="0" w:line="153"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grant of the PRSU does not infer any right to, or expectation of, the grant of any additional Awards on the same basis or at all, in any future year. Participation in the Plan shall in no way give you any rights to compensation for any claim of loss in relation to the Plan, including without limitation:</w:t>
      </w:r>
    </w:p>
    <w:p>
      <w:pPr>
        <w:spacing w:after="0" w:line="159" w:lineRule="exact"/>
        <w:rPr>
          <w:sz w:val="20"/>
          <w:szCs w:val="20"/>
          <w:color w:val="auto"/>
        </w:rPr>
      </w:pPr>
    </w:p>
    <w:p>
      <w:pPr>
        <w:ind w:left="1960" w:right="540" w:hanging="786"/>
        <w:spacing w:after="0" w:line="287" w:lineRule="auto"/>
        <w:tabs>
          <w:tab w:leader="none" w:pos="19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any loss or reduction of any rights or expectations under the Plan in any circumstances or for any reason (including lawful or unlawful termination of an employment relationship);</w:t>
      </w:r>
    </w:p>
    <w:p>
      <w:pPr>
        <w:spacing w:after="0" w:line="111" w:lineRule="exact"/>
        <w:rPr>
          <w:rFonts w:ascii="Arial" w:cs="Arial" w:eastAsia="Arial" w:hAnsi="Arial"/>
          <w:sz w:val="19"/>
          <w:szCs w:val="19"/>
          <w:color w:val="auto"/>
        </w:rPr>
      </w:pPr>
    </w:p>
    <w:p>
      <w:pPr>
        <w:ind w:left="1960" w:right="200" w:hanging="786"/>
        <w:spacing w:after="0" w:line="229" w:lineRule="auto"/>
        <w:tabs>
          <w:tab w:leader="none" w:pos="19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any exercise of a discretion or a decision taken in relation to an Award or to the Plan, or any failure to exercise a discretion or take a decision; or</w:t>
      </w:r>
    </w:p>
    <w:p>
      <w:pPr>
        <w:spacing w:after="0" w:line="182" w:lineRule="exact"/>
        <w:rPr>
          <w:rFonts w:ascii="Arial" w:cs="Arial" w:eastAsia="Arial" w:hAnsi="Arial"/>
          <w:sz w:val="20"/>
          <w:szCs w:val="20"/>
          <w:color w:val="auto"/>
        </w:rPr>
      </w:pPr>
    </w:p>
    <w:p>
      <w:pPr>
        <w:ind w:left="1960" w:hanging="786"/>
        <w:spacing w:after="0"/>
        <w:tabs>
          <w:tab w:leader="none" w:pos="19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operation, suspension, termination or amendment of the Plan.</w:t>
      </w:r>
    </w:p>
    <w:p>
      <w:pPr>
        <w:spacing w:after="0" w:line="175"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 xml:space="preserve">Any controversy or claim arising out of or relating to this Award Certificate and/or the PRSU shall, to the fullest extent permitted by law, be settled by arbitration in any forum and form agreed upon by the parties or, in the absence of such an agreement, under the auspices of the American Arbitration Association (“AAA”) in Boston, Massachusetts, USA, in accordance with the </w:t>
      </w:r>
      <w:r>
        <w:rPr>
          <w:rFonts w:ascii="Arial" w:cs="Arial" w:eastAsia="Arial" w:hAnsi="Arial"/>
          <w:sz w:val="20"/>
          <w:szCs w:val="20"/>
          <w:i w:val="1"/>
          <w:iCs w:val="1"/>
          <w:color w:val="auto"/>
        </w:rPr>
        <w:t>Employment Arbitration Rules and Mediation Procedures</w:t>
      </w:r>
      <w:r>
        <w:rPr>
          <w:rFonts w:ascii="Arial" w:cs="Arial" w:eastAsia="Arial" w:hAnsi="Arial"/>
          <w:sz w:val="20"/>
          <w:szCs w:val="20"/>
          <w:color w:val="auto"/>
        </w:rPr>
        <w:t xml:space="preserve"> of the AAA, including, but not limited to, the rules and procedures applicable to the selection of arbitrators. Judgment upon the award rendered by the arbitrator may be entered in any court having jurisdiction thereof.</w:t>
      </w:r>
    </w:p>
    <w:p>
      <w:pPr>
        <w:spacing w:after="0" w:line="209"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You may not be issued any Shares in respect of the PRSU unless either (i) the Shares are registered under the Securities Act of 1933, as amended (the “Securities Act”); or (ii) the Company has determined that such issuance would be exempt from the registration requirements of the Securities Act. The PRSU also must comply with other applicable laws and regulations governing the PRSU, and you will not receive such Shares if the Company determines that such receipt would not be in material compliance with such laws and regulations.</w:t>
      </w:r>
    </w:p>
    <w:p>
      <w:pPr>
        <w:spacing w:after="0" w:line="208"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The Company has no duty or obligation to minimize the tax consequences to you of the PRSU and will not be liable to you for any adverse tax consequences to you arising in connection with the PRSU. You are advised to consult with your own personal tax, financial and/or legal advisors regarding the tax consequences of the PRSU.</w:t>
      </w:r>
    </w:p>
    <w:p>
      <w:pPr>
        <w:spacing w:after="0" w:line="19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This Award Certificate may not be modified or amended except in a writing signed by you and a duly authorized officer of the Company. Notwithstanding the foregoing, the Administrator reserves the right to modify or amend, by written notice to you, the terms of the PRSU and/or this Award Certificate in any way it may deem necessary or advisable (i) as a result of any change in applicable laws or regulations,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448945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80"/>
          </w:cols>
          <w:pgMar w:left="720" w:top="292" w:right="999"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color w:val="auto"/>
        </w:rPr>
        <w:t>2018 Plan Award Certificate – Restricted Stock Unit (Performance-Vesting)</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any future law, regulation, ruling, or judicial decision, in each case applicable to the PRSU, or (ii) for any other legal purpose, </w:t>
      </w:r>
      <w:r>
        <w:rPr>
          <w:rFonts w:ascii="Arial" w:cs="Arial" w:eastAsia="Arial" w:hAnsi="Arial"/>
          <w:sz w:val="20"/>
          <w:szCs w:val="20"/>
          <w:i w:val="1"/>
          <w:iCs w:val="1"/>
          <w:color w:val="auto"/>
        </w:rPr>
        <w:t xml:space="preserve">provided that </w:t>
      </w:r>
      <w:r>
        <w:rPr>
          <w:rFonts w:ascii="Arial" w:cs="Arial" w:eastAsia="Arial" w:hAnsi="Arial"/>
          <w:sz w:val="20"/>
          <w:szCs w:val="20"/>
          <w:color w:val="auto"/>
        </w:rPr>
        <w:t>(in each case of (i) or (ii) above), no such modification or amendment shall adversely affect your rights under the</w:t>
      </w:r>
      <w:r>
        <w:rPr>
          <w:rFonts w:ascii="Arial" w:cs="Arial" w:eastAsia="Arial" w:hAnsi="Arial"/>
          <w:sz w:val="20"/>
          <w:szCs w:val="20"/>
          <w:i w:val="1"/>
          <w:iCs w:val="1"/>
          <w:color w:val="auto"/>
        </w:rPr>
        <w:t xml:space="preserve"> </w:t>
      </w:r>
      <w:r>
        <w:rPr>
          <w:rFonts w:ascii="Arial" w:cs="Arial" w:eastAsia="Arial" w:hAnsi="Arial"/>
          <w:sz w:val="20"/>
          <w:szCs w:val="20"/>
          <w:color w:val="auto"/>
        </w:rPr>
        <w:t>PRSU and/or this Award Certificate without your written consent.</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Alkermes plc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 , _______________</w:t>
      </w:r>
    </w:p>
    <w:p>
      <w:pPr>
        <w:sectPr>
          <w:pgSz w:w="11900" w:h="16838" w:orient="portrait"/>
          <w:cols w:equalWidth="0" w:num="1">
            <w:col w:w="10060"/>
          </w:cols>
          <w:pgMar w:left="720" w:top="292" w:right="11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F. Pops, certify that:</w:t>
      </w:r>
    </w:p>
    <w:p>
      <w:pPr>
        <w:spacing w:after="0" w:line="225"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Alkermes plc;</w:t>
      </w:r>
    </w:p>
    <w:p>
      <w:pPr>
        <w:spacing w:after="0" w:line="225" w:lineRule="exact"/>
        <w:rPr>
          <w:sz w:val="20"/>
          <w:szCs w:val="20"/>
          <w:color w:val="auto"/>
        </w:rPr>
      </w:pPr>
    </w:p>
    <w:p>
      <w:pPr>
        <w:jc w:val="both"/>
        <w:ind w:left="500" w:right="26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500" w:right="22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sz w:val="20"/>
          <w:szCs w:val="20"/>
          <w:color w:val="auto"/>
        </w:rPr>
      </w:pPr>
    </w:p>
    <w:p>
      <w:pPr>
        <w:jc w:val="both"/>
        <w:ind w:left="500" w:right="260" w:hanging="492"/>
        <w:spacing w:after="0" w:line="26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500" w:right="240" w:hanging="492"/>
        <w:spacing w:after="0" w:line="342"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F. Pops</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spacing w:after="0"/>
              <w:rPr>
                <w:sz w:val="20"/>
                <w:szCs w:val="20"/>
                <w:color w:val="auto"/>
              </w:rPr>
            </w:pPr>
            <w:r>
              <w:rPr>
                <w:rFonts w:ascii="Arial" w:cs="Arial" w:eastAsia="Arial" w:hAnsi="Arial"/>
                <w:sz w:val="18"/>
                <w:szCs w:val="18"/>
                <w:color w:val="auto"/>
              </w:rPr>
              <w:t>July 29, 2020</w:t>
            </w:r>
          </w:p>
        </w:tc>
      </w:tr>
    </w:tbl>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M. Frates, certify that:</w:t>
      </w:r>
    </w:p>
    <w:p>
      <w:pPr>
        <w:spacing w:after="0" w:line="225"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Alkermes plc;</w:t>
      </w:r>
    </w:p>
    <w:p>
      <w:pPr>
        <w:spacing w:after="0" w:line="225" w:lineRule="exact"/>
        <w:rPr>
          <w:sz w:val="20"/>
          <w:szCs w:val="20"/>
          <w:color w:val="auto"/>
        </w:rPr>
      </w:pPr>
    </w:p>
    <w:p>
      <w:pPr>
        <w:jc w:val="both"/>
        <w:ind w:left="500" w:right="260" w:hanging="492"/>
        <w:spacing w:after="0" w:line="263"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500" w:right="220" w:hanging="492"/>
        <w:spacing w:after="0" w:line="30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sz w:val="20"/>
          <w:szCs w:val="20"/>
          <w:color w:val="auto"/>
        </w:rPr>
      </w:pPr>
    </w:p>
    <w:p>
      <w:pPr>
        <w:jc w:val="both"/>
        <w:ind w:left="500" w:right="260" w:hanging="492"/>
        <w:spacing w:after="0" w:line="263"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500" w:right="240" w:hanging="492"/>
        <w:spacing w:after="0" w:line="342"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Frates</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spacing w:after="0"/>
              <w:rPr>
                <w:sz w:val="20"/>
                <w:szCs w:val="20"/>
                <w:color w:val="auto"/>
              </w:rPr>
            </w:pPr>
            <w:r>
              <w:rPr>
                <w:rFonts w:ascii="Arial" w:cs="Arial" w:eastAsia="Arial" w:hAnsi="Arial"/>
                <w:sz w:val="18"/>
                <w:szCs w:val="18"/>
                <w:color w:val="auto"/>
              </w:rPr>
              <w:t>July 29, 2020</w:t>
            </w:r>
          </w:p>
        </w:tc>
      </w:tr>
    </w:tbl>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connection with the Quarterly Report on Form 10-Q of Alkermes plc (the "Company") for the period ended June 30, 2020 as filed with the Securities and Exchange Commission on the date hereof (the "Report"), we, Richard F. Pops, Chairman and Chief Executive Officer of the Company, and James M. Frates, Senior Vice President and Chief Financial Officer of the Company, certify, pursuant to 18 U.S.C. Section 1350, as adopted pursuant to Section 906 of the Sarbanes-Oxley Act of 2002, that to our knowledge:</w:t>
      </w:r>
    </w:p>
    <w:p>
      <w:pPr>
        <w:spacing w:after="0" w:line="79" w:lineRule="exact"/>
        <w:rPr>
          <w:sz w:val="20"/>
          <w:szCs w:val="20"/>
          <w:color w:val="auto"/>
        </w:rPr>
      </w:pPr>
    </w:p>
    <w:p>
      <w:pPr>
        <w:ind w:left="780" w:hanging="262"/>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80" w:hanging="262"/>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F. Pops</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Richard F. Pops</w:t>
            </w:r>
          </w:p>
        </w:tc>
      </w:tr>
      <w:tr>
        <w:trPr>
          <w:trHeight w:val="216"/>
        </w:trPr>
        <w:tc>
          <w:tcPr>
            <w:tcW w:w="58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580" w:type="dxa"/>
            <w:vAlign w:val="bottom"/>
          </w:tcPr>
          <w:p>
            <w:pPr>
              <w:spacing w:after="0"/>
              <w:rPr>
                <w:sz w:val="20"/>
                <w:szCs w:val="20"/>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(Principal Executive Officer)</w:t>
            </w:r>
          </w:p>
        </w:tc>
      </w:tr>
      <w:tr>
        <w:trPr>
          <w:trHeight w:val="44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Frates</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James M. Frates</w:t>
            </w:r>
          </w:p>
        </w:tc>
      </w:tr>
      <w:tr>
        <w:trPr>
          <w:trHeight w:val="216"/>
        </w:trPr>
        <w:tc>
          <w:tcPr>
            <w:tcW w:w="58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80" w:type="dxa"/>
            <w:vAlign w:val="bottom"/>
          </w:tcPr>
          <w:p>
            <w:pPr>
              <w:spacing w:after="0"/>
              <w:rPr>
                <w:sz w:val="20"/>
                <w:szCs w:val="20"/>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(Principal Financial Officer)</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spacing w:after="0"/>
              <w:rPr>
                <w:sz w:val="20"/>
                <w:szCs w:val="20"/>
                <w:color w:val="auto"/>
              </w:rPr>
            </w:pPr>
            <w:r>
              <w:rPr>
                <w:rFonts w:ascii="Arial" w:cs="Arial" w:eastAsia="Arial" w:hAnsi="Arial"/>
                <w:sz w:val="18"/>
                <w:szCs w:val="18"/>
                <w:color w:val="auto"/>
              </w:rPr>
              <w:t>July 29, 2020</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lvl w:ilvl="1">
      <w:lvlJc w:val="left"/>
      <w:lvlText w:val="(%2)"/>
      <w:numFmt w:val="decimal"/>
      <w:start w:val="1"/>
    </w:lvl>
  </w:abstractNum>
  <w:abstractNum w:abstractNumId="6">
    <w:nsid w:val="519B500D"/>
    <w:multiLevelType w:val="hybridMultilevel"/>
    <w:lvl w:ilvl="0">
      <w:lvlJc w:val="left"/>
      <w:lvlText w:val="%1."/>
      <w:numFmt w:val="decimal"/>
      <w:start w:val="10"/>
    </w:lvl>
    <w:lvl w:ilvl="1">
      <w:lvlJc w:val="left"/>
      <w:lvlText w:val="%2"/>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0"/>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Roman"/>
      <w:start w:val="2"/>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2"/>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bullet"/>
      <w:start w:val="1"/>
    </w:lvl>
  </w:abstractNum>
  <w:abstractNum w:abstractNumId="18">
    <w:nsid w:val="6763845E"/>
    <w:multiLevelType w:val="hybridMultilevel"/>
    <w:lvl w:ilvl="0">
      <w:lvlJc w:val="left"/>
      <w:lvlText w:val="2"/>
      <w:numFmt w:val="bullet"/>
      <w:start w:val="1"/>
    </w:lvl>
  </w:abstractNum>
  <w:abstractNum w:abstractNumId="19">
    <w:nsid w:val="75A2A8D4"/>
    <w:multiLevelType w:val="hybridMultilevel"/>
    <w:lvl w:ilvl="0">
      <w:lvlJc w:val="left"/>
      <w:lvlText w:val="3"/>
      <w:numFmt w:val="bullet"/>
      <w:start w:val="1"/>
    </w:lvl>
  </w:abstractNum>
  <w:abstractNum w:abstractNumId="20">
    <w:nsid w:val="8EDBDAB"/>
    <w:multiLevelType w:val="hybridMultilevel"/>
    <w:lvl w:ilvl="0">
      <w:lvlJc w:val="left"/>
      <w:lvlText w:val="4"/>
      <w:numFmt w:val="bullet"/>
      <w:start w:val="1"/>
    </w:lvl>
    <w:lvl w:ilvl="1">
      <w:lvlJc w:val="left"/>
      <w:lvlText w:val="%2."/>
      <w:numFmt w:val="lowerLetter"/>
      <w:start w:val="1"/>
    </w:lvl>
  </w:abstractNum>
  <w:abstractNum w:abstractNumId="21">
    <w:nsid w:val="79838CB2"/>
    <w:multiLevelType w:val="hybridMultilevel"/>
    <w:lvl w:ilvl="0">
      <w:lvlJc w:val="left"/>
      <w:lvlText w:val="5"/>
      <w:numFmt w:val="bullet"/>
      <w:start w:val="1"/>
    </w:lvl>
    <w:lvl w:ilvl="1">
      <w:lvlJc w:val="left"/>
      <w:lvlText w:val="%2."/>
      <w:numFmt w:val="lowerLetter"/>
      <w:start w:val="1"/>
    </w:lvl>
  </w:abstractNum>
  <w:abstractNum w:abstractNumId="22">
    <w:nsid w:val="4353D0CD"/>
    <w:multiLevelType w:val="hybridMultilevel"/>
    <w:lvl w:ilvl="0">
      <w:lvlJc w:val="left"/>
      <w:lvlText w:val="1"/>
      <w:numFmt w:val="bullet"/>
      <w:start w:val="1"/>
    </w:lvl>
  </w:abstractNum>
  <w:abstractNum w:abstractNumId="23">
    <w:nsid w:val="B03E0C6"/>
    <w:multiLevelType w:val="hybridMultilevel"/>
    <w:lvl w:ilvl="0">
      <w:lvlJc w:val="left"/>
      <w:lvlText w:val="2"/>
      <w:numFmt w:val="bullet"/>
      <w:start w:val="1"/>
    </w:lvl>
  </w:abstractNum>
  <w:abstractNum w:abstractNumId="24">
    <w:nsid w:val="189A769B"/>
    <w:multiLevelType w:val="hybridMultilevel"/>
    <w:lvl w:ilvl="0">
      <w:lvlJc w:val="left"/>
      <w:lvlText w:val="3"/>
      <w:numFmt w:val="bullet"/>
      <w:start w:val="1"/>
    </w:lvl>
  </w:abstractNum>
  <w:abstractNum w:abstractNumId="25">
    <w:nsid w:val="54E49EB4"/>
    <w:multiLevelType w:val="hybridMultilevel"/>
    <w:lvl w:ilvl="0">
      <w:lvlJc w:val="left"/>
      <w:lvlText w:val="4"/>
      <w:numFmt w:val="bullet"/>
      <w:start w:val="1"/>
    </w:lvl>
    <w:lvl w:ilvl="1">
      <w:lvlJc w:val="left"/>
      <w:lvlText w:val="%2."/>
      <w:numFmt w:val="lowerLetter"/>
      <w:start w:val="1"/>
    </w:lvl>
  </w:abstractNum>
  <w:abstractNum w:abstractNumId="26">
    <w:nsid w:val="71F32454"/>
    <w:multiLevelType w:val="hybridMultilevel"/>
    <w:lvl w:ilvl="0">
      <w:lvlJc w:val="left"/>
      <w:lvlText w:val="5"/>
      <w:numFmt w:val="bullet"/>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jpeg"/><Relationship Id="rId72" Type="http://schemas.openxmlformats.org/officeDocument/2006/relationships/image" Target="media/image63.png"/><Relationship Id="rId73" Type="http://schemas.openxmlformats.org/officeDocument/2006/relationships/image" Target="media/image64.jpeg"/><Relationship Id="rId74" Type="http://schemas.openxmlformats.org/officeDocument/2006/relationships/image" Target="media/image65.png"/><Relationship Id="rId75" Type="http://schemas.openxmlformats.org/officeDocument/2006/relationships/image" Target="media/image66.jpeg"/><Relationship Id="rId76" Type="http://schemas.openxmlformats.org/officeDocument/2006/relationships/image" Target="media/image67.jpe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66" Type="http://schemas.openxmlformats.org/officeDocument/2006/relationships/hyperlink" Target="http://www.sec.gov/Archives/edgar/data/1520262/000155837016009014/alks-20160930ex101cbe0d4.htm" TargetMode="External"/><Relationship Id="rId67" Type="http://schemas.openxmlformats.org/officeDocument/2006/relationships/hyperlink" Target="http://www.sec.gov/Archives/edgar/data/1520262/000156459020026406/alks-ex101_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2020-07-29T08:29:08Z</dcterms:created>
  <dcterms:modified xsi:type="dcterms:W3CDTF">2020-07-29T08:29:08Z</dcterms:modified>
</cp:coreProperties>
</file>