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No.1</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16, 2015 (April 10,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ALKERMES PUBLIC LIMITED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Ireland</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001-35299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98-1007018</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544" w:right="25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Connaught House, 1 Burlington Road</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Dublin 4, Ireland</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14" w:lineRule="exact"/>
        <w:rPr>
          <w:sz w:val="24"/>
          <w:szCs w:val="24"/>
          <w:color w:val="auto"/>
        </w:rPr>
      </w:pPr>
    </w:p>
    <w:p>
      <w:pPr>
        <w:sectPr>
          <w:pgSz w:w="11900" w:h="16838" w:orient="portrait"/>
          <w:cols w:equalWidth="0" w:num="2">
            <w:col w:w="7500" w:space="720"/>
            <w:col w:w="3180"/>
          </w:cols>
          <w:pgMar w:left="240" w:top="544" w:right="259" w:bottom="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+ 353-1-772-8000</w:t>
      </w:r>
    </w:p>
    <w:p>
      <w:pPr>
        <w:spacing w:after="0" w:line="229"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r>
        <w:rPr>
          <w:rFonts w:ascii="Arial" w:cs="Arial" w:eastAsia="Arial" w:hAnsi="Arial"/>
          <w:sz w:val="18"/>
          <w:szCs w:val="18"/>
          <w:color w:val="auto"/>
        </w:rPr>
        <w:t>:</w:t>
      </w:r>
    </w:p>
    <w:p>
      <w:pPr>
        <w:spacing w:after="0" w:line="229" w:lineRule="exact"/>
        <w:rPr>
          <w:sz w:val="24"/>
          <w:szCs w:val="24"/>
          <w:color w:val="auto"/>
        </w:rPr>
      </w:pPr>
    </w:p>
    <w:p>
      <w:pPr>
        <w:ind w:right="620" w:firstLine="648"/>
        <w:spacing w:after="0" w:line="277" w:lineRule="auto"/>
        <w:rPr>
          <w:sz w:val="20"/>
          <w:szCs w:val="20"/>
          <w:color w:val="auto"/>
        </w:rPr>
      </w:pPr>
      <w:r>
        <w:rPr>
          <w:rFonts w:ascii="Arial" w:cs="Arial" w:eastAsia="Arial" w:hAnsi="Arial"/>
          <w:sz w:val="18"/>
          <w:szCs w:val="18"/>
          <w:color w:val="auto"/>
        </w:rPr>
        <w:t>Alkermes plc (the “Company”) hereby amends its Current Report on Form 8-K dated April 13, 2015, for the purpose of filing as exhibits the Purchase and Sale Agreement referenced in Item 2.01 below and the pro forma financial information required by Item 9.01.</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2.01 Entry into a Material Definitive Agreement</w:t>
      </w:r>
    </w:p>
    <w:p>
      <w:pPr>
        <w:spacing w:after="0" w:line="229" w:lineRule="exact"/>
        <w:rPr>
          <w:sz w:val="24"/>
          <w:szCs w:val="24"/>
          <w:color w:val="auto"/>
        </w:rPr>
      </w:pPr>
    </w:p>
    <w:p>
      <w:pPr>
        <w:ind w:firstLine="495"/>
        <w:spacing w:after="0" w:line="271" w:lineRule="auto"/>
        <w:rPr>
          <w:sz w:val="20"/>
          <w:szCs w:val="20"/>
          <w:color w:val="auto"/>
        </w:rPr>
      </w:pPr>
      <w:r>
        <w:rPr>
          <w:rFonts w:ascii="Arial" w:cs="Arial" w:eastAsia="Arial" w:hAnsi="Arial"/>
          <w:sz w:val="17"/>
          <w:szCs w:val="17"/>
          <w:color w:val="auto"/>
        </w:rPr>
        <w:t>On April 10, 2015, Alkermes Pharma Ireland Limited (“APIL”) and Eagle Holdings USA, Inc. (“Eagle,” and together with APIL, the “Sellers”), both indirect wholly-owned subsidiaries of the Company, completed the sale of a manufacturing facility in Gainesville, GA, the manufacturing and royalty revenue associated with products manufactured at that facility, and global rights to IV/IM and parenteral forms of Meloxicam (the “Disposition”) to Recro</w:t>
      </w:r>
    </w:p>
    <w:p>
      <w:pPr>
        <w:spacing w:after="0" w:line="254" w:lineRule="auto"/>
        <w:rPr>
          <w:sz w:val="20"/>
          <w:szCs w:val="20"/>
          <w:color w:val="auto"/>
        </w:rPr>
      </w:pPr>
      <w:r>
        <w:rPr>
          <w:rFonts w:ascii="Arial" w:cs="Arial" w:eastAsia="Arial" w:hAnsi="Arial"/>
          <w:sz w:val="18"/>
          <w:szCs w:val="18"/>
          <w:color w:val="auto"/>
        </w:rPr>
        <w:t>Pharma, Inc., a Pennsylvania corporation listed on Nasdaq (“Recro”) and Recro Pharma LLC (the “Acquisition Sub” and together with Recro, the “Purchasers”) pursuant to a Purchase and Sale Agreement (the “Purchase Agreement”) entered into on March 7, 2015 among the Sellers, Daravita Limited (an indirect wholly-owned subsidiary of the Company), and the Purchasers. The Disposition was effected through each of the Seller’s sale of a wholly-owned subsidiary to the Acquisition Sub.</w:t>
      </w:r>
    </w:p>
    <w:p>
      <w:pPr>
        <w:spacing w:after="0" w:line="190" w:lineRule="exact"/>
        <w:rPr>
          <w:sz w:val="24"/>
          <w:szCs w:val="24"/>
          <w:color w:val="auto"/>
        </w:rPr>
      </w:pPr>
    </w:p>
    <w:p>
      <w:pPr>
        <w:ind w:right="140" w:firstLine="495"/>
        <w:spacing w:after="0" w:line="277" w:lineRule="auto"/>
        <w:rPr>
          <w:sz w:val="20"/>
          <w:szCs w:val="20"/>
          <w:color w:val="auto"/>
        </w:rPr>
      </w:pPr>
      <w:r>
        <w:rPr>
          <w:rFonts w:ascii="Arial" w:cs="Arial" w:eastAsia="Arial" w:hAnsi="Arial"/>
          <w:sz w:val="18"/>
          <w:szCs w:val="18"/>
          <w:color w:val="auto"/>
        </w:rPr>
        <w:t>Geraldine Henwood, President and Chief Executive Officer of Recro, was a member of the Board of Directors (the “Board”) of the Company prior to her resignation from the Board on March 7, 2015.</w:t>
      </w:r>
    </w:p>
    <w:p>
      <w:pPr>
        <w:spacing w:after="0" w:line="170" w:lineRule="exact"/>
        <w:rPr>
          <w:sz w:val="24"/>
          <w:szCs w:val="24"/>
          <w:color w:val="auto"/>
        </w:rPr>
      </w:pPr>
    </w:p>
    <w:p>
      <w:pPr>
        <w:ind w:right="20" w:firstLine="495"/>
        <w:spacing w:after="0" w:line="276" w:lineRule="auto"/>
        <w:rPr>
          <w:sz w:val="20"/>
          <w:szCs w:val="20"/>
          <w:color w:val="auto"/>
        </w:rPr>
      </w:pPr>
      <w:r>
        <w:rPr>
          <w:rFonts w:ascii="Arial" w:cs="Arial" w:eastAsia="Arial" w:hAnsi="Arial"/>
          <w:sz w:val="17"/>
          <w:szCs w:val="17"/>
          <w:color w:val="auto"/>
        </w:rPr>
        <w:t>In accordance with the terms of the Purchase Agreement, at the closing of the Disposition, the Purchasers made an initial cash payment to Sellers of $50 million, a payment relating to the net working capital, and issued a seven-year warrant to APIL to purchase an aggregate of 350,000 shares of Recro common stock at a per share exercise price equal to $19.46, two times the closing price of Recro’s common stock on the day prior to closing. APIL is also eligible to receive low double digit royalties on net sales of IV/IM and parenteral forms of Meloxicam and up to $120 million in milestone payments upon the achievement of certain regulatory and sales milestones related to IV/IM and parenteral forms of Meloxicam.</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7"/>
          <w:szCs w:val="17"/>
          <w:color w:val="auto"/>
        </w:rPr>
        <w:t>Unaudited pro forma consolidated financial statements of the Company and its subsidiaries required by Item 9.01 are attached as Exhibit 99.1.</w:t>
      </w:r>
    </w:p>
    <w:p>
      <w:pPr>
        <w:sectPr>
          <w:pgSz w:w="11900" w:h="16838" w:orient="portrait"/>
          <w:cols w:equalWidth="0" w:num="1">
            <w:col w:w="11400"/>
          </w:cols>
          <w:pgMar w:left="240" w:top="544" w:right="25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800" w:type="dxa"/>
            <w:vAlign w:val="bottom"/>
            <w:vMerge w:val="restart"/>
          </w:tcPr>
          <w:p>
            <w:pPr>
              <w:ind w:left="4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9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360" w:type="dxa"/>
            <w:vAlign w:val="bottom"/>
          </w:tcPr>
          <w:p>
            <w:pPr>
              <w:spacing w:after="0"/>
              <w:rPr>
                <w:sz w:val="16"/>
                <w:szCs w:val="16"/>
                <w:color w:val="auto"/>
              </w:rPr>
            </w:pPr>
          </w:p>
        </w:tc>
        <w:tc>
          <w:tcPr>
            <w:tcW w:w="9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Purchase and Sale Agreement dated March 7, 2015</w:t>
            </w:r>
          </w:p>
        </w:tc>
        <w:tc>
          <w:tcPr>
            <w:tcW w:w="0" w:type="dxa"/>
            <w:vAlign w:val="bottom"/>
          </w:tcPr>
          <w:p>
            <w:pPr>
              <w:spacing w:after="0"/>
              <w:rPr>
                <w:sz w:val="1"/>
                <w:szCs w:val="1"/>
                <w:color w:val="auto"/>
              </w:rPr>
            </w:pPr>
          </w:p>
        </w:tc>
      </w:tr>
      <w:tr>
        <w:trPr>
          <w:trHeight w:val="230"/>
        </w:trPr>
        <w:tc>
          <w:tcPr>
            <w:tcW w:w="1260" w:type="dxa"/>
            <w:vAlign w:val="bottom"/>
            <w:gridSpan w:val="2"/>
          </w:tcPr>
          <w:p>
            <w:pPr>
              <w:spacing w:after="0"/>
              <w:rPr>
                <w:sz w:val="20"/>
                <w:szCs w:val="20"/>
                <w:color w:val="auto"/>
              </w:rPr>
            </w:pPr>
            <w:r>
              <w:rPr>
                <w:rFonts w:ascii="Arial" w:cs="Arial" w:eastAsia="Arial" w:hAnsi="Arial"/>
                <w:sz w:val="18"/>
                <w:szCs w:val="18"/>
                <w:color w:val="auto"/>
              </w:rPr>
              <w:t>99.1 *</w:t>
            </w:r>
          </w:p>
        </w:tc>
        <w:tc>
          <w:tcPr>
            <w:tcW w:w="36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Unaudited pro forma consolidated financial statements required by Item 9.01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20" w:firstLine="8"/>
        <w:spacing w:after="0" w:line="25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schedules to the Purchase and Sale Agreement are not being filed herewith. The Purchase and Sale Agreement contains a list briefly identifying the contents of the schedules to such document. The Company undertakes to furnish a copy of any omitted schedule to the Securities and Exchange Commission upon request. Portions of the Purchase and Sale Agreement have been omitted pursuant to a request for confidential treatment submitted to the Securities and Exchange Commission.</w:t>
      </w:r>
    </w:p>
    <w:p>
      <w:pPr>
        <w:spacing w:after="0" w:line="18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00" w:type="dxa"/>
            <w:vAlign w:val="bottom"/>
            <w:gridSpan w:val="2"/>
          </w:tcPr>
          <w:p>
            <w:pPr>
              <w:ind w:left="4000"/>
              <w:spacing w:after="0"/>
              <w:rPr>
                <w:sz w:val="20"/>
                <w:szCs w:val="20"/>
                <w:color w:val="auto"/>
              </w:rPr>
            </w:pPr>
            <w:r>
              <w:rPr>
                <w:rFonts w:ascii="Arial" w:cs="Arial" w:eastAsia="Arial" w:hAnsi="Arial"/>
                <w:sz w:val="18"/>
                <w:szCs w:val="18"/>
                <w:b w:val="1"/>
                <w:bCs w:val="1"/>
                <w:color w:val="auto"/>
              </w:rPr>
              <w:t>ALKERMES PLC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20" w:type="dxa"/>
            <w:vAlign w:val="bottom"/>
            <w:gridSpan w:val="3"/>
          </w:tcPr>
          <w:p>
            <w:pPr>
              <w:spacing w:after="0"/>
              <w:rPr>
                <w:sz w:val="20"/>
                <w:szCs w:val="20"/>
                <w:color w:val="auto"/>
              </w:rPr>
            </w:pPr>
            <w:r>
              <w:rPr>
                <w:rFonts w:ascii="Arial" w:cs="Arial" w:eastAsia="Arial" w:hAnsi="Arial"/>
                <w:sz w:val="18"/>
                <w:szCs w:val="18"/>
                <w:color w:val="auto"/>
              </w:rPr>
              <w:t>Date: April 16, 2015</w:t>
            </w:r>
          </w:p>
        </w:tc>
        <w:tc>
          <w:tcPr>
            <w:tcW w:w="100" w:type="dxa"/>
            <w:vAlign w:val="bottom"/>
          </w:tcPr>
          <w:p>
            <w:pPr>
              <w:spacing w:after="0"/>
              <w:rPr>
                <w:sz w:val="24"/>
                <w:szCs w:val="24"/>
                <w:color w:val="auto"/>
              </w:rPr>
            </w:pPr>
          </w:p>
        </w:tc>
        <w:tc>
          <w:tcPr>
            <w:tcW w:w="9700" w:type="dxa"/>
            <w:vAlign w:val="bottom"/>
            <w:gridSpan w:val="2"/>
          </w:tcPr>
          <w:p>
            <w:pPr>
              <w:ind w:left="4000"/>
              <w:spacing w:after="0"/>
              <w:rPr>
                <w:sz w:val="20"/>
                <w:szCs w:val="20"/>
                <w:color w:val="auto"/>
              </w:rPr>
            </w:pPr>
            <w:r>
              <w:rPr>
                <w:rFonts w:ascii="Arial" w:cs="Arial" w:eastAsia="Arial" w:hAnsi="Arial"/>
                <w:sz w:val="18"/>
                <w:szCs w:val="18"/>
                <w:color w:val="auto"/>
              </w:rPr>
              <w:t>By:  /s/ James M. Frates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M. Frates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5"/>
              </w:rPr>
              <w:t>Senior Vice President and Chief Financial Officer (Principal Financial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2"/>
          </w:tcPr>
          <w:p>
            <w:pPr>
              <w:jc w:val="right"/>
              <w:ind w:right="330"/>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60" w:type="dxa"/>
            <w:vAlign w:val="bottom"/>
            <w:tcBorders>
              <w:bottom w:val="single" w:sz="8" w:color="010101"/>
            </w:tcBorders>
          </w:tcPr>
          <w:p>
            <w:pPr>
              <w:spacing w:after="0"/>
              <w:rPr>
                <w:sz w:val="11"/>
                <w:szCs w:val="11"/>
                <w:color w:val="auto"/>
              </w:rPr>
            </w:pPr>
          </w:p>
        </w:tc>
        <w:tc>
          <w:tcPr>
            <w:tcW w:w="5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EXHIBIT INDEX</w:t>
            </w: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Purchase and Sale Agreement dated March 7, 2015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99.1 *</w:t>
            </w:r>
          </w:p>
        </w:tc>
        <w:tc>
          <w:tcPr>
            <w:tcW w:w="240" w:type="dxa"/>
            <w:vAlign w:val="bottom"/>
          </w:tcPr>
          <w:p>
            <w:pPr>
              <w:spacing w:after="0"/>
              <w:rPr>
                <w:sz w:val="20"/>
                <w:szCs w:val="20"/>
                <w:color w:val="auto"/>
              </w:rPr>
            </w:pPr>
          </w:p>
        </w:tc>
        <w:tc>
          <w:tcPr>
            <w:tcW w:w="9800" w:type="dxa"/>
            <w:vAlign w:val="bottom"/>
            <w:gridSpan w:val="3"/>
          </w:tcPr>
          <w:p>
            <w:pPr>
              <w:ind w:left="100"/>
              <w:spacing w:after="0"/>
              <w:rPr>
                <w:sz w:val="20"/>
                <w:szCs w:val="20"/>
                <w:color w:val="auto"/>
              </w:rPr>
            </w:pPr>
            <w:r>
              <w:rPr>
                <w:rFonts w:ascii="Arial" w:cs="Arial" w:eastAsia="Arial" w:hAnsi="Arial"/>
                <w:sz w:val="18"/>
                <w:szCs w:val="18"/>
                <w:color w:val="auto"/>
              </w:rPr>
              <w:t>Unaudited pro forma consolidated financial statements required by Item 9.01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-1133475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-1133475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20" w:firstLine="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schedules to the Purchase and Sale Agreement are not being filed herewith. The Purchase and Sale Agreement contains a list briefly identifying the contents of the schedules to such document. The Company undertakes to furnish a copy of any omitted schedule to the Securities and Exchange Commission upon request. Portions of the Purchase and Sale Agreement have been omitted pursuant to a request for confidential treatment submitted to the Securities and Exchange Commission.</w:t>
      </w:r>
    </w:p>
    <w:p>
      <w:pPr>
        <w:spacing w:after="0" w:line="18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ALKERMES PHARMA IRELAND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DARAVITA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EAGLE HOLDINGS USA,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RECRO PHARMA,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RECRO PHARMA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560" w:firstLine="8"/>
        <w:spacing w:after="0" w:line="282" w:lineRule="auto"/>
        <w:tabs>
          <w:tab w:leader="none" w:pos="43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9220" w:type="dxa"/>
            <w:vAlign w:val="bottom"/>
          </w:tcPr>
          <w:p>
            <w:pPr>
              <w:ind w:left="3660"/>
              <w:spacing w:after="0"/>
              <w:rPr>
                <w:sz w:val="20"/>
                <w:szCs w:val="20"/>
                <w:color w:val="auto"/>
              </w:rPr>
            </w:pPr>
            <w:r>
              <w:rPr>
                <w:rFonts w:ascii="Arial" w:cs="Arial" w:eastAsia="Arial" w:hAnsi="Arial"/>
                <w:sz w:val="18"/>
                <w:szCs w:val="18"/>
                <w:b w:val="1"/>
                <w:bCs w:val="1"/>
                <w:color w:val="auto"/>
              </w:rPr>
              <w:t>TABLE OF CONTENTS</w:t>
            </w:r>
          </w:p>
        </w:tc>
        <w:tc>
          <w:tcPr>
            <w:tcW w:w="1100" w:type="dxa"/>
            <w:vAlign w:val="bottom"/>
          </w:tcPr>
          <w:p>
            <w:pPr>
              <w:spacing w:after="0"/>
              <w:rPr>
                <w:sz w:val="20"/>
                <w:szCs w:val="20"/>
                <w:color w:val="auto"/>
              </w:rPr>
            </w:pPr>
          </w:p>
        </w:tc>
      </w:tr>
      <w:tr>
        <w:trPr>
          <w:trHeight w:val="365"/>
        </w:trPr>
        <w:tc>
          <w:tcPr>
            <w:tcW w:w="110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11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Page</w:t>
            </w:r>
          </w:p>
        </w:tc>
      </w:tr>
      <w:tr>
        <w:trPr>
          <w:trHeight w:val="426"/>
        </w:trPr>
        <w:tc>
          <w:tcPr>
            <w:tcW w:w="1032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1.1</w:t>
            </w:r>
          </w:p>
        </w:tc>
        <w:tc>
          <w:tcPr>
            <w:tcW w:w="9220" w:type="dxa"/>
            <w:vAlign w:val="bottom"/>
          </w:tcPr>
          <w:p>
            <w:pPr>
              <w:ind w:left="240"/>
              <w:spacing w:after="0"/>
              <w:rPr>
                <w:sz w:val="20"/>
                <w:szCs w:val="20"/>
                <w:color w:val="auto"/>
              </w:rPr>
            </w:pPr>
            <w:r>
              <w:rPr>
                <w:rFonts w:ascii="Arial" w:cs="Arial" w:eastAsia="Arial" w:hAnsi="Arial"/>
                <w:sz w:val="18"/>
                <w:szCs w:val="18"/>
                <w:color w:val="auto"/>
              </w:rPr>
              <w:t>Defined Terms</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0320" w:type="dxa"/>
            <w:vAlign w:val="bottom"/>
            <w:gridSpan w:val="2"/>
          </w:tcPr>
          <w:p>
            <w:pPr>
              <w:spacing w:after="0"/>
              <w:rPr>
                <w:sz w:val="20"/>
                <w:szCs w:val="20"/>
                <w:color w:val="auto"/>
              </w:rPr>
            </w:pPr>
            <w:r>
              <w:rPr>
                <w:rFonts w:ascii="Arial" w:cs="Arial" w:eastAsia="Arial" w:hAnsi="Arial"/>
                <w:sz w:val="18"/>
                <w:szCs w:val="18"/>
                <w:color w:val="auto"/>
              </w:rPr>
              <w:t>ARTICLE II THE SALE</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2.1</w:t>
            </w:r>
          </w:p>
        </w:tc>
        <w:tc>
          <w:tcPr>
            <w:tcW w:w="9220" w:type="dxa"/>
            <w:vAlign w:val="bottom"/>
          </w:tcPr>
          <w:p>
            <w:pPr>
              <w:ind w:left="240"/>
              <w:spacing w:after="0"/>
              <w:rPr>
                <w:sz w:val="20"/>
                <w:szCs w:val="20"/>
                <w:color w:val="auto"/>
              </w:rPr>
            </w:pPr>
            <w:r>
              <w:rPr>
                <w:rFonts w:ascii="Arial" w:cs="Arial" w:eastAsia="Arial" w:hAnsi="Arial"/>
                <w:sz w:val="18"/>
                <w:szCs w:val="18"/>
                <w:color w:val="auto"/>
              </w:rPr>
              <w:t>The Sale</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2.2</w:t>
            </w:r>
          </w:p>
        </w:tc>
        <w:tc>
          <w:tcPr>
            <w:tcW w:w="9220" w:type="dxa"/>
            <w:vAlign w:val="bottom"/>
          </w:tcPr>
          <w:p>
            <w:pPr>
              <w:ind w:left="240"/>
              <w:spacing w:after="0"/>
              <w:rPr>
                <w:sz w:val="20"/>
                <w:szCs w:val="20"/>
                <w:color w:val="auto"/>
              </w:rPr>
            </w:pPr>
            <w:r>
              <w:rPr>
                <w:rFonts w:ascii="Arial" w:cs="Arial" w:eastAsia="Arial" w:hAnsi="Arial"/>
                <w:sz w:val="18"/>
                <w:szCs w:val="18"/>
                <w:color w:val="auto"/>
              </w:rPr>
              <w:t>Purchase Price; Allocation</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2.3</w:t>
            </w:r>
          </w:p>
        </w:tc>
        <w:tc>
          <w:tcPr>
            <w:tcW w:w="9220" w:type="dxa"/>
            <w:vAlign w:val="bottom"/>
          </w:tcPr>
          <w:p>
            <w:pPr>
              <w:ind w:left="240"/>
              <w:spacing w:after="0"/>
              <w:rPr>
                <w:sz w:val="20"/>
                <w:szCs w:val="20"/>
                <w:color w:val="auto"/>
              </w:rPr>
            </w:pPr>
            <w:r>
              <w:rPr>
                <w:rFonts w:ascii="Arial" w:cs="Arial" w:eastAsia="Arial" w:hAnsi="Arial"/>
                <w:sz w:val="18"/>
                <w:szCs w:val="18"/>
                <w:color w:val="auto"/>
              </w:rPr>
              <w:t>Closing</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2.4</w:t>
            </w:r>
          </w:p>
        </w:tc>
        <w:tc>
          <w:tcPr>
            <w:tcW w:w="9220" w:type="dxa"/>
            <w:vAlign w:val="bottom"/>
          </w:tcPr>
          <w:p>
            <w:pPr>
              <w:ind w:left="240"/>
              <w:spacing w:after="0"/>
              <w:rPr>
                <w:sz w:val="20"/>
                <w:szCs w:val="20"/>
                <w:color w:val="auto"/>
              </w:rPr>
            </w:pPr>
            <w:r>
              <w:rPr>
                <w:rFonts w:ascii="Arial" w:cs="Arial" w:eastAsia="Arial" w:hAnsi="Arial"/>
                <w:sz w:val="18"/>
                <w:szCs w:val="18"/>
                <w:color w:val="auto"/>
              </w:rPr>
              <w:t>Closing Adjustment</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2.5</w:t>
            </w:r>
          </w:p>
        </w:tc>
        <w:tc>
          <w:tcPr>
            <w:tcW w:w="9220" w:type="dxa"/>
            <w:vAlign w:val="bottom"/>
          </w:tcPr>
          <w:p>
            <w:pPr>
              <w:ind w:left="240"/>
              <w:spacing w:after="0"/>
              <w:rPr>
                <w:sz w:val="20"/>
                <w:szCs w:val="20"/>
                <w:color w:val="auto"/>
              </w:rPr>
            </w:pPr>
            <w:r>
              <w:rPr>
                <w:rFonts w:ascii="Arial" w:cs="Arial" w:eastAsia="Arial" w:hAnsi="Arial"/>
                <w:sz w:val="18"/>
                <w:szCs w:val="18"/>
                <w:color w:val="auto"/>
              </w:rPr>
              <w:t>Post-Closing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2.6</w:t>
            </w:r>
          </w:p>
        </w:tc>
        <w:tc>
          <w:tcPr>
            <w:tcW w:w="9220" w:type="dxa"/>
            <w:vAlign w:val="bottom"/>
          </w:tcPr>
          <w:p>
            <w:pPr>
              <w:ind w:left="240"/>
              <w:spacing w:after="0"/>
              <w:rPr>
                <w:sz w:val="20"/>
                <w:szCs w:val="20"/>
                <w:color w:val="auto"/>
              </w:rPr>
            </w:pPr>
            <w:r>
              <w:rPr>
                <w:rFonts w:ascii="Arial" w:cs="Arial" w:eastAsia="Arial" w:hAnsi="Arial"/>
                <w:sz w:val="18"/>
                <w:szCs w:val="18"/>
                <w:color w:val="auto"/>
              </w:rPr>
              <w:t>Post-Closing Adjustment</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2.7</w:t>
            </w:r>
          </w:p>
        </w:tc>
        <w:tc>
          <w:tcPr>
            <w:tcW w:w="9220" w:type="dxa"/>
            <w:vAlign w:val="bottom"/>
          </w:tcPr>
          <w:p>
            <w:pPr>
              <w:ind w:left="240"/>
              <w:spacing w:after="0"/>
              <w:rPr>
                <w:sz w:val="20"/>
                <w:szCs w:val="20"/>
                <w:color w:val="auto"/>
              </w:rPr>
            </w:pPr>
            <w:r>
              <w:rPr>
                <w:rFonts w:ascii="Arial" w:cs="Arial" w:eastAsia="Arial" w:hAnsi="Arial"/>
                <w:sz w:val="18"/>
                <w:szCs w:val="18"/>
                <w:color w:val="auto"/>
              </w:rPr>
              <w:t>Calculations</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2.8</w:t>
            </w:r>
          </w:p>
        </w:tc>
        <w:tc>
          <w:tcPr>
            <w:tcW w:w="9220" w:type="dxa"/>
            <w:vAlign w:val="bottom"/>
          </w:tcPr>
          <w:p>
            <w:pPr>
              <w:ind w:left="240"/>
              <w:spacing w:after="0"/>
              <w:rPr>
                <w:sz w:val="20"/>
                <w:szCs w:val="20"/>
                <w:color w:val="auto"/>
              </w:rPr>
            </w:pPr>
            <w:r>
              <w:rPr>
                <w:rFonts w:ascii="Arial" w:cs="Arial" w:eastAsia="Arial" w:hAnsi="Arial"/>
                <w:sz w:val="18"/>
                <w:szCs w:val="18"/>
                <w:color w:val="auto"/>
              </w:rPr>
              <w:t>Earn-Out Consideration</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032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SELLERS</w:t>
            </w: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3.1</w:t>
            </w:r>
          </w:p>
        </w:tc>
        <w:tc>
          <w:tcPr>
            <w:tcW w:w="9220" w:type="dxa"/>
            <w:vAlign w:val="bottom"/>
          </w:tcPr>
          <w:p>
            <w:pPr>
              <w:ind w:left="240"/>
              <w:spacing w:after="0"/>
              <w:rPr>
                <w:sz w:val="20"/>
                <w:szCs w:val="20"/>
                <w:color w:val="auto"/>
              </w:rPr>
            </w:pPr>
            <w:r>
              <w:rPr>
                <w:rFonts w:ascii="Arial" w:cs="Arial" w:eastAsia="Arial" w:hAnsi="Arial"/>
                <w:sz w:val="18"/>
                <w:szCs w:val="18"/>
                <w:color w:val="auto"/>
              </w:rPr>
              <w:t>Organization; Authorization</w:t>
            </w: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3.2</w:t>
            </w:r>
          </w:p>
        </w:tc>
        <w:tc>
          <w:tcPr>
            <w:tcW w:w="9220" w:type="dxa"/>
            <w:vAlign w:val="bottom"/>
          </w:tcPr>
          <w:p>
            <w:pPr>
              <w:ind w:left="240"/>
              <w:spacing w:after="0"/>
              <w:rPr>
                <w:sz w:val="20"/>
                <w:szCs w:val="20"/>
                <w:color w:val="auto"/>
              </w:rPr>
            </w:pPr>
            <w:r>
              <w:rPr>
                <w:rFonts w:ascii="Arial" w:cs="Arial" w:eastAsia="Arial" w:hAnsi="Arial"/>
                <w:sz w:val="18"/>
                <w:szCs w:val="18"/>
                <w:color w:val="auto"/>
              </w:rPr>
              <w:t>Title to Shares; Capitalization; Structure</w:t>
            </w: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3.3</w:t>
            </w:r>
          </w:p>
        </w:tc>
        <w:tc>
          <w:tcPr>
            <w:tcW w:w="9220" w:type="dxa"/>
            <w:vAlign w:val="bottom"/>
          </w:tcPr>
          <w:p>
            <w:pPr>
              <w:ind w:left="240"/>
              <w:spacing w:after="0"/>
              <w:rPr>
                <w:sz w:val="20"/>
                <w:szCs w:val="20"/>
                <w:color w:val="auto"/>
              </w:rPr>
            </w:pPr>
            <w:r>
              <w:rPr>
                <w:rFonts w:ascii="Arial" w:cs="Arial" w:eastAsia="Arial" w:hAnsi="Arial"/>
                <w:sz w:val="18"/>
                <w:szCs w:val="18"/>
                <w:color w:val="auto"/>
              </w:rPr>
              <w:t>No Consents</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3.4</w:t>
            </w:r>
          </w:p>
        </w:tc>
        <w:tc>
          <w:tcPr>
            <w:tcW w:w="922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3.5</w:t>
            </w:r>
          </w:p>
        </w:tc>
        <w:tc>
          <w:tcPr>
            <w:tcW w:w="9220" w:type="dxa"/>
            <w:vAlign w:val="bottom"/>
          </w:tcPr>
          <w:p>
            <w:pPr>
              <w:ind w:left="240"/>
              <w:spacing w:after="0"/>
              <w:rPr>
                <w:sz w:val="20"/>
                <w:szCs w:val="20"/>
                <w:color w:val="auto"/>
              </w:rPr>
            </w:pPr>
            <w:r>
              <w:rPr>
                <w:rFonts w:ascii="Arial" w:cs="Arial" w:eastAsia="Arial" w:hAnsi="Arial"/>
                <w:sz w:val="18"/>
                <w:szCs w:val="18"/>
                <w:color w:val="auto"/>
              </w:rPr>
              <w:t>No Undisclosed Liabilities</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3.6</w:t>
            </w:r>
          </w:p>
        </w:tc>
        <w:tc>
          <w:tcPr>
            <w:tcW w:w="9220" w:type="dxa"/>
            <w:vAlign w:val="bottom"/>
          </w:tcPr>
          <w:p>
            <w:pPr>
              <w:ind w:left="240"/>
              <w:spacing w:after="0"/>
              <w:rPr>
                <w:sz w:val="20"/>
                <w:szCs w:val="20"/>
                <w:color w:val="auto"/>
              </w:rPr>
            </w:pPr>
            <w:r>
              <w:rPr>
                <w:rFonts w:ascii="Arial" w:cs="Arial" w:eastAsia="Arial" w:hAnsi="Arial"/>
                <w:sz w:val="18"/>
                <w:szCs w:val="18"/>
                <w:color w:val="auto"/>
              </w:rPr>
              <w:t>Properties; Sufficiency</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3.7</w:t>
            </w:r>
          </w:p>
        </w:tc>
        <w:tc>
          <w:tcPr>
            <w:tcW w:w="9220" w:type="dxa"/>
            <w:vAlign w:val="bottom"/>
          </w:tcPr>
          <w:p>
            <w:pPr>
              <w:ind w:left="240"/>
              <w:spacing w:after="0"/>
              <w:rPr>
                <w:sz w:val="20"/>
                <w:szCs w:val="20"/>
                <w:color w:val="auto"/>
              </w:rPr>
            </w:pPr>
            <w:r>
              <w:rPr>
                <w:rFonts w:ascii="Arial" w:cs="Arial" w:eastAsia="Arial" w:hAnsi="Arial"/>
                <w:sz w:val="18"/>
                <w:szCs w:val="18"/>
                <w:color w:val="auto"/>
              </w:rPr>
              <w:t>Absence of Certain Changes</w:t>
            </w: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3.8</w:t>
            </w:r>
          </w:p>
        </w:tc>
        <w:tc>
          <w:tcPr>
            <w:tcW w:w="9220" w:type="dxa"/>
            <w:vAlign w:val="bottom"/>
          </w:tcPr>
          <w:p>
            <w:pPr>
              <w:ind w:left="240"/>
              <w:spacing w:after="0"/>
              <w:rPr>
                <w:sz w:val="20"/>
                <w:szCs w:val="20"/>
                <w:color w:val="auto"/>
              </w:rPr>
            </w:pPr>
            <w:r>
              <w:rPr>
                <w:rFonts w:ascii="Arial" w:cs="Arial" w:eastAsia="Arial" w:hAnsi="Arial"/>
                <w:sz w:val="18"/>
                <w:szCs w:val="18"/>
                <w:color w:val="auto"/>
              </w:rPr>
              <w:t>Litigation; Orders</w:t>
            </w: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3.9</w:t>
            </w:r>
          </w:p>
        </w:tc>
        <w:tc>
          <w:tcPr>
            <w:tcW w:w="9220" w:type="dxa"/>
            <w:vAlign w:val="bottom"/>
          </w:tcPr>
          <w:p>
            <w:pPr>
              <w:ind w:left="240"/>
              <w:spacing w:after="0"/>
              <w:rPr>
                <w:sz w:val="20"/>
                <w:szCs w:val="20"/>
                <w:color w:val="auto"/>
              </w:rPr>
            </w:pPr>
            <w:r>
              <w:rPr>
                <w:rFonts w:ascii="Arial" w:cs="Arial" w:eastAsia="Arial" w:hAnsi="Arial"/>
                <w:sz w:val="18"/>
                <w:szCs w:val="18"/>
                <w:color w:val="auto"/>
              </w:rPr>
              <w:t>Intellectual Property</w:t>
            </w: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3.10</w:t>
            </w:r>
          </w:p>
        </w:tc>
        <w:tc>
          <w:tcPr>
            <w:tcW w:w="9220" w:type="dxa"/>
            <w:vAlign w:val="bottom"/>
          </w:tcPr>
          <w:p>
            <w:pPr>
              <w:ind w:left="240"/>
              <w:spacing w:after="0"/>
              <w:rPr>
                <w:sz w:val="20"/>
                <w:szCs w:val="20"/>
                <w:color w:val="auto"/>
              </w:rPr>
            </w:pPr>
            <w:r>
              <w:rPr>
                <w:rFonts w:ascii="Arial" w:cs="Arial" w:eastAsia="Arial" w:hAnsi="Arial"/>
                <w:sz w:val="18"/>
                <w:szCs w:val="18"/>
                <w:color w:val="auto"/>
              </w:rPr>
              <w:t>Licenses; Authorizations; Reports</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ind w:left="540"/>
              <w:spacing w:after="0"/>
              <w:rPr>
                <w:sz w:val="20"/>
                <w:szCs w:val="20"/>
                <w:color w:val="auto"/>
              </w:rPr>
            </w:pPr>
            <w:r>
              <w:rPr>
                <w:rFonts w:ascii="Arial" w:cs="Arial" w:eastAsia="Arial" w:hAnsi="Arial"/>
                <w:sz w:val="18"/>
                <w:szCs w:val="18"/>
                <w:color w:val="auto"/>
              </w:rPr>
              <w:t>3.11</w:t>
            </w:r>
          </w:p>
        </w:tc>
        <w:tc>
          <w:tcPr>
            <w:tcW w:w="7420" w:type="dxa"/>
            <w:vAlign w:val="bottom"/>
          </w:tcPr>
          <w:p>
            <w:pPr>
              <w:ind w:left="240"/>
              <w:spacing w:after="0"/>
              <w:rPr>
                <w:sz w:val="20"/>
                <w:szCs w:val="20"/>
                <w:color w:val="auto"/>
              </w:rPr>
            </w:pPr>
            <w:r>
              <w:rPr>
                <w:rFonts w:ascii="Arial" w:cs="Arial" w:eastAsia="Arial" w:hAnsi="Arial"/>
                <w:sz w:val="18"/>
                <w:szCs w:val="18"/>
                <w:color w:val="auto"/>
              </w:rPr>
              <w:t>Labor Matters</w:t>
            </w:r>
          </w:p>
        </w:tc>
        <w:tc>
          <w:tcPr>
            <w:tcW w:w="2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100" w:type="dxa"/>
            <w:vAlign w:val="bottom"/>
          </w:tcPr>
          <w:p>
            <w:pPr>
              <w:spacing w:after="0"/>
              <w:rPr>
                <w:sz w:val="24"/>
                <w:szCs w:val="24"/>
                <w:color w:val="auto"/>
              </w:rPr>
            </w:pPr>
          </w:p>
        </w:tc>
        <w:tc>
          <w:tcPr>
            <w:tcW w:w="7420" w:type="dxa"/>
            <w:vAlign w:val="bottom"/>
          </w:tcPr>
          <w:p>
            <w:pPr>
              <w:ind w:left="4580"/>
              <w:spacing w:after="0"/>
              <w:rPr>
                <w:sz w:val="20"/>
                <w:szCs w:val="20"/>
                <w:color w:val="auto"/>
              </w:rPr>
            </w:pPr>
            <w:r>
              <w:rPr>
                <w:rFonts w:ascii="Arial" w:cs="Arial" w:eastAsia="Arial" w:hAnsi="Arial"/>
                <w:sz w:val="18"/>
                <w:szCs w:val="18"/>
                <w:color w:val="auto"/>
              </w:rPr>
              <w:t>i</w:t>
            </w:r>
          </w:p>
        </w:tc>
        <w:tc>
          <w:tcPr>
            <w:tcW w:w="2940" w:type="dxa"/>
            <w:vAlign w:val="bottom"/>
          </w:tcPr>
          <w:p>
            <w:pPr>
              <w:spacing w:after="0"/>
              <w:rPr>
                <w:sz w:val="24"/>
                <w:szCs w:val="24"/>
                <w:color w:val="auto"/>
              </w:rPr>
            </w:pPr>
          </w:p>
        </w:tc>
      </w:tr>
      <w:tr>
        <w:trPr>
          <w:trHeight w:val="132"/>
        </w:trPr>
        <w:tc>
          <w:tcPr>
            <w:tcW w:w="1100" w:type="dxa"/>
            <w:vAlign w:val="bottom"/>
            <w:tcBorders>
              <w:bottom w:val="single" w:sz="8" w:color="010101"/>
            </w:tcBorders>
          </w:tcPr>
          <w:p>
            <w:pPr>
              <w:spacing w:after="0"/>
              <w:rPr>
                <w:sz w:val="11"/>
                <w:szCs w:val="11"/>
                <w:color w:val="auto"/>
              </w:rPr>
            </w:pPr>
          </w:p>
        </w:tc>
        <w:tc>
          <w:tcPr>
            <w:tcW w:w="7420" w:type="dxa"/>
            <w:vAlign w:val="bottom"/>
            <w:tcBorders>
              <w:bottom w:val="single" w:sz="8" w:color="010101"/>
            </w:tcBorders>
          </w:tcPr>
          <w:p>
            <w:pPr>
              <w:spacing w:after="0"/>
              <w:rPr>
                <w:sz w:val="11"/>
                <w:szCs w:val="11"/>
                <w:color w:val="auto"/>
              </w:rPr>
            </w:pPr>
          </w:p>
        </w:tc>
        <w:tc>
          <w:tcPr>
            <w:tcW w:w="2940" w:type="dxa"/>
            <w:vAlign w:val="bottom"/>
            <w:tcBorders>
              <w:bottom w:val="single" w:sz="8" w:color="010101"/>
            </w:tcBorders>
          </w:tcPr>
          <w:p>
            <w:pPr>
              <w:spacing w:after="0"/>
              <w:rPr>
                <w:sz w:val="11"/>
                <w:szCs w:val="11"/>
                <w:color w:val="auto"/>
              </w:rPr>
            </w:pPr>
          </w:p>
        </w:tc>
      </w:tr>
      <w:tr>
        <w:trPr>
          <w:trHeight w:val="780"/>
        </w:trPr>
        <w:tc>
          <w:tcPr>
            <w:tcW w:w="1100" w:type="dxa"/>
            <w:vAlign w:val="bottom"/>
          </w:tcPr>
          <w:p>
            <w:pPr>
              <w:ind w:left="540"/>
              <w:spacing w:after="0"/>
              <w:rPr>
                <w:sz w:val="20"/>
                <w:szCs w:val="20"/>
                <w:color w:val="auto"/>
              </w:rPr>
            </w:pPr>
            <w:r>
              <w:rPr>
                <w:rFonts w:ascii="Arial" w:cs="Arial" w:eastAsia="Arial" w:hAnsi="Arial"/>
                <w:sz w:val="18"/>
                <w:szCs w:val="18"/>
                <w:color w:val="auto"/>
              </w:rPr>
              <w:t>3.12</w:t>
            </w:r>
          </w:p>
        </w:tc>
        <w:tc>
          <w:tcPr>
            <w:tcW w:w="7420" w:type="dxa"/>
            <w:vAlign w:val="bottom"/>
          </w:tcPr>
          <w:p>
            <w:pPr>
              <w:ind w:left="240"/>
              <w:spacing w:after="0"/>
              <w:rPr>
                <w:sz w:val="20"/>
                <w:szCs w:val="20"/>
                <w:color w:val="auto"/>
              </w:rPr>
            </w:pPr>
            <w:r>
              <w:rPr>
                <w:rFonts w:ascii="Arial" w:cs="Arial" w:eastAsia="Arial" w:hAnsi="Arial"/>
                <w:sz w:val="18"/>
                <w:szCs w:val="18"/>
                <w:color w:val="auto"/>
              </w:rPr>
              <w:t>Taxes</w:t>
            </w:r>
          </w:p>
        </w:tc>
        <w:tc>
          <w:tcPr>
            <w:tcW w:w="2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3.13</w:t>
            </w:r>
          </w:p>
        </w:tc>
        <w:tc>
          <w:tcPr>
            <w:tcW w:w="7420" w:type="dxa"/>
            <w:vAlign w:val="bottom"/>
          </w:tcPr>
          <w:p>
            <w:pPr>
              <w:ind w:left="240"/>
              <w:spacing w:after="0"/>
              <w:rPr>
                <w:sz w:val="20"/>
                <w:szCs w:val="20"/>
                <w:color w:val="auto"/>
              </w:rPr>
            </w:pPr>
            <w:r>
              <w:rPr>
                <w:rFonts w:ascii="Arial" w:cs="Arial" w:eastAsia="Arial" w:hAnsi="Arial"/>
                <w:sz w:val="18"/>
                <w:szCs w:val="18"/>
                <w:color w:val="auto"/>
              </w:rPr>
              <w:t>Compliance with Laws</w:t>
            </w:r>
          </w:p>
        </w:tc>
        <w:tc>
          <w:tcPr>
            <w:tcW w:w="2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3.14</w:t>
            </w:r>
          </w:p>
        </w:tc>
        <w:tc>
          <w:tcPr>
            <w:tcW w:w="742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2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3.15</w:t>
            </w:r>
          </w:p>
        </w:tc>
        <w:tc>
          <w:tcPr>
            <w:tcW w:w="7420" w:type="dxa"/>
            <w:vAlign w:val="bottom"/>
          </w:tcPr>
          <w:p>
            <w:pPr>
              <w:ind w:left="240"/>
              <w:spacing w:after="0"/>
              <w:rPr>
                <w:sz w:val="20"/>
                <w:szCs w:val="20"/>
                <w:color w:val="auto"/>
              </w:rPr>
            </w:pPr>
            <w:r>
              <w:rPr>
                <w:rFonts w:ascii="Arial" w:cs="Arial" w:eastAsia="Arial" w:hAnsi="Arial"/>
                <w:sz w:val="18"/>
                <w:szCs w:val="18"/>
                <w:color w:val="auto"/>
              </w:rPr>
              <w:t>Material Contracts</w:t>
            </w:r>
          </w:p>
        </w:tc>
        <w:tc>
          <w:tcPr>
            <w:tcW w:w="2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3.16</w:t>
            </w:r>
          </w:p>
        </w:tc>
        <w:tc>
          <w:tcPr>
            <w:tcW w:w="7420" w:type="dxa"/>
            <w:vAlign w:val="bottom"/>
          </w:tcPr>
          <w:p>
            <w:pPr>
              <w:ind w:left="240"/>
              <w:spacing w:after="0"/>
              <w:rPr>
                <w:sz w:val="20"/>
                <w:szCs w:val="20"/>
                <w:color w:val="auto"/>
              </w:rPr>
            </w:pPr>
            <w:r>
              <w:rPr>
                <w:rFonts w:ascii="Arial" w:cs="Arial" w:eastAsia="Arial" w:hAnsi="Arial"/>
                <w:sz w:val="18"/>
                <w:szCs w:val="18"/>
                <w:color w:val="auto"/>
              </w:rPr>
              <w:t>Brokers, Finders</w:t>
            </w:r>
          </w:p>
        </w:tc>
        <w:tc>
          <w:tcPr>
            <w:tcW w:w="2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3.17</w:t>
            </w:r>
          </w:p>
        </w:tc>
        <w:tc>
          <w:tcPr>
            <w:tcW w:w="7420" w:type="dxa"/>
            <w:vAlign w:val="bottom"/>
          </w:tcPr>
          <w:p>
            <w:pPr>
              <w:ind w:left="240"/>
              <w:spacing w:after="0"/>
              <w:rPr>
                <w:sz w:val="20"/>
                <w:szCs w:val="20"/>
                <w:color w:val="auto"/>
              </w:rPr>
            </w:pPr>
            <w:r>
              <w:rPr>
                <w:rFonts w:ascii="Arial" w:cs="Arial" w:eastAsia="Arial" w:hAnsi="Arial"/>
                <w:sz w:val="18"/>
                <w:szCs w:val="18"/>
                <w:color w:val="auto"/>
              </w:rPr>
              <w:t>Board Approval</w:t>
            </w:r>
          </w:p>
        </w:tc>
        <w:tc>
          <w:tcPr>
            <w:tcW w:w="2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3.18</w:t>
            </w:r>
          </w:p>
        </w:tc>
        <w:tc>
          <w:tcPr>
            <w:tcW w:w="7420" w:type="dxa"/>
            <w:vAlign w:val="bottom"/>
          </w:tcPr>
          <w:p>
            <w:pPr>
              <w:ind w:left="240"/>
              <w:spacing w:after="0"/>
              <w:rPr>
                <w:sz w:val="20"/>
                <w:szCs w:val="20"/>
                <w:color w:val="auto"/>
              </w:rPr>
            </w:pPr>
            <w:r>
              <w:rPr>
                <w:rFonts w:ascii="Arial" w:cs="Arial" w:eastAsia="Arial" w:hAnsi="Arial"/>
                <w:sz w:val="18"/>
                <w:szCs w:val="18"/>
                <w:color w:val="auto"/>
              </w:rPr>
              <w:t>Environmental Health and Safety Matters</w:t>
            </w:r>
          </w:p>
        </w:tc>
        <w:tc>
          <w:tcPr>
            <w:tcW w:w="2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3.19</w:t>
            </w:r>
          </w:p>
        </w:tc>
        <w:tc>
          <w:tcPr>
            <w:tcW w:w="7420" w:type="dxa"/>
            <w:vAlign w:val="bottom"/>
          </w:tcPr>
          <w:p>
            <w:pPr>
              <w:ind w:left="240"/>
              <w:spacing w:after="0"/>
              <w:rPr>
                <w:sz w:val="20"/>
                <w:szCs w:val="20"/>
                <w:color w:val="auto"/>
              </w:rPr>
            </w:pPr>
            <w:r>
              <w:rPr>
                <w:rFonts w:ascii="Arial" w:cs="Arial" w:eastAsia="Arial" w:hAnsi="Arial"/>
                <w:sz w:val="18"/>
                <w:szCs w:val="18"/>
                <w:color w:val="auto"/>
              </w:rPr>
              <w:t>Employee Benefit Plans</w:t>
            </w:r>
          </w:p>
        </w:tc>
        <w:tc>
          <w:tcPr>
            <w:tcW w:w="2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3.20</w:t>
            </w:r>
          </w:p>
        </w:tc>
        <w:tc>
          <w:tcPr>
            <w:tcW w:w="7420" w:type="dxa"/>
            <w:vAlign w:val="bottom"/>
          </w:tcPr>
          <w:p>
            <w:pPr>
              <w:ind w:left="240"/>
              <w:spacing w:after="0"/>
              <w:rPr>
                <w:sz w:val="20"/>
                <w:szCs w:val="20"/>
                <w:color w:val="auto"/>
              </w:rPr>
            </w:pPr>
            <w:r>
              <w:rPr>
                <w:rFonts w:ascii="Arial" w:cs="Arial" w:eastAsia="Arial" w:hAnsi="Arial"/>
                <w:sz w:val="18"/>
                <w:szCs w:val="18"/>
                <w:color w:val="auto"/>
              </w:rPr>
              <w:t>Products; Recalls</w:t>
            </w:r>
          </w:p>
        </w:tc>
        <w:tc>
          <w:tcPr>
            <w:tcW w:w="2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3.21</w:t>
            </w:r>
          </w:p>
        </w:tc>
        <w:tc>
          <w:tcPr>
            <w:tcW w:w="7420" w:type="dxa"/>
            <w:vAlign w:val="bottom"/>
          </w:tcPr>
          <w:p>
            <w:pPr>
              <w:ind w:left="240"/>
              <w:spacing w:after="0"/>
              <w:rPr>
                <w:sz w:val="20"/>
                <w:szCs w:val="20"/>
                <w:color w:val="auto"/>
              </w:rPr>
            </w:pPr>
            <w:r>
              <w:rPr>
                <w:rFonts w:ascii="Arial" w:cs="Arial" w:eastAsia="Arial" w:hAnsi="Arial"/>
                <w:sz w:val="18"/>
                <w:szCs w:val="18"/>
                <w:color w:val="auto"/>
              </w:rPr>
              <w:t>Transactions with Affiliates</w:t>
            </w:r>
          </w:p>
        </w:tc>
        <w:tc>
          <w:tcPr>
            <w:tcW w:w="2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3.22</w:t>
            </w:r>
          </w:p>
        </w:tc>
        <w:tc>
          <w:tcPr>
            <w:tcW w:w="7420" w:type="dxa"/>
            <w:vAlign w:val="bottom"/>
          </w:tcPr>
          <w:p>
            <w:pPr>
              <w:ind w:left="240"/>
              <w:spacing w:after="0"/>
              <w:rPr>
                <w:sz w:val="20"/>
                <w:szCs w:val="20"/>
                <w:color w:val="auto"/>
              </w:rPr>
            </w:pPr>
            <w:r>
              <w:rPr>
                <w:rFonts w:ascii="Arial" w:cs="Arial" w:eastAsia="Arial" w:hAnsi="Arial"/>
                <w:sz w:val="18"/>
                <w:szCs w:val="18"/>
                <w:color w:val="auto"/>
              </w:rPr>
              <w:t>Customers and Suppliers</w:t>
            </w:r>
          </w:p>
        </w:tc>
        <w:tc>
          <w:tcPr>
            <w:tcW w:w="2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3.23</w:t>
            </w:r>
          </w:p>
        </w:tc>
        <w:tc>
          <w:tcPr>
            <w:tcW w:w="74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3.24</w:t>
            </w:r>
          </w:p>
        </w:tc>
        <w:tc>
          <w:tcPr>
            <w:tcW w:w="7420" w:type="dxa"/>
            <w:vAlign w:val="bottom"/>
          </w:tcPr>
          <w:p>
            <w:pPr>
              <w:ind w:left="240"/>
              <w:spacing w:after="0"/>
              <w:rPr>
                <w:sz w:val="20"/>
                <w:szCs w:val="20"/>
                <w:color w:val="auto"/>
              </w:rPr>
            </w:pPr>
            <w:r>
              <w:rPr>
                <w:rFonts w:ascii="Arial" w:cs="Arial" w:eastAsia="Arial" w:hAnsi="Arial"/>
                <w:sz w:val="18"/>
                <w:szCs w:val="18"/>
                <w:color w:val="auto"/>
              </w:rPr>
              <w:t>Regulatory Matters</w:t>
            </w:r>
          </w:p>
        </w:tc>
        <w:tc>
          <w:tcPr>
            <w:tcW w:w="2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3.25</w:t>
            </w:r>
          </w:p>
        </w:tc>
        <w:tc>
          <w:tcPr>
            <w:tcW w:w="7420" w:type="dxa"/>
            <w:vAlign w:val="bottom"/>
          </w:tcPr>
          <w:p>
            <w:pPr>
              <w:ind w:left="240"/>
              <w:spacing w:after="0"/>
              <w:rPr>
                <w:sz w:val="20"/>
                <w:szCs w:val="20"/>
                <w:color w:val="auto"/>
              </w:rPr>
            </w:pPr>
            <w:r>
              <w:rPr>
                <w:rFonts w:ascii="Arial" w:cs="Arial" w:eastAsia="Arial" w:hAnsi="Arial"/>
                <w:sz w:val="18"/>
                <w:szCs w:val="18"/>
                <w:color w:val="auto"/>
              </w:rPr>
              <w:t>Investor Representations</w:t>
            </w:r>
          </w:p>
        </w:tc>
        <w:tc>
          <w:tcPr>
            <w:tcW w:w="2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PURCHASERS</w:t>
            </w:r>
          </w:p>
        </w:tc>
        <w:tc>
          <w:tcPr>
            <w:tcW w:w="2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4.1</w:t>
            </w:r>
          </w:p>
        </w:tc>
        <w:tc>
          <w:tcPr>
            <w:tcW w:w="7420" w:type="dxa"/>
            <w:vAlign w:val="bottom"/>
          </w:tcPr>
          <w:p>
            <w:pPr>
              <w:ind w:left="240"/>
              <w:spacing w:after="0"/>
              <w:rPr>
                <w:sz w:val="20"/>
                <w:szCs w:val="20"/>
                <w:color w:val="auto"/>
              </w:rPr>
            </w:pPr>
            <w:r>
              <w:rPr>
                <w:rFonts w:ascii="Arial" w:cs="Arial" w:eastAsia="Arial" w:hAnsi="Arial"/>
                <w:sz w:val="18"/>
                <w:szCs w:val="18"/>
                <w:color w:val="auto"/>
              </w:rPr>
              <w:t>Organization; Authorization; Ownership</w:t>
            </w:r>
          </w:p>
        </w:tc>
        <w:tc>
          <w:tcPr>
            <w:tcW w:w="2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4.2</w:t>
            </w:r>
          </w:p>
        </w:tc>
        <w:tc>
          <w:tcPr>
            <w:tcW w:w="7420" w:type="dxa"/>
            <w:vAlign w:val="bottom"/>
          </w:tcPr>
          <w:p>
            <w:pPr>
              <w:ind w:left="240"/>
              <w:spacing w:after="0"/>
              <w:rPr>
                <w:sz w:val="20"/>
                <w:szCs w:val="20"/>
                <w:color w:val="auto"/>
              </w:rPr>
            </w:pPr>
            <w:r>
              <w:rPr>
                <w:rFonts w:ascii="Arial" w:cs="Arial" w:eastAsia="Arial" w:hAnsi="Arial"/>
                <w:sz w:val="18"/>
                <w:szCs w:val="18"/>
                <w:color w:val="auto"/>
              </w:rPr>
              <w:t>No Consents</w:t>
            </w:r>
          </w:p>
        </w:tc>
        <w:tc>
          <w:tcPr>
            <w:tcW w:w="2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4.3</w:t>
            </w:r>
          </w:p>
        </w:tc>
        <w:tc>
          <w:tcPr>
            <w:tcW w:w="7420" w:type="dxa"/>
            <w:vAlign w:val="bottom"/>
          </w:tcPr>
          <w:p>
            <w:pPr>
              <w:ind w:left="240"/>
              <w:spacing w:after="0"/>
              <w:rPr>
                <w:sz w:val="20"/>
                <w:szCs w:val="20"/>
                <w:color w:val="auto"/>
              </w:rPr>
            </w:pPr>
            <w:r>
              <w:rPr>
                <w:rFonts w:ascii="Arial" w:cs="Arial" w:eastAsia="Arial" w:hAnsi="Arial"/>
                <w:sz w:val="18"/>
                <w:szCs w:val="18"/>
                <w:color w:val="auto"/>
              </w:rPr>
              <w:t>Compliance with Laws</w:t>
            </w:r>
          </w:p>
        </w:tc>
        <w:tc>
          <w:tcPr>
            <w:tcW w:w="2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4.4</w:t>
            </w:r>
          </w:p>
        </w:tc>
        <w:tc>
          <w:tcPr>
            <w:tcW w:w="7420" w:type="dxa"/>
            <w:vAlign w:val="bottom"/>
          </w:tcPr>
          <w:p>
            <w:pPr>
              <w:ind w:left="240"/>
              <w:spacing w:after="0"/>
              <w:rPr>
                <w:sz w:val="20"/>
                <w:szCs w:val="20"/>
                <w:color w:val="auto"/>
              </w:rPr>
            </w:pPr>
            <w:r>
              <w:rPr>
                <w:rFonts w:ascii="Arial" w:cs="Arial" w:eastAsia="Arial" w:hAnsi="Arial"/>
                <w:sz w:val="18"/>
                <w:szCs w:val="18"/>
                <w:color w:val="auto"/>
              </w:rPr>
              <w:t>Brokers; Finders</w:t>
            </w:r>
          </w:p>
        </w:tc>
        <w:tc>
          <w:tcPr>
            <w:tcW w:w="2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4.5</w:t>
            </w:r>
          </w:p>
        </w:tc>
        <w:tc>
          <w:tcPr>
            <w:tcW w:w="7420" w:type="dxa"/>
            <w:vAlign w:val="bottom"/>
          </w:tcPr>
          <w:p>
            <w:pPr>
              <w:ind w:left="240"/>
              <w:spacing w:after="0"/>
              <w:rPr>
                <w:sz w:val="20"/>
                <w:szCs w:val="20"/>
                <w:color w:val="auto"/>
              </w:rPr>
            </w:pPr>
            <w:r>
              <w:rPr>
                <w:rFonts w:ascii="Arial" w:cs="Arial" w:eastAsia="Arial" w:hAnsi="Arial"/>
                <w:sz w:val="18"/>
                <w:szCs w:val="18"/>
                <w:color w:val="auto"/>
              </w:rPr>
              <w:t>Acquisition of Transferred Interests for Investment</w:t>
            </w:r>
          </w:p>
        </w:tc>
        <w:tc>
          <w:tcPr>
            <w:tcW w:w="2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4.6</w:t>
            </w:r>
          </w:p>
        </w:tc>
        <w:tc>
          <w:tcPr>
            <w:tcW w:w="7420" w:type="dxa"/>
            <w:vAlign w:val="bottom"/>
          </w:tcPr>
          <w:p>
            <w:pPr>
              <w:ind w:left="240"/>
              <w:spacing w:after="0"/>
              <w:rPr>
                <w:sz w:val="20"/>
                <w:szCs w:val="20"/>
                <w:color w:val="auto"/>
              </w:rPr>
            </w:pPr>
            <w:r>
              <w:rPr>
                <w:rFonts w:ascii="Arial" w:cs="Arial" w:eastAsia="Arial" w:hAnsi="Arial"/>
                <w:sz w:val="18"/>
                <w:szCs w:val="18"/>
                <w:color w:val="auto"/>
              </w:rPr>
              <w:t>Debt Financing</w:t>
            </w:r>
          </w:p>
        </w:tc>
        <w:tc>
          <w:tcPr>
            <w:tcW w:w="2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4.7</w:t>
            </w:r>
          </w:p>
        </w:tc>
        <w:tc>
          <w:tcPr>
            <w:tcW w:w="7420" w:type="dxa"/>
            <w:vAlign w:val="bottom"/>
          </w:tcPr>
          <w:p>
            <w:pPr>
              <w:ind w:left="240"/>
              <w:spacing w:after="0"/>
              <w:rPr>
                <w:sz w:val="20"/>
                <w:szCs w:val="20"/>
                <w:color w:val="auto"/>
              </w:rPr>
            </w:pPr>
            <w:r>
              <w:rPr>
                <w:rFonts w:ascii="Arial" w:cs="Arial" w:eastAsia="Arial" w:hAnsi="Arial"/>
                <w:sz w:val="18"/>
                <w:szCs w:val="18"/>
                <w:color w:val="auto"/>
              </w:rPr>
              <w:t>Regulatory Matters</w:t>
            </w:r>
          </w:p>
        </w:tc>
        <w:tc>
          <w:tcPr>
            <w:tcW w:w="2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4.8</w:t>
            </w:r>
          </w:p>
        </w:tc>
        <w:tc>
          <w:tcPr>
            <w:tcW w:w="7420" w:type="dxa"/>
            <w:vAlign w:val="bottom"/>
          </w:tcPr>
          <w:p>
            <w:pPr>
              <w:ind w:left="240"/>
              <w:spacing w:after="0"/>
              <w:rPr>
                <w:sz w:val="20"/>
                <w:szCs w:val="20"/>
                <w:color w:val="auto"/>
              </w:rPr>
            </w:pPr>
            <w:r>
              <w:rPr>
                <w:rFonts w:ascii="Arial" w:cs="Arial" w:eastAsia="Arial" w:hAnsi="Arial"/>
                <w:sz w:val="18"/>
                <w:szCs w:val="18"/>
                <w:color w:val="auto"/>
              </w:rPr>
              <w:t>No Other Representations or Warranties</w:t>
            </w:r>
          </w:p>
        </w:tc>
        <w:tc>
          <w:tcPr>
            <w:tcW w:w="2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color w:val="auto"/>
              </w:rPr>
              <w:t>ARTICLE V COVENANTS</w:t>
            </w:r>
          </w:p>
        </w:tc>
        <w:tc>
          <w:tcPr>
            <w:tcW w:w="2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5.1</w:t>
            </w:r>
          </w:p>
        </w:tc>
        <w:tc>
          <w:tcPr>
            <w:tcW w:w="7420" w:type="dxa"/>
            <w:vAlign w:val="bottom"/>
          </w:tcPr>
          <w:p>
            <w:pPr>
              <w:ind w:left="240"/>
              <w:spacing w:after="0"/>
              <w:rPr>
                <w:sz w:val="20"/>
                <w:szCs w:val="20"/>
                <w:color w:val="auto"/>
              </w:rPr>
            </w:pPr>
            <w:r>
              <w:rPr>
                <w:rFonts w:ascii="Arial" w:cs="Arial" w:eastAsia="Arial" w:hAnsi="Arial"/>
                <w:sz w:val="18"/>
                <w:szCs w:val="18"/>
                <w:color w:val="auto"/>
              </w:rPr>
              <w:t>Access to Books and Records</w:t>
            </w:r>
          </w:p>
        </w:tc>
        <w:tc>
          <w:tcPr>
            <w:tcW w:w="2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100" w:type="dxa"/>
            <w:vAlign w:val="bottom"/>
          </w:tcPr>
          <w:p>
            <w:pPr>
              <w:spacing w:after="0"/>
              <w:rPr>
                <w:sz w:val="24"/>
                <w:szCs w:val="24"/>
                <w:color w:val="auto"/>
              </w:rPr>
            </w:pPr>
          </w:p>
        </w:tc>
        <w:tc>
          <w:tcPr>
            <w:tcW w:w="7420" w:type="dxa"/>
            <w:vAlign w:val="bottom"/>
          </w:tcPr>
          <w:p>
            <w:pPr>
              <w:ind w:left="4560"/>
              <w:spacing w:after="0"/>
              <w:rPr>
                <w:sz w:val="20"/>
                <w:szCs w:val="20"/>
                <w:color w:val="auto"/>
              </w:rPr>
            </w:pPr>
            <w:r>
              <w:rPr>
                <w:rFonts w:ascii="Arial" w:cs="Arial" w:eastAsia="Arial" w:hAnsi="Arial"/>
                <w:sz w:val="18"/>
                <w:szCs w:val="18"/>
                <w:color w:val="auto"/>
              </w:rPr>
              <w:t>ii</w:t>
            </w:r>
          </w:p>
        </w:tc>
        <w:tc>
          <w:tcPr>
            <w:tcW w:w="2940" w:type="dxa"/>
            <w:vAlign w:val="bottom"/>
          </w:tcPr>
          <w:p>
            <w:pPr>
              <w:spacing w:after="0"/>
              <w:rPr>
                <w:sz w:val="24"/>
                <w:szCs w:val="24"/>
                <w:color w:val="auto"/>
              </w:rPr>
            </w:pPr>
          </w:p>
        </w:tc>
      </w:tr>
      <w:tr>
        <w:trPr>
          <w:trHeight w:val="132"/>
        </w:trPr>
        <w:tc>
          <w:tcPr>
            <w:tcW w:w="1100" w:type="dxa"/>
            <w:vAlign w:val="bottom"/>
            <w:tcBorders>
              <w:bottom w:val="single" w:sz="8" w:color="010101"/>
            </w:tcBorders>
          </w:tcPr>
          <w:p>
            <w:pPr>
              <w:spacing w:after="0"/>
              <w:rPr>
                <w:sz w:val="11"/>
                <w:szCs w:val="11"/>
                <w:color w:val="auto"/>
              </w:rPr>
            </w:pPr>
          </w:p>
        </w:tc>
        <w:tc>
          <w:tcPr>
            <w:tcW w:w="7420" w:type="dxa"/>
            <w:vAlign w:val="bottom"/>
            <w:tcBorders>
              <w:bottom w:val="single" w:sz="8" w:color="010101"/>
            </w:tcBorders>
          </w:tcPr>
          <w:p>
            <w:pPr>
              <w:spacing w:after="0"/>
              <w:rPr>
                <w:sz w:val="11"/>
                <w:szCs w:val="11"/>
                <w:color w:val="auto"/>
              </w:rPr>
            </w:pPr>
          </w:p>
        </w:tc>
        <w:tc>
          <w:tcPr>
            <w:tcW w:w="2940" w:type="dxa"/>
            <w:vAlign w:val="bottom"/>
            <w:tcBorders>
              <w:bottom w:val="single" w:sz="8" w:color="010101"/>
            </w:tcBorders>
          </w:tcPr>
          <w:p>
            <w:pPr>
              <w:spacing w:after="0"/>
              <w:rPr>
                <w:sz w:val="11"/>
                <w:szCs w:val="11"/>
                <w:color w:val="auto"/>
              </w:rPr>
            </w:pPr>
          </w:p>
        </w:tc>
      </w:tr>
      <w:tr>
        <w:trPr>
          <w:trHeight w:val="780"/>
        </w:trPr>
        <w:tc>
          <w:tcPr>
            <w:tcW w:w="1100" w:type="dxa"/>
            <w:vAlign w:val="bottom"/>
          </w:tcPr>
          <w:p>
            <w:pPr>
              <w:ind w:left="540"/>
              <w:spacing w:after="0"/>
              <w:rPr>
                <w:sz w:val="20"/>
                <w:szCs w:val="20"/>
                <w:color w:val="auto"/>
              </w:rPr>
            </w:pPr>
            <w:r>
              <w:rPr>
                <w:rFonts w:ascii="Arial" w:cs="Arial" w:eastAsia="Arial" w:hAnsi="Arial"/>
                <w:sz w:val="18"/>
                <w:szCs w:val="18"/>
                <w:color w:val="auto"/>
              </w:rPr>
              <w:t>5.2</w:t>
            </w:r>
          </w:p>
        </w:tc>
        <w:tc>
          <w:tcPr>
            <w:tcW w:w="7420" w:type="dxa"/>
            <w:vAlign w:val="bottom"/>
          </w:tcPr>
          <w:p>
            <w:pPr>
              <w:ind w:left="240"/>
              <w:spacing w:after="0"/>
              <w:rPr>
                <w:sz w:val="20"/>
                <w:szCs w:val="20"/>
                <w:color w:val="auto"/>
              </w:rPr>
            </w:pPr>
            <w:r>
              <w:rPr>
                <w:rFonts w:ascii="Arial" w:cs="Arial" w:eastAsia="Arial" w:hAnsi="Arial"/>
                <w:sz w:val="18"/>
                <w:szCs w:val="18"/>
                <w:color w:val="auto"/>
              </w:rPr>
              <w:t>Efforts</w:t>
            </w:r>
          </w:p>
        </w:tc>
        <w:tc>
          <w:tcPr>
            <w:tcW w:w="2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5.3</w:t>
            </w:r>
          </w:p>
        </w:tc>
        <w:tc>
          <w:tcPr>
            <w:tcW w:w="7420" w:type="dxa"/>
            <w:vAlign w:val="bottom"/>
          </w:tcPr>
          <w:p>
            <w:pPr>
              <w:ind w:left="240"/>
              <w:spacing w:after="0"/>
              <w:rPr>
                <w:sz w:val="20"/>
                <w:szCs w:val="20"/>
                <w:color w:val="auto"/>
              </w:rPr>
            </w:pPr>
            <w:r>
              <w:rPr>
                <w:rFonts w:ascii="Arial" w:cs="Arial" w:eastAsia="Arial" w:hAnsi="Arial"/>
                <w:sz w:val="18"/>
                <w:szCs w:val="18"/>
                <w:color w:val="auto"/>
              </w:rPr>
              <w:t>Further Assurances</w:t>
            </w:r>
          </w:p>
        </w:tc>
        <w:tc>
          <w:tcPr>
            <w:tcW w:w="2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5.4</w:t>
            </w:r>
          </w:p>
        </w:tc>
        <w:tc>
          <w:tcPr>
            <w:tcW w:w="7420" w:type="dxa"/>
            <w:vAlign w:val="bottom"/>
          </w:tcPr>
          <w:p>
            <w:pPr>
              <w:ind w:left="240"/>
              <w:spacing w:after="0"/>
              <w:rPr>
                <w:sz w:val="20"/>
                <w:szCs w:val="20"/>
                <w:color w:val="auto"/>
              </w:rPr>
            </w:pPr>
            <w:r>
              <w:rPr>
                <w:rFonts w:ascii="Arial" w:cs="Arial" w:eastAsia="Arial" w:hAnsi="Arial"/>
                <w:sz w:val="18"/>
                <w:szCs w:val="18"/>
                <w:color w:val="auto"/>
              </w:rPr>
              <w:t>Conduct of Business</w:t>
            </w:r>
          </w:p>
        </w:tc>
        <w:tc>
          <w:tcPr>
            <w:tcW w:w="29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5.5</w:t>
            </w:r>
          </w:p>
        </w:tc>
        <w:tc>
          <w:tcPr>
            <w:tcW w:w="7420" w:type="dxa"/>
            <w:vAlign w:val="bottom"/>
          </w:tcPr>
          <w:p>
            <w:pPr>
              <w:ind w:left="240"/>
              <w:spacing w:after="0"/>
              <w:rPr>
                <w:sz w:val="20"/>
                <w:szCs w:val="20"/>
                <w:color w:val="auto"/>
              </w:rPr>
            </w:pPr>
            <w:r>
              <w:rPr>
                <w:rFonts w:ascii="Arial" w:cs="Arial" w:eastAsia="Arial" w:hAnsi="Arial"/>
                <w:sz w:val="18"/>
                <w:szCs w:val="18"/>
                <w:color w:val="auto"/>
              </w:rPr>
              <w:t>Consents</w:t>
            </w:r>
          </w:p>
        </w:tc>
        <w:tc>
          <w:tcPr>
            <w:tcW w:w="29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5.6</w:t>
            </w:r>
          </w:p>
        </w:tc>
        <w:tc>
          <w:tcPr>
            <w:tcW w:w="7420" w:type="dxa"/>
            <w:vAlign w:val="bottom"/>
          </w:tcPr>
          <w:p>
            <w:pPr>
              <w:ind w:left="240"/>
              <w:spacing w:after="0"/>
              <w:rPr>
                <w:sz w:val="20"/>
                <w:szCs w:val="20"/>
                <w:color w:val="auto"/>
              </w:rPr>
            </w:pPr>
            <w:r>
              <w:rPr>
                <w:rFonts w:ascii="Arial" w:cs="Arial" w:eastAsia="Arial" w:hAnsi="Arial"/>
                <w:sz w:val="18"/>
                <w:szCs w:val="18"/>
                <w:color w:val="auto"/>
              </w:rPr>
              <w:t>Public Announcements</w:t>
            </w:r>
          </w:p>
        </w:tc>
        <w:tc>
          <w:tcPr>
            <w:tcW w:w="29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5.7</w:t>
            </w:r>
          </w:p>
        </w:tc>
        <w:tc>
          <w:tcPr>
            <w:tcW w:w="7420" w:type="dxa"/>
            <w:vAlign w:val="bottom"/>
          </w:tcPr>
          <w:p>
            <w:pPr>
              <w:ind w:left="240"/>
              <w:spacing w:after="0"/>
              <w:rPr>
                <w:sz w:val="20"/>
                <w:szCs w:val="20"/>
                <w:color w:val="auto"/>
              </w:rPr>
            </w:pPr>
            <w:r>
              <w:rPr>
                <w:rFonts w:ascii="Arial" w:cs="Arial" w:eastAsia="Arial" w:hAnsi="Arial"/>
                <w:sz w:val="18"/>
                <w:szCs w:val="18"/>
                <w:color w:val="auto"/>
              </w:rPr>
              <w:t>Intercompany Accounts</w:t>
            </w:r>
          </w:p>
        </w:tc>
        <w:tc>
          <w:tcPr>
            <w:tcW w:w="29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5.8</w:t>
            </w:r>
          </w:p>
        </w:tc>
        <w:tc>
          <w:tcPr>
            <w:tcW w:w="7420" w:type="dxa"/>
            <w:vAlign w:val="bottom"/>
          </w:tcPr>
          <w:p>
            <w:pPr>
              <w:ind w:left="240"/>
              <w:spacing w:after="0"/>
              <w:rPr>
                <w:sz w:val="20"/>
                <w:szCs w:val="20"/>
                <w:color w:val="auto"/>
              </w:rPr>
            </w:pPr>
            <w:r>
              <w:rPr>
                <w:rFonts w:ascii="Arial" w:cs="Arial" w:eastAsia="Arial" w:hAnsi="Arial"/>
                <w:sz w:val="18"/>
                <w:szCs w:val="18"/>
                <w:color w:val="auto"/>
              </w:rPr>
              <w:t>Termination of Intercompany Agreements</w:t>
            </w:r>
          </w:p>
        </w:tc>
        <w:tc>
          <w:tcPr>
            <w:tcW w:w="2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5.9</w:t>
            </w:r>
          </w:p>
        </w:tc>
        <w:tc>
          <w:tcPr>
            <w:tcW w:w="742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294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-9897745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-9897745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-2445385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-2445385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341"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100" w:type="dxa"/>
            <w:vAlign w:val="bottom"/>
          </w:tcPr>
          <w:p>
            <w:pPr>
              <w:ind w:left="540"/>
              <w:spacing w:after="0"/>
              <w:rPr>
                <w:sz w:val="20"/>
                <w:szCs w:val="20"/>
                <w:color w:val="auto"/>
              </w:rPr>
            </w:pPr>
            <w:r>
              <w:rPr>
                <w:rFonts w:ascii="Arial" w:cs="Arial" w:eastAsia="Arial" w:hAnsi="Arial"/>
                <w:sz w:val="18"/>
                <w:szCs w:val="18"/>
                <w:color w:val="auto"/>
              </w:rPr>
              <w:t>5.10</w:t>
            </w:r>
          </w:p>
        </w:tc>
        <w:tc>
          <w:tcPr>
            <w:tcW w:w="7420" w:type="dxa"/>
            <w:vAlign w:val="bottom"/>
          </w:tcPr>
          <w:p>
            <w:pPr>
              <w:ind w:left="240"/>
              <w:spacing w:after="0"/>
              <w:rPr>
                <w:sz w:val="20"/>
                <w:szCs w:val="20"/>
                <w:color w:val="auto"/>
              </w:rPr>
            </w:pPr>
            <w:r>
              <w:rPr>
                <w:rFonts w:ascii="Arial" w:cs="Arial" w:eastAsia="Arial" w:hAnsi="Arial"/>
                <w:sz w:val="18"/>
                <w:szCs w:val="18"/>
                <w:color w:val="auto"/>
              </w:rPr>
              <w:t>Litigation Support</w:t>
            </w:r>
          </w:p>
        </w:tc>
        <w:tc>
          <w:tcPr>
            <w:tcW w:w="2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5.11</w:t>
            </w:r>
          </w:p>
        </w:tc>
        <w:tc>
          <w:tcPr>
            <w:tcW w:w="7420" w:type="dxa"/>
            <w:vAlign w:val="bottom"/>
          </w:tcPr>
          <w:p>
            <w:pPr>
              <w:ind w:left="240"/>
              <w:spacing w:after="0"/>
              <w:rPr>
                <w:sz w:val="20"/>
                <w:szCs w:val="20"/>
                <w:color w:val="auto"/>
              </w:rPr>
            </w:pPr>
            <w:r>
              <w:rPr>
                <w:rFonts w:ascii="Arial" w:cs="Arial" w:eastAsia="Arial" w:hAnsi="Arial"/>
                <w:sz w:val="18"/>
                <w:szCs w:val="18"/>
                <w:color w:val="auto"/>
              </w:rPr>
              <w:t>Payments</w:t>
            </w:r>
          </w:p>
        </w:tc>
        <w:tc>
          <w:tcPr>
            <w:tcW w:w="2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5.12</w:t>
            </w:r>
          </w:p>
        </w:tc>
        <w:tc>
          <w:tcPr>
            <w:tcW w:w="7420" w:type="dxa"/>
            <w:vAlign w:val="bottom"/>
          </w:tcPr>
          <w:p>
            <w:pPr>
              <w:ind w:left="240"/>
              <w:spacing w:after="0"/>
              <w:rPr>
                <w:sz w:val="20"/>
                <w:szCs w:val="20"/>
                <w:color w:val="auto"/>
              </w:rPr>
            </w:pPr>
            <w:r>
              <w:rPr>
                <w:rFonts w:ascii="Arial" w:cs="Arial" w:eastAsia="Arial" w:hAnsi="Arial"/>
                <w:sz w:val="18"/>
                <w:szCs w:val="18"/>
                <w:color w:val="auto"/>
              </w:rPr>
              <w:t>Debt Financing</w:t>
            </w:r>
          </w:p>
        </w:tc>
        <w:tc>
          <w:tcPr>
            <w:tcW w:w="29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5.13</w:t>
            </w:r>
          </w:p>
        </w:tc>
        <w:tc>
          <w:tcPr>
            <w:tcW w:w="7420" w:type="dxa"/>
            <w:vAlign w:val="bottom"/>
          </w:tcPr>
          <w:p>
            <w:pPr>
              <w:ind w:left="240"/>
              <w:spacing w:after="0"/>
              <w:rPr>
                <w:sz w:val="20"/>
                <w:szCs w:val="20"/>
                <w:color w:val="auto"/>
              </w:rPr>
            </w:pPr>
            <w:r>
              <w:rPr>
                <w:rFonts w:ascii="Arial" w:cs="Arial" w:eastAsia="Arial" w:hAnsi="Arial"/>
                <w:sz w:val="18"/>
                <w:szCs w:val="18"/>
                <w:color w:val="auto"/>
              </w:rPr>
              <w:t>Directors and Officers Indemnification</w:t>
            </w:r>
          </w:p>
        </w:tc>
        <w:tc>
          <w:tcPr>
            <w:tcW w:w="2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5.14</w:t>
            </w:r>
          </w:p>
        </w:tc>
        <w:tc>
          <w:tcPr>
            <w:tcW w:w="7420" w:type="dxa"/>
            <w:vAlign w:val="bottom"/>
          </w:tcPr>
          <w:p>
            <w:pPr>
              <w:ind w:left="240"/>
              <w:spacing w:after="0"/>
              <w:rPr>
                <w:sz w:val="20"/>
                <w:szCs w:val="20"/>
                <w:color w:val="auto"/>
              </w:rPr>
            </w:pPr>
            <w:r>
              <w:rPr>
                <w:rFonts w:ascii="Arial" w:cs="Arial" w:eastAsia="Arial" w:hAnsi="Arial"/>
                <w:sz w:val="18"/>
                <w:szCs w:val="18"/>
                <w:color w:val="auto"/>
              </w:rPr>
              <w:t>Non-Competition; Non-Solicitation</w:t>
            </w:r>
          </w:p>
        </w:tc>
        <w:tc>
          <w:tcPr>
            <w:tcW w:w="2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5.15</w:t>
            </w:r>
          </w:p>
        </w:tc>
        <w:tc>
          <w:tcPr>
            <w:tcW w:w="7420" w:type="dxa"/>
            <w:vAlign w:val="bottom"/>
          </w:tcPr>
          <w:p>
            <w:pPr>
              <w:ind w:left="240"/>
              <w:spacing w:after="0"/>
              <w:rPr>
                <w:sz w:val="20"/>
                <w:szCs w:val="20"/>
                <w:color w:val="auto"/>
              </w:rPr>
            </w:pPr>
            <w:r>
              <w:rPr>
                <w:rFonts w:ascii="Arial" w:cs="Arial" w:eastAsia="Arial" w:hAnsi="Arial"/>
                <w:sz w:val="18"/>
                <w:szCs w:val="18"/>
                <w:color w:val="auto"/>
              </w:rPr>
              <w:t>Indebtedness/Lien Release</w:t>
            </w:r>
          </w:p>
        </w:tc>
        <w:tc>
          <w:tcPr>
            <w:tcW w:w="2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5.16</w:t>
            </w:r>
          </w:p>
        </w:tc>
        <w:tc>
          <w:tcPr>
            <w:tcW w:w="7420" w:type="dxa"/>
            <w:vAlign w:val="bottom"/>
          </w:tcPr>
          <w:p>
            <w:pPr>
              <w:ind w:left="240"/>
              <w:spacing w:after="0"/>
              <w:rPr>
                <w:sz w:val="20"/>
                <w:szCs w:val="20"/>
                <w:color w:val="auto"/>
              </w:rPr>
            </w:pPr>
            <w:r>
              <w:rPr>
                <w:rFonts w:ascii="Arial" w:cs="Arial" w:eastAsia="Arial" w:hAnsi="Arial"/>
                <w:sz w:val="18"/>
                <w:szCs w:val="18"/>
                <w:color w:val="auto"/>
              </w:rPr>
              <w:t>Additional Financial Statements</w:t>
            </w:r>
          </w:p>
        </w:tc>
        <w:tc>
          <w:tcPr>
            <w:tcW w:w="2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5.17</w:t>
            </w:r>
          </w:p>
        </w:tc>
        <w:tc>
          <w:tcPr>
            <w:tcW w:w="7420" w:type="dxa"/>
            <w:vAlign w:val="bottom"/>
          </w:tcPr>
          <w:p>
            <w:pPr>
              <w:ind w:left="240"/>
              <w:spacing w:after="0"/>
              <w:rPr>
                <w:sz w:val="20"/>
                <w:szCs w:val="20"/>
                <w:color w:val="auto"/>
              </w:rPr>
            </w:pPr>
            <w:r>
              <w:rPr>
                <w:rFonts w:ascii="Arial" w:cs="Arial" w:eastAsia="Arial" w:hAnsi="Arial"/>
                <w:sz w:val="18"/>
                <w:szCs w:val="18"/>
                <w:color w:val="auto"/>
              </w:rPr>
              <w:t>Change of Name of Transferred Entities</w:t>
            </w:r>
          </w:p>
        </w:tc>
        <w:tc>
          <w:tcPr>
            <w:tcW w:w="2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5.18</w:t>
            </w:r>
          </w:p>
        </w:tc>
        <w:tc>
          <w:tcPr>
            <w:tcW w:w="7420" w:type="dxa"/>
            <w:vAlign w:val="bottom"/>
          </w:tcPr>
          <w:p>
            <w:pPr>
              <w:ind w:left="240"/>
              <w:spacing w:after="0"/>
              <w:rPr>
                <w:sz w:val="20"/>
                <w:szCs w:val="20"/>
                <w:color w:val="auto"/>
              </w:rPr>
            </w:pPr>
            <w:r>
              <w:rPr>
                <w:rFonts w:ascii="Arial" w:cs="Arial" w:eastAsia="Arial" w:hAnsi="Arial"/>
                <w:sz w:val="18"/>
                <w:szCs w:val="18"/>
                <w:color w:val="auto"/>
              </w:rPr>
              <w:t>Transition Services Agreement and Supply Agreements</w:t>
            </w:r>
          </w:p>
        </w:tc>
        <w:tc>
          <w:tcPr>
            <w:tcW w:w="2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5.19</w:t>
            </w:r>
          </w:p>
        </w:tc>
        <w:tc>
          <w:tcPr>
            <w:tcW w:w="7420" w:type="dxa"/>
            <w:vAlign w:val="bottom"/>
          </w:tcPr>
          <w:p>
            <w:pPr>
              <w:ind w:left="240"/>
              <w:spacing w:after="0"/>
              <w:rPr>
                <w:sz w:val="20"/>
                <w:szCs w:val="20"/>
                <w:color w:val="auto"/>
              </w:rPr>
            </w:pPr>
            <w:r>
              <w:rPr>
                <w:rFonts w:ascii="Arial" w:cs="Arial" w:eastAsia="Arial" w:hAnsi="Arial"/>
                <w:sz w:val="18"/>
                <w:szCs w:val="18"/>
                <w:color w:val="auto"/>
              </w:rPr>
              <w:t>Exclusivity</w:t>
            </w:r>
          </w:p>
        </w:tc>
        <w:tc>
          <w:tcPr>
            <w:tcW w:w="2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5.20</w:t>
            </w:r>
          </w:p>
        </w:tc>
        <w:tc>
          <w:tcPr>
            <w:tcW w:w="7420" w:type="dxa"/>
            <w:vAlign w:val="bottom"/>
          </w:tcPr>
          <w:p>
            <w:pPr>
              <w:ind w:left="240"/>
              <w:spacing w:after="0"/>
              <w:rPr>
                <w:sz w:val="20"/>
                <w:szCs w:val="20"/>
                <w:color w:val="auto"/>
              </w:rPr>
            </w:pPr>
            <w:r>
              <w:rPr>
                <w:rFonts w:ascii="Arial" w:cs="Arial" w:eastAsia="Arial" w:hAnsi="Arial"/>
                <w:sz w:val="18"/>
                <w:szCs w:val="18"/>
                <w:color w:val="auto"/>
              </w:rPr>
              <w:t>Solvency</w:t>
            </w:r>
          </w:p>
        </w:tc>
        <w:tc>
          <w:tcPr>
            <w:tcW w:w="2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5.21</w:t>
            </w:r>
          </w:p>
        </w:tc>
        <w:tc>
          <w:tcPr>
            <w:tcW w:w="7420" w:type="dxa"/>
            <w:vAlign w:val="bottom"/>
          </w:tcPr>
          <w:p>
            <w:pPr>
              <w:ind w:left="240"/>
              <w:spacing w:after="0"/>
              <w:rPr>
                <w:sz w:val="20"/>
                <w:szCs w:val="20"/>
                <w:color w:val="auto"/>
              </w:rPr>
            </w:pPr>
            <w:r>
              <w:rPr>
                <w:rFonts w:ascii="Arial" w:cs="Arial" w:eastAsia="Arial" w:hAnsi="Arial"/>
                <w:sz w:val="18"/>
                <w:szCs w:val="18"/>
                <w:color w:val="auto"/>
              </w:rPr>
              <w:t>Data Room</w:t>
            </w:r>
          </w:p>
        </w:tc>
        <w:tc>
          <w:tcPr>
            <w:tcW w:w="2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color w:val="auto"/>
              </w:rPr>
              <w:t>ARTICLE VI EMPLOYEE MATTERS COVENANTS</w:t>
            </w:r>
          </w:p>
        </w:tc>
        <w:tc>
          <w:tcPr>
            <w:tcW w:w="2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6.1</w:t>
            </w:r>
          </w:p>
        </w:tc>
        <w:tc>
          <w:tcPr>
            <w:tcW w:w="7420" w:type="dxa"/>
            <w:vAlign w:val="bottom"/>
          </w:tcPr>
          <w:p>
            <w:pPr>
              <w:ind w:left="240"/>
              <w:spacing w:after="0"/>
              <w:rPr>
                <w:sz w:val="20"/>
                <w:szCs w:val="20"/>
                <w:color w:val="auto"/>
              </w:rPr>
            </w:pPr>
            <w:r>
              <w:rPr>
                <w:rFonts w:ascii="Arial" w:cs="Arial" w:eastAsia="Arial" w:hAnsi="Arial"/>
                <w:sz w:val="18"/>
                <w:szCs w:val="18"/>
                <w:color w:val="auto"/>
              </w:rPr>
              <w:t>Benefit Continuation</w:t>
            </w:r>
          </w:p>
        </w:tc>
        <w:tc>
          <w:tcPr>
            <w:tcW w:w="2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6.2</w:t>
            </w:r>
          </w:p>
        </w:tc>
        <w:tc>
          <w:tcPr>
            <w:tcW w:w="7420" w:type="dxa"/>
            <w:vAlign w:val="bottom"/>
          </w:tcPr>
          <w:p>
            <w:pPr>
              <w:ind w:left="240"/>
              <w:spacing w:after="0"/>
              <w:rPr>
                <w:sz w:val="20"/>
                <w:szCs w:val="20"/>
                <w:color w:val="auto"/>
              </w:rPr>
            </w:pPr>
            <w:r>
              <w:rPr>
                <w:rFonts w:ascii="Arial" w:cs="Arial" w:eastAsia="Arial" w:hAnsi="Arial"/>
                <w:sz w:val="18"/>
                <w:szCs w:val="18"/>
                <w:color w:val="auto"/>
              </w:rPr>
              <w:t>Service Credit</w:t>
            </w:r>
          </w:p>
        </w:tc>
        <w:tc>
          <w:tcPr>
            <w:tcW w:w="2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6.3</w:t>
            </w:r>
          </w:p>
        </w:tc>
        <w:tc>
          <w:tcPr>
            <w:tcW w:w="7420" w:type="dxa"/>
            <w:vAlign w:val="bottom"/>
          </w:tcPr>
          <w:p>
            <w:pPr>
              <w:ind w:left="240"/>
              <w:spacing w:after="0"/>
              <w:rPr>
                <w:sz w:val="20"/>
                <w:szCs w:val="20"/>
                <w:color w:val="auto"/>
              </w:rPr>
            </w:pPr>
            <w:r>
              <w:rPr>
                <w:rFonts w:ascii="Arial" w:cs="Arial" w:eastAsia="Arial" w:hAnsi="Arial"/>
                <w:sz w:val="18"/>
                <w:szCs w:val="18"/>
                <w:color w:val="auto"/>
              </w:rPr>
              <w:t>Employment Continuation</w:t>
            </w:r>
          </w:p>
        </w:tc>
        <w:tc>
          <w:tcPr>
            <w:tcW w:w="2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6.4</w:t>
            </w:r>
          </w:p>
        </w:tc>
        <w:tc>
          <w:tcPr>
            <w:tcW w:w="7420" w:type="dxa"/>
            <w:vAlign w:val="bottom"/>
          </w:tcPr>
          <w:p>
            <w:pPr>
              <w:ind w:left="240"/>
              <w:spacing w:after="0"/>
              <w:rPr>
                <w:sz w:val="20"/>
                <w:szCs w:val="20"/>
                <w:color w:val="auto"/>
              </w:rPr>
            </w:pPr>
            <w:r>
              <w:rPr>
                <w:rFonts w:ascii="Arial" w:cs="Arial" w:eastAsia="Arial" w:hAnsi="Arial"/>
                <w:sz w:val="18"/>
                <w:szCs w:val="18"/>
                <w:color w:val="auto"/>
              </w:rPr>
              <w:t>Retention Bonuses</w:t>
            </w:r>
          </w:p>
        </w:tc>
        <w:tc>
          <w:tcPr>
            <w:tcW w:w="2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1100" w:type="dxa"/>
            <w:vAlign w:val="bottom"/>
          </w:tcPr>
          <w:p>
            <w:pPr>
              <w:spacing w:after="0"/>
              <w:rPr>
                <w:sz w:val="24"/>
                <w:szCs w:val="24"/>
                <w:color w:val="auto"/>
              </w:rPr>
            </w:pPr>
          </w:p>
        </w:tc>
        <w:tc>
          <w:tcPr>
            <w:tcW w:w="7420" w:type="dxa"/>
            <w:vAlign w:val="bottom"/>
          </w:tcPr>
          <w:p>
            <w:pPr>
              <w:ind w:left="4540"/>
              <w:spacing w:after="0"/>
              <w:rPr>
                <w:sz w:val="20"/>
                <w:szCs w:val="20"/>
                <w:color w:val="auto"/>
              </w:rPr>
            </w:pPr>
            <w:r>
              <w:rPr>
                <w:rFonts w:ascii="Arial" w:cs="Arial" w:eastAsia="Arial" w:hAnsi="Arial"/>
                <w:sz w:val="18"/>
                <w:szCs w:val="18"/>
                <w:color w:val="auto"/>
              </w:rPr>
              <w:t>iii</w:t>
            </w:r>
          </w:p>
        </w:tc>
        <w:tc>
          <w:tcPr>
            <w:tcW w:w="2940" w:type="dxa"/>
            <w:vAlign w:val="bottom"/>
          </w:tcPr>
          <w:p>
            <w:pPr>
              <w:spacing w:after="0"/>
              <w:rPr>
                <w:sz w:val="24"/>
                <w:szCs w:val="24"/>
                <w:color w:val="auto"/>
              </w:rPr>
            </w:pPr>
          </w:p>
        </w:tc>
      </w:tr>
      <w:tr>
        <w:trPr>
          <w:trHeight w:val="132"/>
        </w:trPr>
        <w:tc>
          <w:tcPr>
            <w:tcW w:w="1100" w:type="dxa"/>
            <w:vAlign w:val="bottom"/>
            <w:tcBorders>
              <w:bottom w:val="single" w:sz="8" w:color="010101"/>
            </w:tcBorders>
          </w:tcPr>
          <w:p>
            <w:pPr>
              <w:spacing w:after="0"/>
              <w:rPr>
                <w:sz w:val="11"/>
                <w:szCs w:val="11"/>
                <w:color w:val="auto"/>
              </w:rPr>
            </w:pPr>
          </w:p>
        </w:tc>
        <w:tc>
          <w:tcPr>
            <w:tcW w:w="7420" w:type="dxa"/>
            <w:vAlign w:val="bottom"/>
            <w:tcBorders>
              <w:bottom w:val="single" w:sz="8" w:color="010101"/>
            </w:tcBorders>
          </w:tcPr>
          <w:p>
            <w:pPr>
              <w:spacing w:after="0"/>
              <w:rPr>
                <w:sz w:val="11"/>
                <w:szCs w:val="11"/>
                <w:color w:val="auto"/>
              </w:rPr>
            </w:pPr>
          </w:p>
        </w:tc>
        <w:tc>
          <w:tcPr>
            <w:tcW w:w="2940" w:type="dxa"/>
            <w:vAlign w:val="bottom"/>
            <w:tcBorders>
              <w:bottom w:val="single" w:sz="8" w:color="010101"/>
            </w:tcBorders>
          </w:tcPr>
          <w:p>
            <w:pPr>
              <w:spacing w:after="0"/>
              <w:rPr>
                <w:sz w:val="11"/>
                <w:szCs w:val="11"/>
                <w:color w:val="auto"/>
              </w:rPr>
            </w:pPr>
          </w:p>
        </w:tc>
      </w:tr>
      <w:tr>
        <w:trPr>
          <w:trHeight w:val="780"/>
        </w:trPr>
        <w:tc>
          <w:tcPr>
            <w:tcW w:w="1100" w:type="dxa"/>
            <w:vAlign w:val="bottom"/>
          </w:tcPr>
          <w:p>
            <w:pPr>
              <w:ind w:left="540"/>
              <w:spacing w:after="0"/>
              <w:rPr>
                <w:sz w:val="20"/>
                <w:szCs w:val="20"/>
                <w:color w:val="auto"/>
              </w:rPr>
            </w:pPr>
            <w:r>
              <w:rPr>
                <w:rFonts w:ascii="Arial" w:cs="Arial" w:eastAsia="Arial" w:hAnsi="Arial"/>
                <w:sz w:val="18"/>
                <w:szCs w:val="18"/>
                <w:color w:val="auto"/>
              </w:rPr>
              <w:t>6.5</w:t>
            </w:r>
          </w:p>
        </w:tc>
        <w:tc>
          <w:tcPr>
            <w:tcW w:w="7420" w:type="dxa"/>
            <w:vAlign w:val="bottom"/>
          </w:tcPr>
          <w:p>
            <w:pPr>
              <w:ind w:left="240"/>
              <w:spacing w:after="0"/>
              <w:rPr>
                <w:sz w:val="20"/>
                <w:szCs w:val="20"/>
                <w:color w:val="auto"/>
              </w:rPr>
            </w:pPr>
            <w:r>
              <w:rPr>
                <w:rFonts w:ascii="Arial" w:cs="Arial" w:eastAsia="Arial" w:hAnsi="Arial"/>
                <w:sz w:val="18"/>
                <w:szCs w:val="18"/>
                <w:color w:val="auto"/>
              </w:rPr>
              <w:t>Accrued Vacation Payment</w:t>
            </w:r>
          </w:p>
        </w:tc>
        <w:tc>
          <w:tcPr>
            <w:tcW w:w="2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color w:val="auto"/>
              </w:rPr>
              <w:t>ARTICLE VII TAX MATTERS</w:t>
            </w:r>
          </w:p>
        </w:tc>
        <w:tc>
          <w:tcPr>
            <w:tcW w:w="2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7.1</w:t>
            </w:r>
          </w:p>
        </w:tc>
        <w:tc>
          <w:tcPr>
            <w:tcW w:w="7420" w:type="dxa"/>
            <w:vAlign w:val="bottom"/>
          </w:tcPr>
          <w:p>
            <w:pPr>
              <w:ind w:left="240"/>
              <w:spacing w:after="0"/>
              <w:rPr>
                <w:sz w:val="20"/>
                <w:szCs w:val="20"/>
                <w:color w:val="auto"/>
              </w:rPr>
            </w:pPr>
            <w:r>
              <w:rPr>
                <w:rFonts w:ascii="Arial" w:cs="Arial" w:eastAsia="Arial" w:hAnsi="Arial"/>
                <w:sz w:val="18"/>
                <w:szCs w:val="18"/>
                <w:color w:val="auto"/>
              </w:rPr>
              <w:t>Generally</w:t>
            </w:r>
          </w:p>
        </w:tc>
        <w:tc>
          <w:tcPr>
            <w:tcW w:w="2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7.2</w:t>
            </w:r>
          </w:p>
        </w:tc>
        <w:tc>
          <w:tcPr>
            <w:tcW w:w="7420" w:type="dxa"/>
            <w:vAlign w:val="bottom"/>
          </w:tcPr>
          <w:p>
            <w:pPr>
              <w:ind w:left="240"/>
              <w:spacing w:after="0"/>
              <w:rPr>
                <w:sz w:val="20"/>
                <w:szCs w:val="20"/>
                <w:color w:val="auto"/>
              </w:rPr>
            </w:pPr>
            <w:r>
              <w:rPr>
                <w:rFonts w:ascii="Arial" w:cs="Arial" w:eastAsia="Arial" w:hAnsi="Arial"/>
                <w:sz w:val="18"/>
                <w:szCs w:val="18"/>
                <w:color w:val="auto"/>
              </w:rPr>
              <w:t>Tax Indemnification</w:t>
            </w:r>
          </w:p>
        </w:tc>
        <w:tc>
          <w:tcPr>
            <w:tcW w:w="2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7.3</w:t>
            </w:r>
          </w:p>
        </w:tc>
        <w:tc>
          <w:tcPr>
            <w:tcW w:w="7420" w:type="dxa"/>
            <w:vAlign w:val="bottom"/>
          </w:tcPr>
          <w:p>
            <w:pPr>
              <w:ind w:left="240"/>
              <w:spacing w:after="0"/>
              <w:rPr>
                <w:sz w:val="20"/>
                <w:szCs w:val="20"/>
                <w:color w:val="auto"/>
              </w:rPr>
            </w:pPr>
            <w:r>
              <w:rPr>
                <w:rFonts w:ascii="Arial" w:cs="Arial" w:eastAsia="Arial" w:hAnsi="Arial"/>
                <w:sz w:val="18"/>
                <w:szCs w:val="18"/>
                <w:color w:val="auto"/>
              </w:rPr>
              <w:t>Straddle Period</w:t>
            </w:r>
          </w:p>
        </w:tc>
        <w:tc>
          <w:tcPr>
            <w:tcW w:w="2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7.4</w:t>
            </w:r>
          </w:p>
        </w:tc>
        <w:tc>
          <w:tcPr>
            <w:tcW w:w="7420" w:type="dxa"/>
            <w:vAlign w:val="bottom"/>
          </w:tcPr>
          <w:p>
            <w:pPr>
              <w:ind w:left="240"/>
              <w:spacing w:after="0"/>
              <w:rPr>
                <w:sz w:val="20"/>
                <w:szCs w:val="20"/>
                <w:color w:val="auto"/>
              </w:rPr>
            </w:pPr>
            <w:r>
              <w:rPr>
                <w:rFonts w:ascii="Arial" w:cs="Arial" w:eastAsia="Arial" w:hAnsi="Arial"/>
                <w:sz w:val="18"/>
                <w:szCs w:val="18"/>
                <w:color w:val="auto"/>
              </w:rPr>
              <w:t>Tax Proceedings</w:t>
            </w:r>
          </w:p>
        </w:tc>
        <w:tc>
          <w:tcPr>
            <w:tcW w:w="2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7.5</w:t>
            </w:r>
          </w:p>
        </w:tc>
        <w:tc>
          <w:tcPr>
            <w:tcW w:w="7420" w:type="dxa"/>
            <w:vAlign w:val="bottom"/>
          </w:tcPr>
          <w:p>
            <w:pPr>
              <w:ind w:left="240"/>
              <w:spacing w:after="0"/>
              <w:rPr>
                <w:sz w:val="20"/>
                <w:szCs w:val="20"/>
                <w:color w:val="auto"/>
              </w:rPr>
            </w:pPr>
            <w:r>
              <w:rPr>
                <w:rFonts w:ascii="Arial" w:cs="Arial" w:eastAsia="Arial" w:hAnsi="Arial"/>
                <w:sz w:val="18"/>
                <w:szCs w:val="18"/>
                <w:color w:val="auto"/>
              </w:rPr>
              <w:t>Cooperation on Tax Matters</w:t>
            </w:r>
          </w:p>
        </w:tc>
        <w:tc>
          <w:tcPr>
            <w:tcW w:w="29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7.6</w:t>
            </w:r>
          </w:p>
        </w:tc>
        <w:tc>
          <w:tcPr>
            <w:tcW w:w="7420" w:type="dxa"/>
            <w:vAlign w:val="bottom"/>
          </w:tcPr>
          <w:p>
            <w:pPr>
              <w:ind w:left="240"/>
              <w:spacing w:after="0"/>
              <w:rPr>
                <w:sz w:val="20"/>
                <w:szCs w:val="20"/>
                <w:color w:val="auto"/>
              </w:rPr>
            </w:pPr>
            <w:r>
              <w:rPr>
                <w:rFonts w:ascii="Arial" w:cs="Arial" w:eastAsia="Arial" w:hAnsi="Arial"/>
                <w:sz w:val="18"/>
                <w:szCs w:val="18"/>
                <w:color w:val="auto"/>
              </w:rPr>
              <w:t>Certain Taxes and Fees</w:t>
            </w:r>
          </w:p>
        </w:tc>
        <w:tc>
          <w:tcPr>
            <w:tcW w:w="29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7.7</w:t>
            </w:r>
          </w:p>
        </w:tc>
        <w:tc>
          <w:tcPr>
            <w:tcW w:w="7420" w:type="dxa"/>
            <w:vAlign w:val="bottom"/>
          </w:tcPr>
          <w:p>
            <w:pPr>
              <w:ind w:left="240"/>
              <w:spacing w:after="0"/>
              <w:rPr>
                <w:sz w:val="20"/>
                <w:szCs w:val="20"/>
                <w:color w:val="auto"/>
              </w:rPr>
            </w:pPr>
            <w:r>
              <w:rPr>
                <w:rFonts w:ascii="Arial" w:cs="Arial" w:eastAsia="Arial" w:hAnsi="Arial"/>
                <w:sz w:val="18"/>
                <w:szCs w:val="18"/>
                <w:color w:val="auto"/>
              </w:rPr>
              <w:t>Survival</w:t>
            </w:r>
          </w:p>
        </w:tc>
        <w:tc>
          <w:tcPr>
            <w:tcW w:w="2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color w:val="auto"/>
              </w:rPr>
              <w:t>ARTICLE VIII CONDITIONS TO OBLIGATIONS TO CLOSE</w:t>
            </w:r>
          </w:p>
        </w:tc>
        <w:tc>
          <w:tcPr>
            <w:tcW w:w="2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8.1</w:t>
            </w:r>
          </w:p>
        </w:tc>
        <w:tc>
          <w:tcPr>
            <w:tcW w:w="7420" w:type="dxa"/>
            <w:vAlign w:val="bottom"/>
          </w:tcPr>
          <w:p>
            <w:pPr>
              <w:ind w:left="240"/>
              <w:spacing w:after="0"/>
              <w:rPr>
                <w:sz w:val="20"/>
                <w:szCs w:val="20"/>
                <w:color w:val="auto"/>
              </w:rPr>
            </w:pPr>
            <w:r>
              <w:rPr>
                <w:rFonts w:ascii="Arial" w:cs="Arial" w:eastAsia="Arial" w:hAnsi="Arial"/>
                <w:sz w:val="18"/>
                <w:szCs w:val="18"/>
                <w:color w:val="auto"/>
              </w:rPr>
              <w:t>Conditions to Obligation of Each Party to Close</w:t>
            </w:r>
          </w:p>
        </w:tc>
        <w:tc>
          <w:tcPr>
            <w:tcW w:w="2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8.2</w:t>
            </w:r>
          </w:p>
        </w:tc>
        <w:tc>
          <w:tcPr>
            <w:tcW w:w="7420" w:type="dxa"/>
            <w:vAlign w:val="bottom"/>
          </w:tcPr>
          <w:p>
            <w:pPr>
              <w:ind w:left="240"/>
              <w:spacing w:after="0"/>
              <w:rPr>
                <w:sz w:val="20"/>
                <w:szCs w:val="20"/>
                <w:color w:val="auto"/>
              </w:rPr>
            </w:pPr>
            <w:r>
              <w:rPr>
                <w:rFonts w:ascii="Arial" w:cs="Arial" w:eastAsia="Arial" w:hAnsi="Arial"/>
                <w:sz w:val="18"/>
                <w:szCs w:val="18"/>
                <w:color w:val="auto"/>
              </w:rPr>
              <w:t>Conditions to Purchasers’ Obligation to Close</w:t>
            </w:r>
          </w:p>
        </w:tc>
        <w:tc>
          <w:tcPr>
            <w:tcW w:w="2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8.3</w:t>
            </w:r>
          </w:p>
        </w:tc>
        <w:tc>
          <w:tcPr>
            <w:tcW w:w="7420" w:type="dxa"/>
            <w:vAlign w:val="bottom"/>
          </w:tcPr>
          <w:p>
            <w:pPr>
              <w:ind w:left="240"/>
              <w:spacing w:after="0"/>
              <w:rPr>
                <w:sz w:val="20"/>
                <w:szCs w:val="20"/>
                <w:color w:val="auto"/>
              </w:rPr>
            </w:pPr>
            <w:r>
              <w:rPr>
                <w:rFonts w:ascii="Arial" w:cs="Arial" w:eastAsia="Arial" w:hAnsi="Arial"/>
                <w:sz w:val="18"/>
                <w:szCs w:val="18"/>
                <w:color w:val="auto"/>
              </w:rPr>
              <w:t>Conditions to Sellers’ Obligation to Close</w:t>
            </w:r>
          </w:p>
        </w:tc>
        <w:tc>
          <w:tcPr>
            <w:tcW w:w="29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color w:val="auto"/>
              </w:rPr>
              <w:t>ARTICLE IX TERMINATION</w:t>
            </w:r>
          </w:p>
        </w:tc>
        <w:tc>
          <w:tcPr>
            <w:tcW w:w="29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9.1</w:t>
            </w:r>
          </w:p>
        </w:tc>
        <w:tc>
          <w:tcPr>
            <w:tcW w:w="7420" w:type="dxa"/>
            <w:vAlign w:val="bottom"/>
          </w:tcPr>
          <w:p>
            <w:pPr>
              <w:ind w:left="240"/>
              <w:spacing w:after="0"/>
              <w:rPr>
                <w:sz w:val="20"/>
                <w:szCs w:val="20"/>
                <w:color w:val="auto"/>
              </w:rPr>
            </w:pPr>
            <w:r>
              <w:rPr>
                <w:rFonts w:ascii="Arial" w:cs="Arial" w:eastAsia="Arial" w:hAnsi="Arial"/>
                <w:sz w:val="18"/>
                <w:szCs w:val="18"/>
                <w:color w:val="auto"/>
              </w:rPr>
              <w:t>Termination</w:t>
            </w:r>
          </w:p>
        </w:tc>
        <w:tc>
          <w:tcPr>
            <w:tcW w:w="29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9.2</w:t>
            </w:r>
          </w:p>
        </w:tc>
        <w:tc>
          <w:tcPr>
            <w:tcW w:w="7420" w:type="dxa"/>
            <w:vAlign w:val="bottom"/>
          </w:tcPr>
          <w:p>
            <w:pPr>
              <w:ind w:left="240"/>
              <w:spacing w:after="0"/>
              <w:rPr>
                <w:sz w:val="20"/>
                <w:szCs w:val="20"/>
                <w:color w:val="auto"/>
              </w:rPr>
            </w:pPr>
            <w:r>
              <w:rPr>
                <w:rFonts w:ascii="Arial" w:cs="Arial" w:eastAsia="Arial" w:hAnsi="Arial"/>
                <w:sz w:val="18"/>
                <w:szCs w:val="18"/>
                <w:color w:val="auto"/>
              </w:rPr>
              <w:t>Notice of Termination</w:t>
            </w:r>
          </w:p>
        </w:tc>
        <w:tc>
          <w:tcPr>
            <w:tcW w:w="29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9.3</w:t>
            </w:r>
          </w:p>
        </w:tc>
        <w:tc>
          <w:tcPr>
            <w:tcW w:w="7420" w:type="dxa"/>
            <w:vAlign w:val="bottom"/>
          </w:tcPr>
          <w:p>
            <w:pPr>
              <w:ind w:left="240"/>
              <w:spacing w:after="0"/>
              <w:rPr>
                <w:sz w:val="20"/>
                <w:szCs w:val="20"/>
                <w:color w:val="auto"/>
              </w:rPr>
            </w:pPr>
            <w:r>
              <w:rPr>
                <w:rFonts w:ascii="Arial" w:cs="Arial" w:eastAsia="Arial" w:hAnsi="Arial"/>
                <w:sz w:val="18"/>
                <w:szCs w:val="18"/>
                <w:color w:val="auto"/>
              </w:rPr>
              <w:t>Effect of Termination</w:t>
            </w:r>
          </w:p>
        </w:tc>
        <w:tc>
          <w:tcPr>
            <w:tcW w:w="29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9.4</w:t>
            </w:r>
          </w:p>
        </w:tc>
        <w:tc>
          <w:tcPr>
            <w:tcW w:w="7420" w:type="dxa"/>
            <w:vAlign w:val="bottom"/>
          </w:tcPr>
          <w:p>
            <w:pPr>
              <w:ind w:left="240"/>
              <w:spacing w:after="0"/>
              <w:rPr>
                <w:sz w:val="20"/>
                <w:szCs w:val="20"/>
                <w:color w:val="auto"/>
              </w:rPr>
            </w:pPr>
            <w:r>
              <w:rPr>
                <w:rFonts w:ascii="Arial" w:cs="Arial" w:eastAsia="Arial" w:hAnsi="Arial"/>
                <w:sz w:val="18"/>
                <w:szCs w:val="18"/>
                <w:color w:val="auto"/>
              </w:rPr>
              <w:t>Reverse Termination Fee</w:t>
            </w:r>
          </w:p>
        </w:tc>
        <w:tc>
          <w:tcPr>
            <w:tcW w:w="29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color w:val="auto"/>
              </w:rPr>
              <w:t>ARTICLE X SURVIVAL; INDEMNIFICATION; LIQUIDATED DAMAGES</w:t>
            </w:r>
          </w:p>
        </w:tc>
        <w:tc>
          <w:tcPr>
            <w:tcW w:w="294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-5464175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-5464175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5" w:name="page6"/>
    <w:bookmarkEnd w:id="5"/>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10.1</w:t>
            </w:r>
          </w:p>
        </w:tc>
        <w:tc>
          <w:tcPr>
            <w:tcW w:w="7380" w:type="dxa"/>
            <w:vAlign w:val="bottom"/>
          </w:tcPr>
          <w:p>
            <w:pPr>
              <w:ind w:left="200"/>
              <w:spacing w:after="0"/>
              <w:rPr>
                <w:sz w:val="20"/>
                <w:szCs w:val="20"/>
                <w:color w:val="auto"/>
              </w:rPr>
            </w:pPr>
            <w:r>
              <w:rPr>
                <w:rFonts w:ascii="Arial" w:cs="Arial" w:eastAsia="Arial" w:hAnsi="Arial"/>
                <w:sz w:val="18"/>
                <w:szCs w:val="18"/>
                <w:color w:val="auto"/>
              </w:rPr>
              <w:t>Survival Periods</w:t>
            </w:r>
          </w:p>
        </w:tc>
        <w:tc>
          <w:tcPr>
            <w:tcW w:w="29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10.2</w:t>
            </w:r>
          </w:p>
        </w:tc>
        <w:tc>
          <w:tcPr>
            <w:tcW w:w="7380" w:type="dxa"/>
            <w:vAlign w:val="bottom"/>
          </w:tcPr>
          <w:p>
            <w:pPr>
              <w:ind w:left="200"/>
              <w:spacing w:after="0"/>
              <w:rPr>
                <w:sz w:val="20"/>
                <w:szCs w:val="20"/>
                <w:color w:val="auto"/>
              </w:rPr>
            </w:pPr>
            <w:r>
              <w:rPr>
                <w:rFonts w:ascii="Arial" w:cs="Arial" w:eastAsia="Arial" w:hAnsi="Arial"/>
                <w:sz w:val="18"/>
                <w:szCs w:val="18"/>
                <w:color w:val="auto"/>
              </w:rPr>
              <w:t>Indemnification by Sellers</w:t>
            </w:r>
          </w:p>
        </w:tc>
        <w:tc>
          <w:tcPr>
            <w:tcW w:w="29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10.3</w:t>
            </w:r>
          </w:p>
        </w:tc>
        <w:tc>
          <w:tcPr>
            <w:tcW w:w="7380" w:type="dxa"/>
            <w:vAlign w:val="bottom"/>
          </w:tcPr>
          <w:p>
            <w:pPr>
              <w:ind w:left="200"/>
              <w:spacing w:after="0"/>
              <w:rPr>
                <w:sz w:val="20"/>
                <w:szCs w:val="20"/>
                <w:color w:val="auto"/>
              </w:rPr>
            </w:pPr>
            <w:r>
              <w:rPr>
                <w:rFonts w:ascii="Arial" w:cs="Arial" w:eastAsia="Arial" w:hAnsi="Arial"/>
                <w:sz w:val="18"/>
                <w:szCs w:val="18"/>
                <w:color w:val="auto"/>
              </w:rPr>
              <w:t>Indemnification by Purchasers</w:t>
            </w:r>
          </w:p>
        </w:tc>
        <w:tc>
          <w:tcPr>
            <w:tcW w:w="29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10.4</w:t>
            </w:r>
          </w:p>
        </w:tc>
        <w:tc>
          <w:tcPr>
            <w:tcW w:w="7380" w:type="dxa"/>
            <w:vAlign w:val="bottom"/>
          </w:tcPr>
          <w:p>
            <w:pPr>
              <w:ind w:left="200"/>
              <w:spacing w:after="0"/>
              <w:rPr>
                <w:sz w:val="20"/>
                <w:szCs w:val="20"/>
                <w:color w:val="auto"/>
              </w:rPr>
            </w:pPr>
            <w:r>
              <w:rPr>
                <w:rFonts w:ascii="Arial" w:cs="Arial" w:eastAsia="Arial" w:hAnsi="Arial"/>
                <w:sz w:val="18"/>
                <w:szCs w:val="18"/>
                <w:color w:val="auto"/>
              </w:rPr>
              <w:t>Indemnification Procedures</w:t>
            </w:r>
          </w:p>
        </w:tc>
        <w:tc>
          <w:tcPr>
            <w:tcW w:w="29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10.5</w:t>
            </w:r>
          </w:p>
        </w:tc>
        <w:tc>
          <w:tcPr>
            <w:tcW w:w="7380" w:type="dxa"/>
            <w:vAlign w:val="bottom"/>
          </w:tcPr>
          <w:p>
            <w:pPr>
              <w:ind w:left="200"/>
              <w:spacing w:after="0"/>
              <w:rPr>
                <w:sz w:val="20"/>
                <w:szCs w:val="20"/>
                <w:color w:val="auto"/>
              </w:rPr>
            </w:pPr>
            <w:r>
              <w:rPr>
                <w:rFonts w:ascii="Arial" w:cs="Arial" w:eastAsia="Arial" w:hAnsi="Arial"/>
                <w:sz w:val="18"/>
                <w:szCs w:val="18"/>
                <w:color w:val="auto"/>
              </w:rPr>
              <w:t>Limitations</w:t>
            </w:r>
          </w:p>
        </w:tc>
        <w:tc>
          <w:tcPr>
            <w:tcW w:w="29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10.6</w:t>
            </w:r>
          </w:p>
        </w:tc>
        <w:tc>
          <w:tcPr>
            <w:tcW w:w="7380" w:type="dxa"/>
            <w:vAlign w:val="bottom"/>
          </w:tcPr>
          <w:p>
            <w:pPr>
              <w:ind w:left="200"/>
              <w:spacing w:after="0"/>
              <w:rPr>
                <w:sz w:val="20"/>
                <w:szCs w:val="20"/>
                <w:color w:val="auto"/>
              </w:rPr>
            </w:pPr>
            <w:r>
              <w:rPr>
                <w:rFonts w:ascii="Arial" w:cs="Arial" w:eastAsia="Arial" w:hAnsi="Arial"/>
                <w:sz w:val="18"/>
                <w:szCs w:val="18"/>
                <w:color w:val="auto"/>
              </w:rPr>
              <w:t>Mitigation; Additional Indemnification Provisions</w:t>
            </w:r>
          </w:p>
        </w:tc>
        <w:tc>
          <w:tcPr>
            <w:tcW w:w="29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380" w:type="dxa"/>
            <w:vAlign w:val="bottom"/>
          </w:tcPr>
          <w:p>
            <w:pPr>
              <w:ind w:left="4500"/>
              <w:spacing w:after="0"/>
              <w:rPr>
                <w:sz w:val="20"/>
                <w:szCs w:val="20"/>
                <w:color w:val="auto"/>
              </w:rPr>
            </w:pPr>
            <w:r>
              <w:rPr>
                <w:rFonts w:ascii="Arial" w:cs="Arial" w:eastAsia="Arial" w:hAnsi="Arial"/>
                <w:sz w:val="18"/>
                <w:szCs w:val="18"/>
                <w:color w:val="auto"/>
              </w:rPr>
              <w:t>iv</w:t>
            </w:r>
          </w:p>
        </w:tc>
        <w:tc>
          <w:tcPr>
            <w:tcW w:w="2940" w:type="dxa"/>
            <w:vAlign w:val="bottom"/>
          </w:tcPr>
          <w:p>
            <w:pPr>
              <w:spacing w:after="0"/>
              <w:rPr>
                <w:sz w:val="24"/>
                <w:szCs w:val="24"/>
                <w:color w:val="auto"/>
              </w:rPr>
            </w:pPr>
          </w:p>
        </w:tc>
      </w:tr>
      <w:tr>
        <w:trPr>
          <w:trHeight w:val="132"/>
        </w:trPr>
        <w:tc>
          <w:tcPr>
            <w:tcW w:w="6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7380" w:type="dxa"/>
            <w:vAlign w:val="bottom"/>
            <w:tcBorders>
              <w:bottom w:val="single" w:sz="8" w:color="010101"/>
            </w:tcBorders>
          </w:tcPr>
          <w:p>
            <w:pPr>
              <w:spacing w:after="0"/>
              <w:rPr>
                <w:sz w:val="11"/>
                <w:szCs w:val="11"/>
                <w:color w:val="auto"/>
              </w:rPr>
            </w:pPr>
          </w:p>
        </w:tc>
        <w:tc>
          <w:tcPr>
            <w:tcW w:w="2940" w:type="dxa"/>
            <w:vAlign w:val="bottom"/>
            <w:tcBorders>
              <w:bottom w:val="single" w:sz="8" w:color="010101"/>
            </w:tcBorders>
          </w:tcPr>
          <w:p>
            <w:pPr>
              <w:spacing w:after="0"/>
              <w:rPr>
                <w:sz w:val="11"/>
                <w:szCs w:val="11"/>
                <w:color w:val="auto"/>
              </w:rPr>
            </w:pPr>
          </w:p>
        </w:tc>
      </w:tr>
      <w:tr>
        <w:trPr>
          <w:trHeight w:val="780"/>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10.7</w:t>
            </w:r>
          </w:p>
        </w:tc>
        <w:tc>
          <w:tcPr>
            <w:tcW w:w="7380" w:type="dxa"/>
            <w:vAlign w:val="bottom"/>
          </w:tcPr>
          <w:p>
            <w:pPr>
              <w:ind w:left="200"/>
              <w:spacing w:after="0"/>
              <w:rPr>
                <w:sz w:val="20"/>
                <w:szCs w:val="20"/>
                <w:color w:val="auto"/>
              </w:rPr>
            </w:pPr>
            <w:r>
              <w:rPr>
                <w:rFonts w:ascii="Arial" w:cs="Arial" w:eastAsia="Arial" w:hAnsi="Arial"/>
                <w:sz w:val="18"/>
                <w:szCs w:val="18"/>
                <w:color w:val="auto"/>
              </w:rPr>
              <w:t>Liquidated Damages</w:t>
            </w:r>
          </w:p>
        </w:tc>
        <w:tc>
          <w:tcPr>
            <w:tcW w:w="29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10.8</w:t>
            </w:r>
          </w:p>
        </w:tc>
        <w:tc>
          <w:tcPr>
            <w:tcW w:w="7380" w:type="dxa"/>
            <w:vAlign w:val="bottom"/>
          </w:tcPr>
          <w:p>
            <w:pPr>
              <w:ind w:left="200"/>
              <w:spacing w:after="0"/>
              <w:rPr>
                <w:sz w:val="20"/>
                <w:szCs w:val="20"/>
                <w:color w:val="auto"/>
              </w:rPr>
            </w:pPr>
            <w:r>
              <w:rPr>
                <w:rFonts w:ascii="Arial" w:cs="Arial" w:eastAsia="Arial" w:hAnsi="Arial"/>
                <w:sz w:val="18"/>
                <w:szCs w:val="18"/>
                <w:color w:val="auto"/>
              </w:rPr>
              <w:t>Exclusive Remedies</w:t>
            </w:r>
          </w:p>
        </w:tc>
        <w:tc>
          <w:tcPr>
            <w:tcW w:w="29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10.9</w:t>
            </w:r>
          </w:p>
        </w:tc>
        <w:tc>
          <w:tcPr>
            <w:tcW w:w="7380" w:type="dxa"/>
            <w:vAlign w:val="bottom"/>
          </w:tcPr>
          <w:p>
            <w:pPr>
              <w:ind w:left="200"/>
              <w:spacing w:after="0"/>
              <w:rPr>
                <w:sz w:val="20"/>
                <w:szCs w:val="20"/>
                <w:color w:val="auto"/>
              </w:rPr>
            </w:pPr>
            <w:r>
              <w:rPr>
                <w:rFonts w:ascii="Arial" w:cs="Arial" w:eastAsia="Arial" w:hAnsi="Arial"/>
                <w:sz w:val="18"/>
                <w:szCs w:val="18"/>
                <w:color w:val="auto"/>
              </w:rPr>
              <w:t>Subrogation</w:t>
            </w:r>
          </w:p>
        </w:tc>
        <w:tc>
          <w:tcPr>
            <w:tcW w:w="29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10.10</w:t>
            </w:r>
          </w:p>
        </w:tc>
        <w:tc>
          <w:tcPr>
            <w:tcW w:w="7380" w:type="dxa"/>
            <w:vAlign w:val="bottom"/>
          </w:tcPr>
          <w:p>
            <w:pPr>
              <w:ind w:left="200"/>
              <w:spacing w:after="0"/>
              <w:rPr>
                <w:sz w:val="20"/>
                <w:szCs w:val="20"/>
                <w:color w:val="auto"/>
              </w:rPr>
            </w:pPr>
            <w:r>
              <w:rPr>
                <w:rFonts w:ascii="Arial" w:cs="Arial" w:eastAsia="Arial" w:hAnsi="Arial"/>
                <w:sz w:val="18"/>
                <w:szCs w:val="18"/>
                <w:color w:val="auto"/>
              </w:rPr>
              <w:t>Tax Indemnification Matters</w:t>
            </w:r>
          </w:p>
        </w:tc>
        <w:tc>
          <w:tcPr>
            <w:tcW w:w="29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10.11</w:t>
            </w:r>
          </w:p>
        </w:tc>
        <w:tc>
          <w:tcPr>
            <w:tcW w:w="7380" w:type="dxa"/>
            <w:vAlign w:val="bottom"/>
          </w:tcPr>
          <w:p>
            <w:pPr>
              <w:ind w:left="200"/>
              <w:spacing w:after="0"/>
              <w:rPr>
                <w:sz w:val="20"/>
                <w:szCs w:val="20"/>
                <w:color w:val="auto"/>
              </w:rPr>
            </w:pPr>
            <w:r>
              <w:rPr>
                <w:rFonts w:ascii="Arial" w:cs="Arial" w:eastAsia="Arial" w:hAnsi="Arial"/>
                <w:sz w:val="18"/>
                <w:szCs w:val="18"/>
                <w:color w:val="auto"/>
              </w:rPr>
              <w:t>No Duplication</w:t>
            </w:r>
          </w:p>
        </w:tc>
        <w:tc>
          <w:tcPr>
            <w:tcW w:w="29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32"/>
        </w:trPr>
        <w:tc>
          <w:tcPr>
            <w:tcW w:w="8520" w:type="dxa"/>
            <w:vAlign w:val="bottom"/>
            <w:gridSpan w:val="3"/>
          </w:tcPr>
          <w:p>
            <w:pPr>
              <w:spacing w:after="0"/>
              <w:rPr>
                <w:sz w:val="20"/>
                <w:szCs w:val="20"/>
                <w:color w:val="auto"/>
              </w:rPr>
            </w:pPr>
            <w:r>
              <w:rPr>
                <w:rFonts w:ascii="Arial" w:cs="Arial" w:eastAsia="Arial" w:hAnsi="Arial"/>
                <w:sz w:val="18"/>
                <w:szCs w:val="18"/>
                <w:color w:val="auto"/>
              </w:rPr>
              <w:t>ARTICLE XI MISCELLANEOUS</w:t>
            </w:r>
          </w:p>
        </w:tc>
        <w:tc>
          <w:tcPr>
            <w:tcW w:w="29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11.1</w:t>
            </w:r>
          </w:p>
        </w:tc>
        <w:tc>
          <w:tcPr>
            <w:tcW w:w="738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29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11.2</w:t>
            </w:r>
          </w:p>
        </w:tc>
        <w:tc>
          <w:tcPr>
            <w:tcW w:w="7380" w:type="dxa"/>
            <w:vAlign w:val="bottom"/>
          </w:tcPr>
          <w:p>
            <w:pPr>
              <w:ind w:left="200"/>
              <w:spacing w:after="0"/>
              <w:rPr>
                <w:sz w:val="20"/>
                <w:szCs w:val="20"/>
                <w:color w:val="auto"/>
              </w:rPr>
            </w:pPr>
            <w:r>
              <w:rPr>
                <w:rFonts w:ascii="Arial" w:cs="Arial" w:eastAsia="Arial" w:hAnsi="Arial"/>
                <w:sz w:val="18"/>
                <w:szCs w:val="18"/>
                <w:color w:val="auto"/>
              </w:rPr>
              <w:t>Governing Law; Jurisdiction and Forum; Waiver of Jury Trial</w:t>
            </w:r>
          </w:p>
        </w:tc>
        <w:tc>
          <w:tcPr>
            <w:tcW w:w="29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11.3</w:t>
            </w:r>
          </w:p>
        </w:tc>
        <w:tc>
          <w:tcPr>
            <w:tcW w:w="738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29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11.4</w:t>
            </w:r>
          </w:p>
        </w:tc>
        <w:tc>
          <w:tcPr>
            <w:tcW w:w="738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29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11.5</w:t>
            </w:r>
          </w:p>
        </w:tc>
        <w:tc>
          <w:tcPr>
            <w:tcW w:w="7380" w:type="dxa"/>
            <w:vAlign w:val="bottom"/>
          </w:tcPr>
          <w:p>
            <w:pPr>
              <w:ind w:left="200"/>
              <w:spacing w:after="0"/>
              <w:rPr>
                <w:sz w:val="20"/>
                <w:szCs w:val="20"/>
                <w:color w:val="auto"/>
              </w:rPr>
            </w:pPr>
            <w:r>
              <w:rPr>
                <w:rFonts w:ascii="Arial" w:cs="Arial" w:eastAsia="Arial" w:hAnsi="Arial"/>
                <w:sz w:val="18"/>
                <w:szCs w:val="18"/>
                <w:color w:val="auto"/>
              </w:rPr>
              <w:t>Expenses</w:t>
            </w:r>
          </w:p>
        </w:tc>
        <w:tc>
          <w:tcPr>
            <w:tcW w:w="29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11.6</w:t>
            </w:r>
          </w:p>
        </w:tc>
        <w:tc>
          <w:tcPr>
            <w:tcW w:w="7380" w:type="dxa"/>
            <w:vAlign w:val="bottom"/>
          </w:tcPr>
          <w:p>
            <w:pPr>
              <w:ind w:left="200"/>
              <w:spacing w:after="0"/>
              <w:rPr>
                <w:sz w:val="20"/>
                <w:szCs w:val="20"/>
                <w:color w:val="auto"/>
              </w:rPr>
            </w:pPr>
            <w:r>
              <w:rPr>
                <w:rFonts w:ascii="Arial" w:cs="Arial" w:eastAsia="Arial" w:hAnsi="Arial"/>
                <w:sz w:val="18"/>
                <w:szCs w:val="18"/>
                <w:color w:val="auto"/>
              </w:rPr>
              <w:t>Notices</w:t>
            </w:r>
          </w:p>
        </w:tc>
        <w:tc>
          <w:tcPr>
            <w:tcW w:w="29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11.7</w:t>
            </w:r>
          </w:p>
        </w:tc>
        <w:tc>
          <w:tcPr>
            <w:tcW w:w="7380" w:type="dxa"/>
            <w:vAlign w:val="bottom"/>
          </w:tcPr>
          <w:p>
            <w:pPr>
              <w:ind w:left="200"/>
              <w:spacing w:after="0"/>
              <w:rPr>
                <w:sz w:val="20"/>
                <w:szCs w:val="20"/>
                <w:color w:val="auto"/>
              </w:rPr>
            </w:pPr>
            <w:r>
              <w:rPr>
                <w:rFonts w:ascii="Arial" w:cs="Arial" w:eastAsia="Arial" w:hAnsi="Arial"/>
                <w:sz w:val="18"/>
                <w:szCs w:val="18"/>
                <w:color w:val="auto"/>
              </w:rPr>
              <w:t>Assignment</w:t>
            </w:r>
          </w:p>
        </w:tc>
        <w:tc>
          <w:tcPr>
            <w:tcW w:w="29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11.8</w:t>
            </w:r>
          </w:p>
        </w:tc>
        <w:tc>
          <w:tcPr>
            <w:tcW w:w="7380" w:type="dxa"/>
            <w:vAlign w:val="bottom"/>
          </w:tcPr>
          <w:p>
            <w:pPr>
              <w:ind w:left="200"/>
              <w:spacing w:after="0"/>
              <w:rPr>
                <w:sz w:val="20"/>
                <w:szCs w:val="20"/>
                <w:color w:val="auto"/>
              </w:rPr>
            </w:pPr>
            <w:r>
              <w:rPr>
                <w:rFonts w:ascii="Arial" w:cs="Arial" w:eastAsia="Arial" w:hAnsi="Arial"/>
                <w:sz w:val="18"/>
                <w:szCs w:val="18"/>
                <w:color w:val="auto"/>
              </w:rPr>
              <w:t>Third-Party Beneficiaries</w:t>
            </w:r>
          </w:p>
        </w:tc>
        <w:tc>
          <w:tcPr>
            <w:tcW w:w="29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11.9</w:t>
            </w:r>
          </w:p>
        </w:tc>
        <w:tc>
          <w:tcPr>
            <w:tcW w:w="7380" w:type="dxa"/>
            <w:vAlign w:val="bottom"/>
          </w:tcPr>
          <w:p>
            <w:pPr>
              <w:ind w:left="200"/>
              <w:spacing w:after="0"/>
              <w:rPr>
                <w:sz w:val="20"/>
                <w:szCs w:val="20"/>
                <w:color w:val="auto"/>
              </w:rPr>
            </w:pPr>
            <w:r>
              <w:rPr>
                <w:rFonts w:ascii="Arial" w:cs="Arial" w:eastAsia="Arial" w:hAnsi="Arial"/>
                <w:sz w:val="18"/>
                <w:szCs w:val="18"/>
                <w:color w:val="auto"/>
              </w:rPr>
              <w:t>Amendments and Waivers</w:t>
            </w:r>
          </w:p>
        </w:tc>
        <w:tc>
          <w:tcPr>
            <w:tcW w:w="29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11.10</w:t>
            </w:r>
          </w:p>
        </w:tc>
        <w:tc>
          <w:tcPr>
            <w:tcW w:w="7380" w:type="dxa"/>
            <w:vAlign w:val="bottom"/>
          </w:tcPr>
          <w:p>
            <w:pPr>
              <w:ind w:left="200"/>
              <w:spacing w:after="0"/>
              <w:rPr>
                <w:sz w:val="20"/>
                <w:szCs w:val="20"/>
                <w:color w:val="auto"/>
              </w:rPr>
            </w:pPr>
            <w:r>
              <w:rPr>
                <w:rFonts w:ascii="Arial" w:cs="Arial" w:eastAsia="Arial" w:hAnsi="Arial"/>
                <w:sz w:val="18"/>
                <w:szCs w:val="18"/>
                <w:color w:val="auto"/>
              </w:rPr>
              <w:t>Specific Performance</w:t>
            </w:r>
          </w:p>
        </w:tc>
        <w:tc>
          <w:tcPr>
            <w:tcW w:w="29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11.11</w:t>
            </w:r>
          </w:p>
        </w:tc>
        <w:tc>
          <w:tcPr>
            <w:tcW w:w="7380" w:type="dxa"/>
            <w:vAlign w:val="bottom"/>
          </w:tcPr>
          <w:p>
            <w:pPr>
              <w:ind w:left="200"/>
              <w:spacing w:after="0"/>
              <w:rPr>
                <w:sz w:val="20"/>
                <w:szCs w:val="20"/>
                <w:color w:val="auto"/>
              </w:rPr>
            </w:pPr>
            <w:r>
              <w:rPr>
                <w:rFonts w:ascii="Arial" w:cs="Arial" w:eastAsia="Arial" w:hAnsi="Arial"/>
                <w:sz w:val="18"/>
                <w:szCs w:val="18"/>
                <w:color w:val="auto"/>
              </w:rPr>
              <w:t>Interpretation; Absence of Presumption</w:t>
            </w:r>
          </w:p>
        </w:tc>
        <w:tc>
          <w:tcPr>
            <w:tcW w:w="29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11.12</w:t>
            </w:r>
          </w:p>
        </w:tc>
        <w:tc>
          <w:tcPr>
            <w:tcW w:w="7380" w:type="dxa"/>
            <w:vAlign w:val="bottom"/>
          </w:tcPr>
          <w:p>
            <w:pPr>
              <w:ind w:left="200"/>
              <w:spacing w:after="0"/>
              <w:rPr>
                <w:sz w:val="20"/>
                <w:szCs w:val="20"/>
                <w:color w:val="auto"/>
              </w:rPr>
            </w:pPr>
            <w:r>
              <w:rPr>
                <w:rFonts w:ascii="Arial" w:cs="Arial" w:eastAsia="Arial" w:hAnsi="Arial"/>
                <w:sz w:val="18"/>
                <w:szCs w:val="18"/>
                <w:color w:val="auto"/>
              </w:rPr>
              <w:t>Headings; Definitions</w:t>
            </w:r>
          </w:p>
        </w:tc>
        <w:tc>
          <w:tcPr>
            <w:tcW w:w="29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11.13</w:t>
            </w:r>
          </w:p>
        </w:tc>
        <w:tc>
          <w:tcPr>
            <w:tcW w:w="738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9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1140" w:type="dxa"/>
            <w:vAlign w:val="bottom"/>
            <w:gridSpan w:val="2"/>
          </w:tcPr>
          <w:p>
            <w:pPr>
              <w:ind w:left="540"/>
              <w:spacing w:after="0"/>
              <w:rPr>
                <w:sz w:val="20"/>
                <w:szCs w:val="20"/>
                <w:color w:val="auto"/>
              </w:rPr>
            </w:pPr>
            <w:r>
              <w:rPr>
                <w:rFonts w:ascii="Arial" w:cs="Arial" w:eastAsia="Arial" w:hAnsi="Arial"/>
                <w:sz w:val="18"/>
                <w:szCs w:val="18"/>
                <w:color w:val="auto"/>
              </w:rPr>
              <w:t>11.14</w:t>
            </w:r>
          </w:p>
        </w:tc>
        <w:tc>
          <w:tcPr>
            <w:tcW w:w="7380" w:type="dxa"/>
            <w:vAlign w:val="bottom"/>
          </w:tcPr>
          <w:p>
            <w:pPr>
              <w:ind w:left="200"/>
              <w:spacing w:after="0"/>
              <w:rPr>
                <w:sz w:val="20"/>
                <w:szCs w:val="20"/>
                <w:color w:val="auto"/>
              </w:rPr>
            </w:pPr>
            <w:r>
              <w:rPr>
                <w:rFonts w:ascii="Arial" w:cs="Arial" w:eastAsia="Arial" w:hAnsi="Arial"/>
                <w:sz w:val="18"/>
                <w:szCs w:val="18"/>
                <w:color w:val="auto"/>
              </w:rPr>
              <w:t>No Recourse to Debt Financing Sources</w:t>
            </w:r>
          </w:p>
        </w:tc>
        <w:tc>
          <w:tcPr>
            <w:tcW w:w="29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92"/>
        </w:trPr>
        <w:tc>
          <w:tcPr>
            <w:tcW w:w="114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73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438"/>
        </w:trPr>
        <w:tc>
          <w:tcPr>
            <w:tcW w:w="114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7380" w:type="dxa"/>
            <w:vAlign w:val="bottom"/>
          </w:tcPr>
          <w:p>
            <w:pPr>
              <w:ind w:left="200"/>
              <w:spacing w:after="0"/>
              <w:rPr>
                <w:sz w:val="20"/>
                <w:szCs w:val="20"/>
                <w:color w:val="auto"/>
              </w:rPr>
            </w:pPr>
            <w:r>
              <w:rPr>
                <w:rFonts w:ascii="Arial" w:cs="Arial" w:eastAsia="Arial" w:hAnsi="Arial"/>
                <w:sz w:val="18"/>
                <w:szCs w:val="18"/>
                <w:color w:val="auto"/>
              </w:rPr>
              <w:t>Transition Services Agreement</w:t>
            </w:r>
          </w:p>
        </w:tc>
        <w:tc>
          <w:tcPr>
            <w:tcW w:w="2940" w:type="dxa"/>
            <w:vAlign w:val="bottom"/>
          </w:tcPr>
          <w:p>
            <w:pPr>
              <w:spacing w:after="0"/>
              <w:rPr>
                <w:sz w:val="24"/>
                <w:szCs w:val="24"/>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7380" w:type="dxa"/>
            <w:vAlign w:val="bottom"/>
          </w:tcPr>
          <w:p>
            <w:pPr>
              <w:ind w:left="200"/>
              <w:spacing w:after="0"/>
              <w:rPr>
                <w:sz w:val="20"/>
                <w:szCs w:val="20"/>
                <w:color w:val="auto"/>
              </w:rPr>
            </w:pPr>
            <w:r>
              <w:rPr>
                <w:rFonts w:ascii="Arial" w:cs="Arial" w:eastAsia="Arial" w:hAnsi="Arial"/>
                <w:sz w:val="18"/>
                <w:szCs w:val="18"/>
                <w:color w:val="auto"/>
              </w:rPr>
              <w:t>Supply Agreements</w:t>
            </w:r>
          </w:p>
        </w:tc>
        <w:tc>
          <w:tcPr>
            <w:tcW w:w="2940" w:type="dxa"/>
            <w:vAlign w:val="bottom"/>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7380" w:type="dxa"/>
            <w:vAlign w:val="bottom"/>
          </w:tcPr>
          <w:p>
            <w:pPr>
              <w:ind w:left="200"/>
              <w:spacing w:after="0"/>
              <w:rPr>
                <w:sz w:val="20"/>
                <w:szCs w:val="20"/>
                <w:color w:val="auto"/>
              </w:rPr>
            </w:pPr>
            <w:r>
              <w:rPr>
                <w:rFonts w:ascii="Arial" w:cs="Arial" w:eastAsia="Arial" w:hAnsi="Arial"/>
                <w:sz w:val="18"/>
                <w:szCs w:val="18"/>
                <w:color w:val="auto"/>
              </w:rPr>
              <w:t>Sample Adjustment Amount Statement</w:t>
            </w:r>
          </w:p>
        </w:tc>
        <w:tc>
          <w:tcPr>
            <w:tcW w:w="2940" w:type="dxa"/>
            <w:vAlign w:val="bottom"/>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7380" w:type="dxa"/>
            <w:vAlign w:val="bottom"/>
          </w:tcPr>
          <w:p>
            <w:pPr>
              <w:ind w:left="200"/>
              <w:spacing w:after="0"/>
              <w:rPr>
                <w:sz w:val="20"/>
                <w:szCs w:val="20"/>
                <w:color w:val="auto"/>
              </w:rPr>
            </w:pPr>
            <w:r>
              <w:rPr>
                <w:rFonts w:ascii="Arial" w:cs="Arial" w:eastAsia="Arial" w:hAnsi="Arial"/>
                <w:sz w:val="18"/>
                <w:szCs w:val="18"/>
                <w:color w:val="auto"/>
              </w:rPr>
              <w:t>Excluded Assets</w:t>
            </w:r>
          </w:p>
        </w:tc>
        <w:tc>
          <w:tcPr>
            <w:tcW w:w="2940" w:type="dxa"/>
            <w:vAlign w:val="bottom"/>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7380" w:type="dxa"/>
            <w:vAlign w:val="bottom"/>
          </w:tcPr>
          <w:p>
            <w:pPr>
              <w:ind w:left="200"/>
              <w:spacing w:after="0"/>
              <w:rPr>
                <w:sz w:val="20"/>
                <w:szCs w:val="20"/>
                <w:color w:val="auto"/>
              </w:rPr>
            </w:pPr>
            <w:r>
              <w:rPr>
                <w:rFonts w:ascii="Arial" w:cs="Arial" w:eastAsia="Arial" w:hAnsi="Arial"/>
                <w:sz w:val="18"/>
                <w:szCs w:val="18"/>
                <w:color w:val="auto"/>
              </w:rPr>
              <w:t>Earn-Out Consideration</w:t>
            </w:r>
          </w:p>
        </w:tc>
        <w:tc>
          <w:tcPr>
            <w:tcW w:w="2940" w:type="dxa"/>
            <w:vAlign w:val="bottom"/>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7380" w:type="dxa"/>
            <w:vAlign w:val="bottom"/>
          </w:tcPr>
          <w:p>
            <w:pPr>
              <w:ind w:left="200"/>
              <w:spacing w:after="0"/>
              <w:rPr>
                <w:sz w:val="20"/>
                <w:szCs w:val="20"/>
                <w:color w:val="auto"/>
              </w:rPr>
            </w:pPr>
            <w:r>
              <w:rPr>
                <w:rFonts w:ascii="Arial" w:cs="Arial" w:eastAsia="Arial" w:hAnsi="Arial"/>
                <w:sz w:val="18"/>
                <w:szCs w:val="18"/>
                <w:color w:val="auto"/>
              </w:rPr>
              <w:t>Warrant</w:t>
            </w:r>
          </w:p>
        </w:tc>
        <w:tc>
          <w:tcPr>
            <w:tcW w:w="2940" w:type="dxa"/>
            <w:vAlign w:val="bottom"/>
          </w:tcPr>
          <w:p>
            <w:pPr>
              <w:spacing w:after="0"/>
              <w:rPr>
                <w:sz w:val="18"/>
                <w:szCs w:val="18"/>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Exhibit G:</w:t>
            </w:r>
          </w:p>
        </w:tc>
        <w:tc>
          <w:tcPr>
            <w:tcW w:w="7380" w:type="dxa"/>
            <w:vAlign w:val="bottom"/>
          </w:tcPr>
          <w:p>
            <w:pPr>
              <w:ind w:left="200"/>
              <w:spacing w:after="0"/>
              <w:rPr>
                <w:sz w:val="20"/>
                <w:szCs w:val="20"/>
                <w:color w:val="auto"/>
              </w:rPr>
            </w:pPr>
            <w:r>
              <w:rPr>
                <w:rFonts w:ascii="Arial" w:cs="Arial" w:eastAsia="Arial" w:hAnsi="Arial"/>
                <w:sz w:val="18"/>
                <w:szCs w:val="18"/>
                <w:color w:val="auto"/>
              </w:rPr>
              <w:t>Reorganization</w:t>
            </w:r>
          </w:p>
        </w:tc>
        <w:tc>
          <w:tcPr>
            <w:tcW w:w="2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-7110730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-7110730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PURCHASE AND SALE AGREEMENT</w:t>
      </w:r>
    </w:p>
    <w:p>
      <w:pPr>
        <w:spacing w:after="0" w:line="229"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This PURCHASE AND SALE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March 7, 2015, is by and among Alkermes Pharma Ireland Limited, a private limited company incorporated in Ireland (“</w:t>
      </w:r>
      <w:r>
        <w:rPr>
          <w:rFonts w:ascii="Arial" w:cs="Arial" w:eastAsia="Arial" w:hAnsi="Arial"/>
          <w:sz w:val="16"/>
          <w:szCs w:val="16"/>
          <w:u w:val="single" w:color="auto"/>
          <w:color w:val="auto"/>
        </w:rPr>
        <w:t>APIL</w:t>
      </w:r>
      <w:r>
        <w:rPr>
          <w:rFonts w:ascii="Arial" w:cs="Arial" w:eastAsia="Arial" w:hAnsi="Arial"/>
          <w:sz w:val="16"/>
          <w:szCs w:val="16"/>
          <w:color w:val="auto"/>
        </w:rPr>
        <w:t>”), Daravita Limited, a private limited company incorporated in Ireland (“</w:t>
      </w:r>
      <w:r>
        <w:rPr>
          <w:rFonts w:ascii="Arial" w:cs="Arial" w:eastAsia="Arial" w:hAnsi="Arial"/>
          <w:sz w:val="16"/>
          <w:szCs w:val="16"/>
          <w:u w:val="single" w:color="auto"/>
          <w:color w:val="auto"/>
        </w:rPr>
        <w:t>Daravita</w:t>
      </w:r>
      <w:r>
        <w:rPr>
          <w:rFonts w:ascii="Arial" w:cs="Arial" w:eastAsia="Arial" w:hAnsi="Arial"/>
          <w:sz w:val="16"/>
          <w:szCs w:val="16"/>
          <w:color w:val="auto"/>
        </w:rPr>
        <w:t>”), Eagle Holdings USA, Inc., a Delaware corporation (“</w:t>
      </w:r>
      <w:r>
        <w:rPr>
          <w:rFonts w:ascii="Arial" w:cs="Arial" w:eastAsia="Arial" w:hAnsi="Arial"/>
          <w:sz w:val="16"/>
          <w:szCs w:val="16"/>
          <w:u w:val="single" w:color="auto"/>
          <w:color w:val="auto"/>
        </w:rPr>
        <w:t>Eagle Holdings</w:t>
      </w:r>
      <w:r>
        <w:rPr>
          <w:rFonts w:ascii="Arial" w:cs="Arial" w:eastAsia="Arial" w:hAnsi="Arial"/>
          <w:sz w:val="16"/>
          <w:szCs w:val="16"/>
          <w:color w:val="auto"/>
        </w:rPr>
        <w:t>”, and together with APIL, “Sellers”), Recro Pharma, Inc., a Pennsylvania corporation (“</w:t>
      </w:r>
      <w:r>
        <w:rPr>
          <w:rFonts w:ascii="Arial" w:cs="Arial" w:eastAsia="Arial" w:hAnsi="Arial"/>
          <w:sz w:val="16"/>
          <w:szCs w:val="16"/>
          <w:u w:val="single" w:color="auto"/>
          <w:color w:val="auto"/>
        </w:rPr>
        <w:t>Recro</w:t>
      </w:r>
      <w:r>
        <w:rPr>
          <w:rFonts w:ascii="Arial" w:cs="Arial" w:eastAsia="Arial" w:hAnsi="Arial"/>
          <w:sz w:val="16"/>
          <w:szCs w:val="16"/>
          <w:color w:val="auto"/>
        </w:rPr>
        <w:t>”) and</w:t>
      </w:r>
    </w:p>
    <w:p>
      <w:pPr>
        <w:sectPr>
          <w:pgSz w:w="11900" w:h="16952" w:orient="portrait"/>
          <w:cols w:equalWidth="0" w:num="1">
            <w:col w:w="11460"/>
          </w:cols>
          <w:pgMar w:left="240" w:top="341" w:right="199" w:bottom="0" w:gutter="0" w:footer="0" w:header="0"/>
        </w:sectPr>
      </w:pPr>
    </w:p>
    <w:bookmarkStart w:id="6" w:name="page7"/>
    <w:bookmarkEnd w:id="6"/>
    <w:p>
      <w:pPr>
        <w:spacing w:after="0" w:line="36"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Recro Pharma LLC, a Delaware limited liability company and wholly-owned subsidiary of Recro (“</w:t>
      </w:r>
      <w:r>
        <w:rPr>
          <w:rFonts w:ascii="Arial" w:cs="Arial" w:eastAsia="Arial" w:hAnsi="Arial"/>
          <w:sz w:val="18"/>
          <w:szCs w:val="18"/>
          <w:u w:val="single" w:color="auto"/>
          <w:color w:val="auto"/>
        </w:rPr>
        <w:t>Acquisition Sub</w:t>
      </w:r>
      <w:r>
        <w:rPr>
          <w:rFonts w:ascii="Arial" w:cs="Arial" w:eastAsia="Arial" w:hAnsi="Arial"/>
          <w:sz w:val="18"/>
          <w:szCs w:val="18"/>
          <w:color w:val="auto"/>
        </w:rPr>
        <w:t>,” and together with Recro,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WHEREAS, Alkermes Ireland Holdings Limited, a private limited company incorporated in Ireland (“</w:t>
      </w:r>
      <w:r>
        <w:rPr>
          <w:rFonts w:ascii="Arial" w:cs="Arial" w:eastAsia="Arial" w:hAnsi="Arial"/>
          <w:sz w:val="18"/>
          <w:szCs w:val="18"/>
          <w:u w:val="single" w:color="auto"/>
          <w:color w:val="auto"/>
        </w:rPr>
        <w:t>Alkermes Ireland Holdings</w:t>
      </w:r>
      <w:r>
        <w:rPr>
          <w:rFonts w:ascii="Arial" w:cs="Arial" w:eastAsia="Arial" w:hAnsi="Arial"/>
          <w:sz w:val="18"/>
          <w:szCs w:val="18"/>
          <w:color w:val="auto"/>
        </w:rPr>
        <w:t>”), holds all of the issued and outstanding ordinary shares in Daravita, and Eagle Holdings holds all of the issued and outstanding membership units in Alkermes Gainesville LLC, a Massachusetts limited liability company (“</w:t>
      </w:r>
      <w:r>
        <w:rPr>
          <w:rFonts w:ascii="Arial" w:cs="Arial" w:eastAsia="Arial" w:hAnsi="Arial"/>
          <w:sz w:val="18"/>
          <w:szCs w:val="18"/>
          <w:u w:val="single" w:color="auto"/>
          <w:color w:val="auto"/>
        </w:rPr>
        <w:t>Alkermes Gainesville</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APIL intends to newly form a Delaware limited liability company (“</w:t>
      </w:r>
      <w:r>
        <w:rPr>
          <w:rFonts w:ascii="Arial" w:cs="Arial" w:eastAsia="Arial" w:hAnsi="Arial"/>
          <w:sz w:val="18"/>
          <w:szCs w:val="18"/>
          <w:u w:val="single" w:color="auto"/>
          <w:color w:val="auto"/>
        </w:rPr>
        <w:t>Newco</w:t>
      </w:r>
      <w:r>
        <w:rPr>
          <w:rFonts w:ascii="Arial" w:cs="Arial" w:eastAsia="Arial" w:hAnsi="Arial"/>
          <w:sz w:val="18"/>
          <w:szCs w:val="18"/>
          <w:color w:val="auto"/>
        </w:rPr>
        <w:t>”);</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prior to the Closing, Newco will, directly or indirectly, acquire substantially all of the assets and liabilities of Daravita from Daravita through effectuation of a reorganization described in Exhibit G (such steps, collectively, the “</w:t>
      </w:r>
      <w:r>
        <w:rPr>
          <w:rFonts w:ascii="Arial" w:cs="Arial" w:eastAsia="Arial" w:hAnsi="Arial"/>
          <w:sz w:val="18"/>
          <w:szCs w:val="18"/>
          <w:u w:val="single" w:color="auto"/>
          <w:color w:val="auto"/>
        </w:rPr>
        <w:t>Reorganization</w:t>
      </w:r>
      <w:r>
        <w:rPr>
          <w:rFonts w:ascii="Arial" w:cs="Arial" w:eastAsia="Arial" w:hAnsi="Arial"/>
          <w:sz w:val="18"/>
          <w:szCs w:val="18"/>
          <w:color w:val="auto"/>
        </w:rPr>
        <w:t>”);</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WHEREAS, Sellers desire to sell and transfer, and Purchasers desire to purchase, the Transferred Interests for the consideration set forth below, subject to the terms and conditions of this Agreement;</w:t>
      </w:r>
    </w:p>
    <w:p>
      <w:pPr>
        <w:spacing w:after="0" w:line="170"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WHEREAS, Sellers, or their designated Affiliate, and Purchasers shall enter into (i) concurrently with the Closing, the Transition Services Agreement and, (ii) within sixty (60) days following Closing, the Supply Agreements (the agreements specified in clauses (i) and (ii), and the Warrant (as defined herein), collectively, the “</w:t>
      </w:r>
      <w:r>
        <w:rPr>
          <w:rFonts w:ascii="Arial" w:cs="Arial" w:eastAsia="Arial" w:hAnsi="Arial"/>
          <w:sz w:val="18"/>
          <w:szCs w:val="18"/>
          <w:u w:val="single" w:color="auto"/>
          <w:color w:val="auto"/>
        </w:rPr>
        <w:t>Ancillary Agreements</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simultaneously with the execution of this Agreement, Purchasers shall enter into the Debt Financing Agreements;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desire to make certain representations, warranties, covenants and agreements as set forth in this Agreement.</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NOW, THEREFORE, in consideration of the mutual promises hereinafter set forth and other good and valuable consideration, the receipt and adequacy of which are hereby acknowledged, and intending to be legally bound,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For the purposes of this Agreement, 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Methodology</w:t>
      </w:r>
      <w:r>
        <w:rPr>
          <w:rFonts w:ascii="Arial" w:cs="Arial" w:eastAsia="Arial" w:hAnsi="Arial"/>
          <w:sz w:val="18"/>
          <w:szCs w:val="18"/>
          <w:color w:val="auto"/>
        </w:rPr>
        <w:t>” shall have the meaning set forth in the definition of Working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mean any action, claim, suit, arbitration, litigation, proceeding, or governmental investigation.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Sub</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with respect to the Transferred Entities, means any offer or proposal relating to any transaction or series of related transactions involving: (a) any purchase from such party or acquisition by any Person or “group” (as defined under Section 13(d) of the Exchange Act) of fifteen percent (15%) or more of the total outstanding voting securities of the Transferred Entities, (b) any merger, consolidation, business combination or similar transaction involving the Transferred Entities, (c) any joint venture, sale, lease (other than in the ordinary course of business), exchange, transfer, exclusive license (other than in the ordinary course of business), acquisition or disposition of fifteen percent (15%) or more of the assets of the Transferred Entities or (d) any liquidation or dissolution of the Transferred Entities (provided, however, that the transactions between Purchasers and Sellers contemplated by this Agreement shall not be deemed an Acquisition Proposal).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Retention Bonus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Retention Bonus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6.4(b)</w:t>
      </w:r>
      <w:r>
        <w:rPr>
          <w:rFonts w:ascii="Arial" w:cs="Arial" w:eastAsia="Arial" w:hAnsi="Arial"/>
          <w:sz w:val="18"/>
          <w:szCs w:val="18"/>
          <w:color w:val="auto"/>
        </w:rPr>
        <w:t>.</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Amount</w:t>
      </w:r>
      <w:r>
        <w:rPr>
          <w:rFonts w:ascii="Arial" w:cs="Arial" w:eastAsia="Arial" w:hAnsi="Arial"/>
          <w:sz w:val="18"/>
          <w:szCs w:val="18"/>
          <w:color w:val="auto"/>
        </w:rPr>
        <w:t>” shall equal (i) the Closing Working Capital, plus (ii) the Closing Cash Amount, less (iii) the Target Working Capital, less (iv) the Closing Date Indebtedness, and (v) less the Closing Date Transaction Fees.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shall mean, with respect to any Person, any other Person that directly, or through one or more intermediaries, controls or is controlled by or is under common control with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the Closing, (a) none of the Transferred Entities shall be considered an Affiliate of Parent, Sellers or their respective Affiliates and (b) none of Parent, Sellers or their respective Affiliates shall be considered an Affiliate of any Transferred Entity. For purposes of this Agreement, “control” shall mean, as to any Person, the power to direct or cause the direction of the management and policies of such Person, whether through the ownership of voting securities, by contract or otherwise (and the terms “controlled by” and “under common control with” shall have correlative meanings).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Alkermes Gainesville</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Alkermes Ireland Holdings</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Allocation Schedule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2.2(d)</w:t>
      </w:r>
      <w:r>
        <w:rPr>
          <w:rFonts w:ascii="Arial" w:cs="Arial" w:eastAsia="Arial" w:hAnsi="Arial"/>
          <w:sz w:val="18"/>
          <w:szCs w:val="18"/>
          <w:color w:val="auto"/>
        </w:rPr>
        <w:t>.</w:t>
      </w:r>
    </w:p>
    <w:p>
      <w:pPr>
        <w:sectPr>
          <w:pgSz w:w="11900" w:h="16874" w:orient="portrait"/>
          <w:cols w:equalWidth="0" w:num="1">
            <w:col w:w="11400"/>
          </w:cols>
          <w:pgMar w:left="240" w:top="125" w:right="259" w:bottom="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Financing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Anti-Bribery Laws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3.13(d)(i)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APIL</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Appraised Value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Section3.4(a)</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shall mean any “employee benefit plan,” as defined in Section 3(3) of ERISA, and any other written or unwritten profit-sharing, bonus, stock option, stock purchase, stock ownership, pension, retirement, severance, deferred compensation, excess benefit, supplemental unemployment, post-retirement medical or life insurance, welfare, incentive, sick leave, long-term disability, medical, hospitalization, life insurance, other insurance or employee benefit plan, policy, agreement or arrangement maintained or contributed to by Parent or its Subsidiaries for the benefit of any Transferred Entity Employees with respect to service as an employee of any Transferred Entity or with respect to which Parent or its Subsidiaries have any current or contingent Liability pertaining to any Transferred Entity Employee for service as an employee of any Transferred Entity.</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BiDil Products</w:t>
      </w:r>
      <w:r>
        <w:rPr>
          <w:rFonts w:ascii="Arial" w:cs="Arial" w:eastAsia="Arial" w:hAnsi="Arial"/>
          <w:sz w:val="18"/>
          <w:szCs w:val="18"/>
          <w:color w:val="auto"/>
        </w:rPr>
        <w:t>” shall mean the Transferred Entities’ BiDil XR™, a fixed dose combination of hydralazine hydrochloride and isosorbide dinitrate, existing as of the date of this Agreement.</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Books and Records</w:t>
      </w:r>
      <w:r>
        <w:rPr>
          <w:rFonts w:ascii="Arial" w:cs="Arial" w:eastAsia="Arial" w:hAnsi="Arial"/>
          <w:sz w:val="17"/>
          <w:szCs w:val="17"/>
          <w:color w:val="auto"/>
        </w:rPr>
        <w:t>” shall mean all of the books, records (including Tax records), information and data of a Person, including (a) corporate minute books, (b) books and records relating to employees, research and development, manufacture and sale of products and services, advertising, packaging, promotional materials and dealings with customers, (c) books of account, ledgers, general, financial, accounting and personnel records, files, customer and counterparty lists, documents, agreements, sales data and information, billing records, manuals, material client, counterparty and supplier correspondence and (d) all other registers or books required to be maintained under applicable Law.</w:t>
      </w:r>
    </w:p>
    <w:p>
      <w:pPr>
        <w:spacing w:after="0" w:line="173"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shall mean the (a) operations of Alkermes Gainesville related to the Products and (b) development, license, manufacture, testing, packaging, storage, sale and shipment of the Products, in each case of (a) and (b) as conducted by the Transferred Entities as of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“Business” shall not include any operations, business, assets, rights or obligations solely related to the Excluded Assets.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Balance Sheet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Confidential Information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11.3(b)</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that is not a Saturday, a Sunday or other day on which commercial banks in the City of New York, New York or Dublin, Ireland are required or authorized by Law to be closed.</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Intellectual Property</w:t>
      </w:r>
      <w:r>
        <w:rPr>
          <w:rFonts w:ascii="Arial" w:cs="Arial" w:eastAsia="Arial" w:hAnsi="Arial"/>
          <w:sz w:val="18"/>
          <w:szCs w:val="18"/>
          <w:color w:val="auto"/>
        </w:rPr>
        <w:t>” shall mean all Intellectual Property Rights owned by the Transferred Entities and used or held for use in the Business.</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IP Agreements</w:t>
      </w:r>
      <w:r>
        <w:rPr>
          <w:rFonts w:ascii="Arial" w:cs="Arial" w:eastAsia="Arial" w:hAnsi="Arial"/>
          <w:sz w:val="16"/>
          <w:szCs w:val="16"/>
          <w:color w:val="auto"/>
        </w:rPr>
        <w:t>” means any (a) Contract under which any of the Transferred Entities grants a license under or other right to use any Intellectual Property Rights to another Person that are material to the Transferred Entities, (b) Contract under which any of the Transferred Entities is granted a license or other right to use any Intellectual Property Rights of another Person that are material to the Transferred Entities (other than commercially available “off the shelf” software licenses each with annual fees of less than Fifty Thousand Dollars ($50,000)), and (c) consent-to-use agreement, co-existence agreement, settlements agreement or other similar Contract limiting the use, validity or enforceability of the Business Intellectual Property.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Material Contracts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Real Property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Section3.6(b)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Registered Intellectual Property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3.9(a)</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w:t>
      </w:r>
      <w:r>
        <w:rPr>
          <w:rFonts w:ascii="Arial" w:cs="Arial" w:eastAsia="Arial" w:hAnsi="Arial"/>
          <w:sz w:val="17"/>
          <w:szCs w:val="17"/>
          <w:color w:val="auto"/>
        </w:rPr>
        <w:t xml:space="preserve">” shall mean an amount equal to (a) Five Million Dollars ($5,000,000)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ten percent (10.00%) of any Development Milestone Earn-Out Consideration and Commercial Milestone Earn-Out Consideration, if any, that is actually paid to APIL pursuant to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14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w:t>
      </w:r>
      <w:r>
        <w:rPr>
          <w:rFonts w:ascii="Arial" w:cs="Arial" w:eastAsia="Arial" w:hAnsi="Arial"/>
          <w:sz w:val="17"/>
          <w:szCs w:val="17"/>
          <w:color w:val="auto"/>
        </w:rPr>
        <w:t>” shall mean the amount of cash and cash equivalents (including marketable securities and marketable short term investments) that would be recorded on a consolidated balance sheet for the Transferred Entities which is prepared in accordance with the Accounting Methodology.</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shall mean the Comprehensive Environmental Response, Compensation and Liability Act of 1980, as amended from time to time, and any rules or regulations promulgated thereunder.</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Analysis and Conformity</w:t>
      </w:r>
      <w:r>
        <w:rPr>
          <w:rFonts w:ascii="Arial" w:cs="Arial" w:eastAsia="Arial" w:hAnsi="Arial"/>
          <w:sz w:val="18"/>
          <w:szCs w:val="18"/>
          <w:color w:val="auto"/>
        </w:rPr>
        <w:t>” shall mean the certificate for each batch of Product delivered with such Product listing the tests performed, the specifications for the manufacture of such Product, and the test results and certifying that such batch of Product was manufactured in accordance with applicable Law, including cGMPs, and production standard operating procedures.</w:t>
      </w:r>
    </w:p>
    <w:p>
      <w:pPr>
        <w:spacing w:after="0" w:line="181"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cGMPs</w:t>
      </w:r>
      <w:r>
        <w:rPr>
          <w:rFonts w:ascii="Arial" w:cs="Arial" w:eastAsia="Arial" w:hAnsi="Arial"/>
          <w:sz w:val="17"/>
          <w:szCs w:val="17"/>
          <w:color w:val="auto"/>
        </w:rPr>
        <w:t>” shall mean current good manufacturing practices as defined in the U.S. Code of Federal Regulations, 21 CFR Part 210 et seq., the European Union Guidelines to Good Manufacturing Practices for Medicinal Products for Human and Veterinary Use (Vol. IV Rules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341" w:right="279" w:bottom="0" w:gutter="0" w:footer="0" w:header="0"/>
        </w:sectPr>
      </w:pPr>
    </w:p>
    <w:bookmarkStart w:id="8" w:name="page9"/>
    <w:bookmarkEnd w:id="8"/>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Medicinal Products in the European Union 2004), and any successor regulatory schemes, as well as any corresponding requirements in other regulatory jurisdictions.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Adjustment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Cash Amount</w:t>
      </w:r>
      <w:r>
        <w:rPr>
          <w:rFonts w:ascii="Arial" w:cs="Arial" w:eastAsia="Arial" w:hAnsi="Arial"/>
          <w:sz w:val="16"/>
          <w:szCs w:val="16"/>
          <w:color w:val="auto"/>
        </w:rPr>
        <w:t xml:space="preserve">” means all Cash held in the accounts of the Transferred Entities as of 11:59 p.m. Eastern Time on the Closing Date. The Closing Cash Amount shall be (x) reduced by the amount of any checks issued by a Transferred Entity on or before the Closing whether or not any such checks remain in the possession of a Transferred Entity on or before the Closing (with a corresponding adjustment to current liabilities, if any); (y) increased by the amount of any checks or wire transfers received by a Transferred Entity on or before the Closing whether or not they have been deposited or have cleared any bank holding procedures (with a corresponding adjustment to current assets, if any), provided such amounts have not already been reflected in the accounts of the Transferred Entities; and (z) adjusted to reflect the settlement of all intercompany accounts pursuant to </w:t>
      </w:r>
      <w:r>
        <w:rPr>
          <w:rFonts w:ascii="Arial" w:cs="Arial" w:eastAsia="Arial" w:hAnsi="Arial"/>
          <w:sz w:val="16"/>
          <w:szCs w:val="16"/>
          <w:u w:val="single" w:color="auto"/>
          <w:color w:val="auto"/>
        </w:rPr>
        <w:t>Section 5.7</w:t>
      </w:r>
      <w:r>
        <w:rPr>
          <w:rFonts w:ascii="Arial" w:cs="Arial" w:eastAsia="Arial" w:hAnsi="Arial"/>
          <w:sz w:val="16"/>
          <w:szCs w:val="16"/>
          <w:color w:val="auto"/>
        </w:rPr>
        <w: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Indebtedness</w:t>
      </w:r>
      <w:r>
        <w:rPr>
          <w:rFonts w:ascii="Arial" w:cs="Arial" w:eastAsia="Arial" w:hAnsi="Arial"/>
          <w:sz w:val="18"/>
          <w:szCs w:val="18"/>
          <w:color w:val="auto"/>
        </w:rPr>
        <w:t xml:space="preserve">” means the amount of Indebtedness outstanding as of the Closing (without giving effect to the transactions contemplated herein), excluding (i) any Indebtedness that is included in the Working Capital calculations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and (ii) any Indebtedness (including guarantees thereof) that will be released upon or immediately following the Closing.</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Transaction Fees</w:t>
      </w:r>
      <w:r>
        <w:rPr>
          <w:rFonts w:ascii="Arial" w:cs="Arial" w:eastAsia="Arial" w:hAnsi="Arial"/>
          <w:sz w:val="18"/>
          <w:szCs w:val="18"/>
          <w:color w:val="auto"/>
        </w:rPr>
        <w:t xml:space="preserve">” means the amount of Transaction Fees on the Closing Date, excluding any Transaction Fees that are included in the Working Capital calculations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Estimates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Working Capital</w:t>
      </w:r>
      <w:r>
        <w:rPr>
          <w:rFonts w:ascii="Arial" w:cs="Arial" w:eastAsia="Arial" w:hAnsi="Arial"/>
          <w:sz w:val="18"/>
          <w:szCs w:val="18"/>
          <w:color w:val="auto"/>
        </w:rPr>
        <w:t>” shall mean the Working Capital of the Transferred Entities as of the Closing.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U.S.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Milestone Earn-Out Consideration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shall mean the confidentiality agreement, dated as of June 6, 2014, as amended as of February 3, 2015, by and between Daravita (f/k/a Alkermes Science One Limited) and Recro Pharma, Inc.</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Disclosure Agreement</w:t>
      </w:r>
      <w:r>
        <w:rPr>
          <w:rFonts w:ascii="Arial" w:cs="Arial" w:eastAsia="Arial" w:hAnsi="Arial"/>
          <w:sz w:val="18"/>
          <w:szCs w:val="18"/>
          <w:color w:val="auto"/>
        </w:rPr>
        <w:t>” shall mean the confidentiality agreement, dated as of December 19, 2014, by and among Daravita, Recro Pharma, Inc. and Pepper Hamilton LLP (the “Confidential Disclosure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shall mean, with respect to any Person, any agreement, contract, obligation or undertaking (whether written or oral and whether express or implied) to which such Person is bound.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2.3(b)(i)(F)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Daravita</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 Agreements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Section4.6(a)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Deductible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 Minimis Damages</w:t>
      </w:r>
      <w:r>
        <w:rPr>
          <w:rFonts w:ascii="Arial" w:cs="Arial" w:eastAsia="Arial" w:hAnsi="Arial"/>
          <w:sz w:val="18"/>
          <w:szCs w:val="18"/>
          <w:color w:val="auto"/>
        </w:rPr>
        <w:t>” shall mean any single claim (or series of claims arising from the same or similar facts, events, or circumstances) for Losses in an amount that is less than Twenty-Five Thousand dollars ($25,000).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Development Milestone Earn-Out Consideration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Disputed Items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Section2.5(b)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Divestiture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DOJ</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Eagle Holdings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Consideration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3.1(d)</w:t>
      </w:r>
      <w:r>
        <w:rPr>
          <w:rFonts w:ascii="Arial" w:cs="Arial" w:eastAsia="Arial" w:hAnsi="Arial"/>
          <w:sz w:val="18"/>
          <w:szCs w:val="18"/>
          <w:color w:val="auto"/>
        </w:rPr>
        <w:t>.</w:t>
      </w:r>
    </w:p>
    <w:p>
      <w:pPr>
        <w:sectPr>
          <w:pgSz w:w="11900" w:h="16838" w:orient="portrait"/>
          <w:cols w:equalWidth="0" w:num="1">
            <w:col w:w="11400"/>
          </w:cols>
          <w:pgMar w:left="240" w:top="733" w:right="259" w:bottom="0" w:gutter="0" w:footer="0" w:header="0"/>
        </w:sectPr>
      </w:pPr>
    </w:p>
    <w:bookmarkStart w:id="9" w:name="page10"/>
    <w:bookmarkEnd w:id="9"/>
    <w:p>
      <w:pPr>
        <w:spacing w:after="0" w:line="114"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shall mean any Law relating to pollution of the environment, including those relating to the use, production, generation, handling, transport, treatment, storage, disposal, distribution, labeling, testing, processing, discharge, Release or threatened Release of any Hazardous Material.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shall mean, with respect to any entity, trade or business, any other entity, trade or business that is, or was at the relevant time, a member of a group described in Section 414(b), (c), (m) or (o) of the Code or Section 4001(b)(1) of ERISA that includes or included the first entity, trade or business, or that is, or was at the relevant time, a member of the same “controlled group” as the first entity, trade or business pursuant to Section 4001(a)(14) of ERISA.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Cash Amount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Working Capital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Date Indebtedness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Date Transaction Fees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shall mean the Securities Exchange Act of 1934, as amended, and the rules and regulations promulgated thereunder.</w:t>
      </w:r>
    </w:p>
    <w:p>
      <w:pPr>
        <w:spacing w:after="0" w:line="248"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Assets</w:t>
      </w:r>
      <w:r>
        <w:rPr>
          <w:rFonts w:ascii="Arial" w:cs="Arial" w:eastAsia="Arial" w:hAnsi="Arial"/>
          <w:sz w:val="16"/>
          <w:szCs w:val="16"/>
          <w:color w:val="auto"/>
        </w:rPr>
        <w:t xml:space="preserve">” shall mean (a) the assets disclosed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(b) Books and Records and regulatory filings located at the Alkermes Gainesville facility only to the extent related to any pharmaceutical products, including pharmaceutical product candidates, other than the Products.</w:t>
      </w:r>
    </w:p>
    <w:p>
      <w:pPr>
        <w:spacing w:after="0" w:line="124" w:lineRule="exact"/>
        <w:rPr>
          <w:sz w:val="20"/>
          <w:szCs w:val="20"/>
          <w:color w:val="auto"/>
        </w:rPr>
      </w:pPr>
    </w:p>
    <w:p>
      <w:pPr>
        <w:ind w:right="1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any current or future regulations or official interpretations thereof, and any intergovernmental agreements entered into pursuant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External Demand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11.3(d)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shall mean the Foreign Corrupt Practices Act of 1977.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3.10</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FDCA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3.10</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Adjustment Amount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Post-Closing Adjustment Statement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FTC</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Focalin Products</w:t>
      </w:r>
      <w:r>
        <w:rPr>
          <w:rFonts w:ascii="Arial" w:cs="Arial" w:eastAsia="Arial" w:hAnsi="Arial"/>
          <w:sz w:val="18"/>
          <w:szCs w:val="18"/>
          <w:color w:val="auto"/>
        </w:rPr>
        <w:t>” shall mean the Transferred Entities’ Focalin XR®, an extended-release oral formulation of dexmethylphenidate, existing as of the date of this Agreement.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Representations</w:t>
      </w:r>
      <w:r>
        <w:rPr>
          <w:rFonts w:ascii="Arial" w:cs="Arial" w:eastAsia="Arial" w:hAnsi="Arial"/>
          <w:sz w:val="18"/>
          <w:szCs w:val="18"/>
          <w:color w:val="auto"/>
        </w:rPr>
        <w:t xml:space="preserve">” means the representations and warranties contained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(Organization; Authorization),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(Title to Shares; Capitalization; Structure),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(No Consents), and </w:t>
      </w: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(Brokers, Finders).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generally accepted accounting principles in the United States.</w:t>
      </w:r>
    </w:p>
    <w:p>
      <w:pPr>
        <w:spacing w:after="0" w:line="225"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Governing Documents</w:t>
      </w:r>
      <w:r>
        <w:rPr>
          <w:rFonts w:ascii="Arial" w:cs="Arial" w:eastAsia="Arial" w:hAnsi="Arial"/>
          <w:sz w:val="18"/>
          <w:szCs w:val="18"/>
          <w:color w:val="auto"/>
        </w:rPr>
        <w:t>” shall mean with respect to any Person, (a) if a corporation, the memorandum and articles of association, articles or certificate of incorporation, the bylaws or similar documents (as applicable); (b) if a general partnership or limited liability partnership, the partnership agreement and any statement of partnership; (c) if a limited partnership, the limited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partnership agreement and the certificate of limited partnership; (d) if a limited liability company, the certificate of formation and limited liability company agreement; (c) if another type of Person, any charter or similar document adopted or filed in connection with the creation, formation or organization of the Person; (f) all equity holders’ agreements, voting agreements, voting trust agreements or other similar agreements or documents relating to the organization, management or operation of such entity; and (g) any amendment or supplement to any of the foregoing.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Official</w:t>
      </w:r>
      <w:r>
        <w:rPr>
          <w:rFonts w:ascii="Arial" w:cs="Arial" w:eastAsia="Arial" w:hAnsi="Arial"/>
          <w:sz w:val="18"/>
          <w:szCs w:val="18"/>
          <w:color w:val="auto"/>
        </w:rPr>
        <w:t>” shall mean any officer, employee, official advisor or agent of a (a) Governmental Entity; (b) public international organization (e.g., the World Bank); (c) political party or official thereof; or (d) candidate for any political office.</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shall mean any court, administrative agency, commission or other governmental authority, body or instrumentality, federal, state, local, domestic or foreign governmental or regulatory authority.</w:t>
      </w:r>
    </w:p>
    <w:p>
      <w:pPr>
        <w:spacing w:after="0" w:line="170"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shall mean any pollutant, contaminant, hazardous waste, hazardous substance or hazardous material regulated under any Environmental Law, and includes asbestos-containing materials, polychlorinated biphenyls and petroleum and its derivatives.</w:t>
      </w:r>
    </w:p>
    <w:p>
      <w:pPr>
        <w:sectPr>
          <w:pgSz w:w="11900" w:h="16953" w:orient="portrait"/>
          <w:cols w:equalWidth="0" w:num="1">
            <w:col w:w="11420"/>
          </w:cols>
          <w:pgMar w:left="240" w:top="125" w:right="239" w:bottom="0" w:gutter="0" w:footer="0" w:header="0"/>
        </w:sectPr>
      </w:pPr>
    </w:p>
    <w:bookmarkStart w:id="10" w:name="page11"/>
    <w:bookmarkEnd w:id="10"/>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Highly Paid Employees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Historical Financial Statements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shall mean the Hart-Scott-Rodino Antitrust Improvements Act of 1976,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Income Tax</w:t>
      </w:r>
      <w:r>
        <w:rPr>
          <w:rFonts w:ascii="Arial" w:cs="Arial" w:eastAsia="Arial" w:hAnsi="Arial"/>
          <w:sz w:val="17"/>
          <w:szCs w:val="17"/>
          <w:color w:val="auto"/>
        </w:rPr>
        <w:t>” shall mean any federal, state, local, or foreign Tax based upon or measured by net income of the relevant Transferred Entity.</w:t>
      </w:r>
    </w:p>
    <w:p>
      <w:pPr>
        <w:spacing w:after="0" w:line="23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shall mean with respect to the Transferred Entities, at the time of any determination, without duplication: all obligations, contingent or otherwise that, in accordance with GAAP, would be included on the balance sheet of the Transferred Entities as indebtedness, but in any event includes the outstanding principal amount of, all accrued and unpaid interest on and other payment obligations (including any premiums, termination fees, expenses, breakage costs or penalties due upon prepayment of or payable in connection with this Agreement or the consummation of the transactions contemplated by this Agreement) in respect of, (A) all indebtedness of the Transferred Entities for borrowed money, which shall include borrowing agreements such as notes, bonds, indentures, mortgages, loans and lines of credit or similar instruments, (B) all obligations (including breakage costs) payable by the Transferred Entities under interest rate or currency protection agreements, (C) any reimbursement obligation with respect to letters of credit (including standby letters of credit to the extent drawn upon), bankers’ acceptances or similar facilities issued for the account of the Transferred Entities and for which the Transferred Entities shall be liable, (D) all obligations under capital leases (as determined in accordance with GAAP), and (E) any obligation of the type referred to in clauses (A) through</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8"/>
        <w:spacing w:after="0" w:line="264" w:lineRule="auto"/>
        <w:tabs>
          <w:tab w:leader="none" w:pos="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of this definition of another Person, the payment of which either of the Transferred Entities has guaranteed, or which is secured by any property or assets of either of the Transferred Entities; with respect to clauses (A) through (E) above, for which either of the Transferred Entities is responsible or liable from and after the Closing.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Accounting Firm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2.5(d)(i)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Post-Closing Adjustment Statement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Purchase Price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Section2.2(a)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Retention Bonuses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6.4(b)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w:t>
      </w:r>
      <w:r>
        <w:rPr>
          <w:rFonts w:ascii="Arial" w:cs="Arial" w:eastAsia="Arial" w:hAnsi="Arial"/>
          <w:sz w:val="16"/>
          <w:szCs w:val="16"/>
          <w:color w:val="auto"/>
        </w:rPr>
        <w:t>” shall mean any of the following intellectual property rights arising anywhere in the world: (i) all Registered Intellectual Property; (ii) all inventions (whether or not patentable), invention disclosures, improvements, trade secrets, proprietary or confidential information, know how, technology, business methods, technical data and customer lists, tangible or intangible proprietary information, and all documentation relating to any of the foregoing; (iii) computer software programs, including source code, object code, systems, tools, data, databases, firmware, APIs, interfaces, menus, libraries and related documentation; (iv) original works of authorship and copyrights; (v) all industrial designs; (vi) trademarks, service marks, trade dress, trade names, logos, or other source identifiers, including common law trademarks and service marks, and any goodwill associated with any of the foregoing;</w:t>
      </w:r>
    </w:p>
    <w:p>
      <w:pPr>
        <w:spacing w:after="0" w:line="5" w:lineRule="exact"/>
        <w:rPr>
          <w:sz w:val="20"/>
          <w:szCs w:val="20"/>
          <w:color w:val="auto"/>
        </w:rPr>
      </w:pPr>
    </w:p>
    <w:p>
      <w:pPr>
        <w:ind w:firstLine="8"/>
        <w:spacing w:after="0" w:line="261" w:lineRule="auto"/>
        <w:tabs>
          <w:tab w:leader="none" w:pos="3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databases and data collections and all rights therein throughout the world; (viii) all Web addresses, sites and domain names and numbers; and (ix) any similar or equivalent rights to any of the foregoing anywhere in the world.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License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5.3(b)</w:t>
      </w:r>
      <w:r>
        <w:rPr>
          <w:rFonts w:ascii="Arial" w:cs="Arial" w:eastAsia="Arial" w:hAnsi="Arial"/>
          <w:sz w:val="18"/>
          <w:szCs w:val="18"/>
          <w:color w:val="auto"/>
        </w:rPr>
        <w:t>.</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Transfer and License Agreement</w:t>
      </w:r>
      <w:r>
        <w:rPr>
          <w:rFonts w:ascii="Arial" w:cs="Arial" w:eastAsia="Arial" w:hAnsi="Arial"/>
          <w:sz w:val="18"/>
          <w:szCs w:val="18"/>
          <w:color w:val="auto"/>
        </w:rPr>
        <w:t>” shall mean that certain Intellectual Property Transfer and License Agreement by and between APIL and Daravita, dated May 8, 2014, as amended.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Internal Revenue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Sellers</w:t>
      </w:r>
      <w:r>
        <w:rPr>
          <w:rFonts w:ascii="Arial" w:cs="Arial" w:eastAsia="Arial" w:hAnsi="Arial"/>
          <w:sz w:val="18"/>
          <w:szCs w:val="18"/>
          <w:color w:val="auto"/>
        </w:rPr>
        <w:t>” shall mean the actual knowledge of Kathryn Biberstein, Shane Cooke and Gordon Pugh.</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any United States federal, state or local, or any non-United States law, statute, ordinance, rule, regulation, judgment, order, injunction, decree, arbitration award, agency requirement, license or permit of any Governmental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4.6(a)</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3.10</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shall mean with respect to any Person, any indebtedness, liability or obligation of such Person of any kind, character or description, whether known or unknown, absolute or contingent, accrued or unaccrued, disputed or undisputed, liquidated or unliquidated, secured or unsecured, joint or several, due or to become due, vested or unvested, executory, determined, determinable or otherwise, and whether or not the same is required by GAAP to be accrued on the financial statements of such Person.</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shall mean all liens, pledges, mortgages, charges, claims, security interests, restrictions on transfer, encroachments or encumbrance, but not including any license(s) of Business Intellectual Property.</w:t>
      </w:r>
    </w:p>
    <w:p>
      <w:pPr>
        <w:sectPr>
          <w:pgSz w:w="11900" w:h="16929" w:orient="portrait"/>
          <w:cols w:equalWidth="0" w:num="1">
            <w:col w:w="11380"/>
          </w:cols>
          <w:pgMar w:left="240" w:top="341" w:right="279" w:bottom="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Liquidated Damages Event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w:t>
      </w:r>
      <w:r>
        <w:rPr>
          <w:rFonts w:ascii="Arial" w:cs="Arial" w:eastAsia="Arial" w:hAnsi="Arial"/>
          <w:sz w:val="18"/>
          <w:szCs w:val="18"/>
          <w:color w:val="auto"/>
        </w:rPr>
        <w:t>.</w:t>
      </w:r>
    </w:p>
    <w:p>
      <w:pPr>
        <w:spacing w:after="0" w:line="225"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shall mean all losses, costs, charges, expenses (including reasonable attorneys’ fees and professional fees), obligations, liabilities, settlement payments, awards, judgments, fines, penalties, damages, demands, claims, assessments or deficiencies.</w:t>
      </w:r>
    </w:p>
    <w:p>
      <w:pPr>
        <w:spacing w:after="0" w:line="14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shall mean any circumstance, condition, effect, event, change or occurrence that, individually or in the aggregate, has or would reasonably be expected to have a material adverse impact or effect on: (a) the ability of Sellers to perform their obligations hereunder or to consummate the transactions contemplated by this Agreement or (b) the business, financial condition, properties, assets or results of operations of the Transferred Entities taken as a whole;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change or effect shall constitute a Material Adverse Effect to the extent (and only to the extent) it results from:</w:t>
      </w:r>
    </w:p>
    <w:p>
      <w:pPr>
        <w:spacing w:after="0" w:line="188" w:lineRule="exact"/>
        <w:rPr>
          <w:sz w:val="20"/>
          <w:szCs w:val="20"/>
          <w:color w:val="auto"/>
        </w:rPr>
      </w:pPr>
    </w:p>
    <w:p>
      <w:pPr>
        <w:ind w:left="1980" w:hanging="675"/>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conditions generally affecting any or all of the industries in which the Transferred Entities operate;</w:t>
      </w:r>
    </w:p>
    <w:p>
      <w:pPr>
        <w:spacing w:after="0" w:line="225" w:lineRule="exact"/>
        <w:rPr>
          <w:rFonts w:ascii="Arial" w:cs="Arial" w:eastAsia="Arial" w:hAnsi="Arial"/>
          <w:sz w:val="18"/>
          <w:szCs w:val="18"/>
          <w:color w:val="auto"/>
        </w:rPr>
      </w:pPr>
    </w:p>
    <w:p>
      <w:pPr>
        <w:ind w:left="660" w:right="100" w:firstLine="645"/>
        <w:spacing w:after="0" w:line="277" w:lineRule="auto"/>
        <w:tabs>
          <w:tab w:leader="none" w:pos="1987"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political, economic or business conditions or changes therein (including the commencement, continuation or escalation of a war, armed hostilities or other international or national calamity or acts of terrorism);</w:t>
      </w:r>
    </w:p>
    <w:p>
      <w:pPr>
        <w:spacing w:after="0" w:line="170" w:lineRule="exact"/>
        <w:rPr>
          <w:rFonts w:ascii="Arial" w:cs="Arial" w:eastAsia="Arial" w:hAnsi="Arial"/>
          <w:sz w:val="18"/>
          <w:szCs w:val="18"/>
          <w:color w:val="auto"/>
        </w:rPr>
      </w:pPr>
    </w:p>
    <w:p>
      <w:pPr>
        <w:ind w:left="660" w:right="400" w:firstLine="645"/>
        <w:spacing w:after="0" w:line="277" w:lineRule="auto"/>
        <w:tabs>
          <w:tab w:leader="none" w:pos="1997"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financial or capital market conditions, including interest rates, the availability of debt financing or currency exchange rates; or changes to any of the foregoing;</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earthquake, hurricane or other natural disaster, weather-related event or act of god;</w:t>
      </w:r>
    </w:p>
    <w:p>
      <w:pPr>
        <w:spacing w:after="0" w:line="225" w:lineRule="exact"/>
        <w:rPr>
          <w:rFonts w:ascii="Arial" w:cs="Arial" w:eastAsia="Arial" w:hAnsi="Arial"/>
          <w:sz w:val="18"/>
          <w:szCs w:val="18"/>
          <w:color w:val="auto"/>
        </w:rPr>
      </w:pPr>
    </w:p>
    <w:p>
      <w:pPr>
        <w:ind w:left="660" w:right="800" w:firstLine="645"/>
        <w:spacing w:after="0" w:line="277" w:lineRule="auto"/>
        <w:tabs>
          <w:tab w:leader="none" w:pos="1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changes in applicable Law, rules, regulations, or GAAP, or other accounting standards applicable to the Business, or authoritative interpretations thereof, from and after the date of this Agreement;</w:t>
      </w:r>
    </w:p>
    <w:p>
      <w:pPr>
        <w:spacing w:after="0" w:line="170" w:lineRule="exact"/>
        <w:rPr>
          <w:rFonts w:ascii="Arial" w:cs="Arial" w:eastAsia="Arial" w:hAnsi="Arial"/>
          <w:sz w:val="18"/>
          <w:szCs w:val="18"/>
          <w:color w:val="auto"/>
        </w:rPr>
      </w:pPr>
    </w:p>
    <w:p>
      <w:pPr>
        <w:ind w:left="660" w:right="60" w:firstLine="645"/>
        <w:spacing w:after="0" w:line="308" w:lineRule="auto"/>
        <w:tabs>
          <w:tab w:leader="none" w:pos="197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announcement of the potential sale of the Business or any portion thereof; the negotiation, execution, announcement, existence or performance of this Agreement or the transactions contemplated by this Agreement; the consummation of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transactions contemplated by this Agreement; or changes or actions resulting from any of the foregoing, including impacts on relationships with customers, suppliers, employees, labor organizations, or governmental entities;</w:t>
      </w:r>
    </w:p>
    <w:p>
      <w:pPr>
        <w:spacing w:after="0" w:line="170" w:lineRule="exact"/>
        <w:rPr>
          <w:sz w:val="20"/>
          <w:szCs w:val="20"/>
          <w:color w:val="auto"/>
        </w:rPr>
      </w:pPr>
    </w:p>
    <w:p>
      <w:pPr>
        <w:ind w:left="660" w:right="220" w:firstLine="645"/>
        <w:spacing w:after="0" w:line="277" w:lineRule="auto"/>
        <w:tabs>
          <w:tab w:leader="none" w:pos="198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action or omission required pursuant to the terms of this Agreement, or pursuant to the written request of Purchasers, or any action otherwise taken by Purchasers or any of their Affiliates; and</w:t>
      </w:r>
    </w:p>
    <w:p>
      <w:pPr>
        <w:spacing w:after="0" w:line="170" w:lineRule="exact"/>
        <w:rPr>
          <w:rFonts w:ascii="Arial" w:cs="Arial" w:eastAsia="Arial" w:hAnsi="Arial"/>
          <w:sz w:val="18"/>
          <w:szCs w:val="18"/>
          <w:color w:val="auto"/>
        </w:rPr>
      </w:pPr>
    </w:p>
    <w:p>
      <w:pPr>
        <w:ind w:left="660" w:right="620" w:firstLine="645"/>
        <w:spacing w:after="0" w:line="277" w:lineRule="auto"/>
        <w:tabs>
          <w:tab w:leader="none" w:pos="19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any failure of Sellers, the Transferred Entities or the Business to meet financial projections or any estimates of revenues or earnings; </w:t>
      </w:r>
      <w:r>
        <w:rPr>
          <w:rFonts w:ascii="Arial" w:cs="Arial" w:eastAsia="Arial" w:hAnsi="Arial"/>
          <w:sz w:val="18"/>
          <w:szCs w:val="18"/>
          <w:i w:val="1"/>
          <w:iCs w:val="1"/>
          <w:color w:val="auto"/>
        </w:rPr>
        <w:t>provided</w:t>
      </w:r>
      <w:r>
        <w:rPr>
          <w:rFonts w:ascii="Arial" w:cs="Arial" w:eastAsia="Arial" w:hAnsi="Arial"/>
          <w:sz w:val="18"/>
          <w:szCs w:val="18"/>
          <w:color w:val="auto"/>
        </w:rPr>
        <w:t>, that the underlying causes of such failures shall not be excluded under this clause (viii);</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w:t>
      </w:r>
      <w:r>
        <w:rPr>
          <w:rFonts w:ascii="Arial" w:cs="Arial" w:eastAsia="Arial" w:hAnsi="Arial"/>
          <w:sz w:val="18"/>
          <w:szCs w:val="18"/>
          <w:i w:val="1"/>
          <w:iCs w:val="1"/>
          <w:color w:val="auto"/>
        </w:rPr>
        <w:t xml:space="preserve"> that</w:t>
      </w:r>
      <w:r>
        <w:rPr>
          <w:rFonts w:ascii="Arial" w:cs="Arial" w:eastAsia="Arial" w:hAnsi="Arial"/>
          <w:sz w:val="18"/>
          <w:szCs w:val="18"/>
          <w:color w:val="auto"/>
        </w:rPr>
        <w:t>, in the cases of clauses (i)-(iv), in each case to the extent that such change or effect does not disproportionately affect the Transferred</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taken as a whole, in relation to others in the same business as the Transferred Entities.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Meloxicam</w:t>
      </w:r>
      <w:r>
        <w:rPr>
          <w:rFonts w:ascii="Arial" w:cs="Arial" w:eastAsia="Arial" w:hAnsi="Arial"/>
          <w:sz w:val="18"/>
          <w:szCs w:val="18"/>
          <w:color w:val="auto"/>
        </w:rPr>
        <w:t>” shall mean the Transferred Entities’ Meloxicam IV/IM, an aqueous extended-release formulation of the selective COX-2 inhibitor non-steroidal anti-inflammatory drug meloxicam developed by APIL using nanocrystal technology, in intravenous or intramuscular form existing as of the date of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Sales Earn-Out Consideration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Sales Report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Newco</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Non-Competition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Disagreement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Section2.5(b)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OCR IP</w:t>
      </w:r>
      <w:r>
        <w:rPr>
          <w:rFonts w:ascii="Arial" w:cs="Arial" w:eastAsia="Arial" w:hAnsi="Arial"/>
          <w:sz w:val="18"/>
          <w:szCs w:val="18"/>
          <w:color w:val="auto"/>
        </w:rPr>
        <w:t>” shall have the meaning ascribed to such term in the Intellectual Property Transfer and License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9.1(b)(i)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Property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3.6(b)</w:t>
      </w:r>
      <w:r>
        <w:rPr>
          <w:rFonts w:ascii="Arial" w:cs="Arial" w:eastAsia="Arial" w:hAnsi="Arial"/>
          <w:sz w:val="18"/>
          <w:szCs w:val="18"/>
          <w:color w:val="auto"/>
        </w:rPr>
        <w:t>.</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Paladin Products</w:t>
      </w:r>
      <w:r>
        <w:rPr>
          <w:rFonts w:ascii="Arial" w:cs="Arial" w:eastAsia="Arial" w:hAnsi="Arial"/>
          <w:sz w:val="18"/>
          <w:szCs w:val="18"/>
          <w:color w:val="auto"/>
        </w:rPr>
        <w:t>” shall mean the Transferred Entities’ pharmaceutical products licensed to Paladin Labs, Inc. by Daravita as of the date of this Agreement.</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mean Alkermes plc, a public limited company incorporated in Ireland (registered number 498284) whose registered address is Connaught House, One Burlington Road, Dublin 4, Ireland.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shall mean Purchasers, Daravita and Sellers.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shall mean the Pension Benefit Guaranty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2" w:name="page13"/>
    <w:bookmarkEnd w:id="12"/>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xml:space="preserve">” shall mean the following Liens: (a) Liens for Taxes, assessments or other governmental charges or levies that are not yet due or payable or that are being contested in good faith by appropriate proceedings or that may thereafter be paid without penalty; (b) statutory Liens of landlords and Liens of carriers, warehousemen, mechanics, materialmen, workmen, repairmen and other Liens imposed by Law and on a basis consistent with past practice; (c) Liens incurred or deposits made in the ordinary course of business and on a basis consistent with past practice in connection with workers’ compensation, unemployment insurance or other types of social security; (d) defects or imperfections of title, easements, covenants, rights-of-way, restrictions and other similar charges or encumbrances not materially interfering with the ordinary conduct of the Business; (e) in the case of the Business Real Property, zoning, building, subdivision, or other similar requirements or restrictions; (f) Liens incurred in the ordinary course of business and on a basis consistent with past practice securing obligations or liabilities that are not material to the Transferred Entities or the Transferred Interests; (g) such other imperfections of title as do not materially detract from the value or otherwise interfere with the present use of the Business Real Property or otherwise impair the operation of the Business as presently conducted; and (h) Liens set forth on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Sellers Disclosure Letter.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 person, corporation, partnership, limited liability company, joint venture, trust or other entity or organization.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Adjustment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shall mean all taxable periods ending on or before the Closing Date and the portion through the end of the Closing Date for any Straddle Period.</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Products</w:t>
      </w:r>
      <w:r>
        <w:rPr>
          <w:rFonts w:ascii="Arial" w:cs="Arial" w:eastAsia="Arial" w:hAnsi="Arial"/>
          <w:sz w:val="18"/>
          <w:szCs w:val="18"/>
          <w:color w:val="auto"/>
        </w:rPr>
        <w:t>” shall mean the BiDil Products, the Focalin Products, the Paladin Products, the Ritalin Products, the Verapamil Products, the Zogenix Products and Meloxicam, each of these Products individually, a “</w:t>
      </w:r>
      <w:r>
        <w:rPr>
          <w:rFonts w:ascii="Arial" w:cs="Arial" w:eastAsia="Arial" w:hAnsi="Arial"/>
          <w:sz w:val="18"/>
          <w:szCs w:val="18"/>
          <w:u w:val="single" w:color="auto"/>
          <w:color w:val="auto"/>
        </w:rPr>
        <w:t>Product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Prohibitive Order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Purchasers Disclosure Letter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Purchasers Fundamental Representations</w:t>
      </w:r>
      <w:r>
        <w:rPr>
          <w:rFonts w:ascii="Arial" w:cs="Arial" w:eastAsia="Arial" w:hAnsi="Arial"/>
          <w:sz w:val="18"/>
          <w:szCs w:val="18"/>
          <w:color w:val="auto"/>
        </w:rPr>
        <w:t xml:space="preserve">” means the representations and warranties contained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(Organization; Authorization),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(No Consents),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(Brokers; Finders) and </w:t>
      </w:r>
      <w:r>
        <w:rPr>
          <w:rFonts w:ascii="Arial" w:cs="Arial" w:eastAsia="Arial" w:hAnsi="Arial"/>
          <w:sz w:val="18"/>
          <w:szCs w:val="18"/>
          <w:u w:val="single" w:color="auto"/>
          <w:color w:val="auto"/>
        </w:rPr>
        <w:t>Section 4.6(e)</w:t>
      </w:r>
      <w:r>
        <w:rPr>
          <w:rFonts w:ascii="Arial" w:cs="Arial" w:eastAsia="Arial" w:hAnsi="Arial"/>
          <w:sz w:val="18"/>
          <w:szCs w:val="18"/>
          <w:color w:val="auto"/>
        </w:rPr>
        <w:t xml:space="preserve"> (Solvency).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Purchasers Indemnified Parties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Plan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Related Parties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9.4(c)</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Recro</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Intellectual Property</w:t>
      </w:r>
      <w:r>
        <w:rPr>
          <w:rFonts w:ascii="Arial" w:cs="Arial" w:eastAsia="Arial" w:hAnsi="Arial"/>
          <w:sz w:val="18"/>
          <w:szCs w:val="18"/>
          <w:color w:val="auto"/>
        </w:rPr>
        <w:t>” means all United States, international and foreign: (i) patents and patent applications (including, but not limited to, reissues, continuations, divisionals, renewals, extensions, continuations-in-part, and all patents and applications claiming priority thereto or serving as a basis for priority thereof, provisional applications and design patents and applications); (ii) registered trademarks and service marks, applications to register trademarks, applications to register service marks, including in either case intent-to-use applications, or other registrations or applications related to trademarks, service marks or other source identifiers; (iii) registered copyrights and applications for copyright registration; (iv) domain name registrations and Internet number assignments; and (v) any other Intellectual Property Right that is the subject of an application, certificate, filing, registration or other document issued, filed with, or recorded by any Governmental Entity.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Persons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shall have the meaning set forth in CERCLA.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w:t>
      </w:r>
      <w:r>
        <w:rPr>
          <w:rFonts w:ascii="Arial" w:cs="Arial" w:eastAsia="Arial" w:hAnsi="Arial"/>
          <w:sz w:val="18"/>
          <w:szCs w:val="18"/>
          <w:color w:val="auto"/>
        </w:rPr>
        <w:t>” shall have the meaning set forth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Transfer Agreements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5.3(a)</w:t>
      </w:r>
      <w:r>
        <w:rPr>
          <w:rFonts w:ascii="Arial" w:cs="Arial" w:eastAsia="Arial" w:hAnsi="Arial"/>
          <w:sz w:val="18"/>
          <w:szCs w:val="18"/>
          <w:color w:val="auto"/>
        </w:rPr>
        <w:t>.</w:t>
      </w:r>
    </w:p>
    <w:p>
      <w:pPr>
        <w:spacing w:after="0" w:line="225" w:lineRule="exact"/>
        <w:rPr>
          <w:sz w:val="20"/>
          <w:szCs w:val="20"/>
          <w:color w:val="auto"/>
        </w:rPr>
      </w:pPr>
    </w:p>
    <w:p>
      <w:pPr>
        <w:ind w:right="1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shall mean a Person’s officers, directors, consultants, advisors, employees, stockholders, agents or other advisors or representatives.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Retention Bonuses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Review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Section2.5(b)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Reverse Termination Fee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9.4(a)</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Ritalin Products</w:t>
      </w:r>
      <w:r>
        <w:rPr>
          <w:rFonts w:ascii="Arial" w:cs="Arial" w:eastAsia="Arial" w:hAnsi="Arial"/>
          <w:sz w:val="18"/>
          <w:szCs w:val="18"/>
          <w:color w:val="auto"/>
        </w:rPr>
        <w:t>” shall mean the Transferred Entities’ Ritalin SR®, a sustained-release oral formulation of methylphenidate, existing as of the date of this Agreement.</w:t>
      </w:r>
    </w:p>
    <w:p>
      <w:pPr>
        <w:sectPr>
          <w:pgSz w:w="11900" w:h="16838" w:orient="portrait"/>
          <w:cols w:equalWidth="0" w:num="1">
            <w:col w:w="11420"/>
          </w:cols>
          <w:pgMar w:left="240" w:top="584" w:right="239" w:bottom="0" w:gutter="0" w:footer="0" w:header="0"/>
        </w:sectPr>
      </w:pPr>
    </w:p>
    <w:bookmarkStart w:id="13" w:name="page14"/>
    <w:bookmarkEnd w:id="13"/>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Sample Adjustment Amount Statement</w:t>
      </w:r>
      <w:r>
        <w:rPr>
          <w:rFonts w:ascii="Arial" w:cs="Arial" w:eastAsia="Arial" w:hAnsi="Arial"/>
          <w:sz w:val="18"/>
          <w:szCs w:val="18"/>
          <w:color w:val="auto"/>
        </w:rPr>
        <w:t>” shall have the meaning set forth in the definition of Working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U.S.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Financial Advisor</w:t>
      </w:r>
      <w:r>
        <w:rPr>
          <w:rFonts w:ascii="Arial" w:cs="Arial" w:eastAsia="Arial" w:hAnsi="Arial"/>
          <w:sz w:val="18"/>
          <w:szCs w:val="18"/>
          <w:color w:val="auto"/>
        </w:rPr>
        <w:t>” shall mean Lazard Frères &amp; Co. LLC.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Confidential Information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Disclosure Letter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Customers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3.15(n)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Suppliers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3.15(n)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Similar Law</w:t>
      </w:r>
      <w:r>
        <w:rPr>
          <w:rFonts w:ascii="Arial" w:cs="Arial" w:eastAsia="Arial" w:hAnsi="Arial"/>
          <w:sz w:val="17"/>
          <w:szCs w:val="17"/>
          <w:color w:val="auto"/>
        </w:rPr>
        <w:t>” shall mean any law of a jurisdiction outside the United States that is similar to the applicable U.S. federal, state or local Law.</w:t>
      </w:r>
    </w:p>
    <w:p>
      <w:pPr>
        <w:spacing w:after="0" w:line="23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means, with respect to any Person on a particular date, that on such date (i) the fair value of the property of such Person is greater than the total amount of liabilities, including contingent liabilities, of such Person, (ii) the present fair saleable value of the assets of such Person is not less than the amount that will be required to pay the probable liability of such Person on its debts as they become absolute and matured, (iii) such Person does not intend to, and does not believe that it will, incur debts or liabilities beyond its ability to pay as such debts and liabilities as they mature, (iv) such Person is not engaged in a business or a transaction, and is not about to engage in a business or a transaction, for which the assets of such Person would constitute an unreasonably small capital; (v) such Person has the ability to pay their debts and obligations as they come due in the ordinary course of business; (vi) such Person has sufficient capital to operate the Business in the ordinary course of business (including, without limitation, manufacturing and developing the Products and performing its obligations under the Supply Agreements); and (vii) such Person has not made any transfer or incurred any obligations, with actual intent to hinder, delay or defraud either present or future creditors. The amount of contingent liabilities at any time shall be computed as the amount that, in light of all the facts and circumstances existing at such time, can reasonably be expected to become an actual or matured liability.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any taxable period that includes (but does not end on)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Assets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5.2(c)</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with respect to any Person, any other entity (a) whose securities or other ownership interests, having by their terms the power to elect a majority of the board of directors or other Persons performing similar functions, are beneficially owned or controlled, directly or indirectly, by such Person, (b) whose business and policies such Person has the power, directly or indirectly, to direct, or (c) of which 50% or more of the securities, partnership or other ownership interests are owned, directly or indirectly, by such Person.</w:t>
      </w:r>
    </w:p>
    <w:p>
      <w:pPr>
        <w:spacing w:after="0" w:line="18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Supply Agreements</w:t>
      </w:r>
      <w:r>
        <w:rPr>
          <w:rFonts w:ascii="Arial" w:cs="Arial" w:eastAsia="Arial" w:hAnsi="Arial"/>
          <w:sz w:val="17"/>
          <w:szCs w:val="17"/>
          <w:color w:val="auto"/>
        </w:rPr>
        <w:t xml:space="preserve">” shall mean the agreements between Sellers, or their designated Affiliate, and Acquisition Sub to be executed within sixty (60) days following the Closing in forms mutually acceptable to Sellers and Purchasers and to include the terms and conditions specified in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Working Capital Amount</w:t>
      </w:r>
      <w:r>
        <w:rPr>
          <w:rFonts w:ascii="Arial" w:cs="Arial" w:eastAsia="Arial" w:hAnsi="Arial"/>
          <w:sz w:val="18"/>
          <w:szCs w:val="18"/>
          <w:color w:val="auto"/>
        </w:rPr>
        <w:t>” shall mean Nineteen Million Dollars ($19,000,000).</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shall mean any tax of any kind, including any federal, state, local and foreign income, profits, license, severance, occupation, windfall profits, capital gains, capital stock, transfer, registration, social security (or similar), production, franchise, gross receipts, payroll, sales, employment, use, property, excise, value added, estimated, stamp, alternative or add-on minimum, environmental, withholding or any other tax, governmental duty or assessment, together with all interest, penalties and additions imposed with respect to such amounts.</w:t>
      </w:r>
    </w:p>
    <w:p>
      <w:pPr>
        <w:spacing w:after="0" w:line="187"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Proceeding</w:t>
      </w:r>
      <w:r>
        <w:rPr>
          <w:rFonts w:ascii="Arial" w:cs="Arial" w:eastAsia="Arial" w:hAnsi="Arial"/>
          <w:sz w:val="16"/>
          <w:szCs w:val="16"/>
          <w:color w:val="auto"/>
        </w:rPr>
        <w:t>” means any audit, examination, investigation, assessment, claim or litigation by a Governmental Entity relating to Taxes of the Transferred Entities for Pre-Closing Tax Periods or Straddle Periods or for which Sellers may have Liability for Taxes under this Agreement or otherwise.</w:t>
      </w:r>
    </w:p>
    <w:p>
      <w:pPr>
        <w:spacing w:after="0" w:line="12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return, report, information return or other statement (including schedules or any related or supporting information) required to be filed or prepared with respect to any Tax.</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10.4(a)</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Fees</w:t>
      </w:r>
      <w:r>
        <w:rPr>
          <w:rFonts w:ascii="Arial" w:cs="Arial" w:eastAsia="Arial" w:hAnsi="Arial"/>
          <w:sz w:val="16"/>
          <w:szCs w:val="16"/>
          <w:color w:val="auto"/>
        </w:rPr>
        <w:t>” means all unpaid fees, expenses and other similar amounts that have been or are expected to be incurred on or prior to the Closing Date on behalf of either of the Transferred Entities in connection with the preparation, negotiation and execution of this Agreement and the consummation of the transactions contemplated hereby, including: (i) the fees and expenses of, or other similar amounts charged by, any external counsel, accountants, financial advisors, consultants and experts engaged by either of the Transferred Entities; and (ii) the amount of the Retention Bonuses and any other sale bonuses, change in control bonuses, retention bonuses or similar bonuses that become payable in connection with the consummation of the transactions contemplated by this Agreement (plus the employer portion of any payroll and employment taxes relating thereto) except, in the case of (i) and</w:t>
      </w:r>
    </w:p>
    <w:p>
      <w:pPr>
        <w:sectPr>
          <w:pgSz w:w="11900" w:h="16934" w:orient="portrait"/>
          <w:cols w:equalWidth="0" w:num="1">
            <w:col w:w="11360"/>
          </w:cols>
          <w:pgMar w:left="240" w:top="125" w:right="299" w:bottom="0" w:gutter="0" w:footer="0" w:header="0"/>
        </w:sectPr>
      </w:pPr>
    </w:p>
    <w:bookmarkStart w:id="14" w:name="page15"/>
    <w:bookmarkEnd w:id="14"/>
    <w:p>
      <w:pPr>
        <w:ind w:right="60" w:firstLine="8"/>
        <w:spacing w:after="0" w:line="277"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above, (a) to the extent otherwise included in the determination of Working Capital or (b) to the extent such fees have not been paid as of the Closing and will become the liability of the Transferred Entities from and after the Closing.</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Entities</w:t>
      </w:r>
      <w:r>
        <w:rPr>
          <w:rFonts w:ascii="Arial" w:cs="Arial" w:eastAsia="Arial" w:hAnsi="Arial"/>
          <w:sz w:val="18"/>
          <w:szCs w:val="18"/>
          <w:color w:val="auto"/>
        </w:rPr>
        <w:t>” shall mean (a) prior to consummation and completion of the Reorganization, Daravita and Alkermes Gainesville, or (b) from and after consummation and completion of the Reorganization, Newco and Alkermes Gainesville.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Entity Benefit Plan</w:t>
      </w:r>
      <w:r>
        <w:rPr>
          <w:rFonts w:ascii="Arial" w:cs="Arial" w:eastAsia="Arial" w:hAnsi="Arial"/>
          <w:sz w:val="18"/>
          <w:szCs w:val="18"/>
          <w:color w:val="auto"/>
        </w:rPr>
        <w:t>” shall mean any Benefit Plan solely sponsored or maintained by any Transferred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Entity Employee</w:t>
      </w:r>
      <w:r>
        <w:rPr>
          <w:rFonts w:ascii="Arial" w:cs="Arial" w:eastAsia="Arial" w:hAnsi="Arial"/>
          <w:sz w:val="18"/>
          <w:szCs w:val="18"/>
          <w:color w:val="auto"/>
        </w:rPr>
        <w:t>” shall mean any employee employed by any Transferred Entity.</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Interests</w:t>
      </w:r>
      <w:r>
        <w:rPr>
          <w:rFonts w:ascii="Arial" w:cs="Arial" w:eastAsia="Arial" w:hAnsi="Arial"/>
          <w:sz w:val="18"/>
          <w:szCs w:val="18"/>
          <w:color w:val="auto"/>
        </w:rPr>
        <w:t>” shall mean (a) all of the issued and outstanding membership units of Newco and (b) all of the issued and outstanding membership units of Alkermes Gainesville.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 Agreement</w:t>
      </w:r>
      <w:r>
        <w:rPr>
          <w:rFonts w:ascii="Arial" w:cs="Arial" w:eastAsia="Arial" w:hAnsi="Arial"/>
          <w:sz w:val="18"/>
          <w:szCs w:val="18"/>
          <w:color w:val="auto"/>
        </w:rPr>
        <w:t xml:space="preserve">” shall mean the transition services agreement to be executed and delivered on or prior to the Closing Date in a form mutually acceptable to Sellers and Purchasers, which services and other terms and conditions are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U.S.-Ireland Treaty</w:t>
      </w:r>
      <w:r>
        <w:rPr>
          <w:rFonts w:ascii="Arial" w:cs="Arial" w:eastAsia="Arial" w:hAnsi="Arial"/>
          <w:sz w:val="18"/>
          <w:szCs w:val="18"/>
          <w:color w:val="auto"/>
        </w:rPr>
        <w:t>” means the Convention Between the Government of the United States of America and the Government of Ireland for the Avoidance of Double Taxation and the Prevention of Fiscal Evasion with Respect to Taxes on Income and Capital Gains signed on July 28, 1997, and any existing protocols with respect thereto.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means value added tax.</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Verapamil Products</w:t>
      </w:r>
      <w:r>
        <w:rPr>
          <w:rFonts w:ascii="Arial" w:cs="Arial" w:eastAsia="Arial" w:hAnsi="Arial"/>
          <w:sz w:val="18"/>
          <w:szCs w:val="18"/>
          <w:color w:val="auto"/>
        </w:rPr>
        <w:t>” shall mean the Transferred Entities’ sustained release oral formulations of verapamil hydrochloride existing as of the date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 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3.11(d)</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w:t>
      </w:r>
      <w:r>
        <w:rPr>
          <w:rFonts w:ascii="Arial" w:cs="Arial" w:eastAsia="Arial" w:hAnsi="Arial"/>
          <w:sz w:val="16"/>
          <w:szCs w:val="16"/>
          <w:color w:val="auto"/>
        </w:rPr>
        <w:t xml:space="preserve">” shall mean the warrant to purchase stock to be executed and delivered at the Closing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The warrant to purchase stock grants to APIL the right to purchase 350,000 shares (subject to adjustment as provided therein) of common stock of Recro at a price equal to two times the closing price of the common stock of Recro on the day prior to the Closing Date for a period of seven (7) years from the Closing Date.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Working Capital</w:t>
      </w:r>
      <w:r>
        <w:rPr>
          <w:rFonts w:ascii="Arial" w:cs="Arial" w:eastAsia="Arial" w:hAnsi="Arial"/>
          <w:sz w:val="16"/>
          <w:szCs w:val="16"/>
          <w:color w:val="auto"/>
        </w:rPr>
        <w:t>” shall mean current assets of the Transferred Entities minus current liabilities of the Transferred Entities and excluding (a) Cash,</w:t>
      </w:r>
    </w:p>
    <w:p>
      <w:pPr>
        <w:spacing w:after="0" w:line="46"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any intercompany accounts and other intercompany obligations required to be settled or eliminated at or prior to the Closing pursuant to </w:t>
      </w:r>
      <w:r>
        <w:rPr>
          <w:rFonts w:ascii="Arial" w:cs="Arial" w:eastAsia="Arial" w:hAnsi="Arial"/>
          <w:sz w:val="16"/>
          <w:szCs w:val="16"/>
          <w:u w:val="single" w:color="auto"/>
          <w:color w:val="auto"/>
        </w:rPr>
        <w:t>Section 5.7</w:t>
      </w:r>
      <w:r>
        <w:rPr>
          <w:rFonts w:ascii="Arial" w:cs="Arial" w:eastAsia="Arial" w:hAnsi="Arial"/>
          <w:sz w:val="16"/>
          <w:szCs w:val="16"/>
          <w:color w:val="auto"/>
        </w:rPr>
        <w:t>, or</w:t>
      </w:r>
    </w:p>
    <w:p>
      <w:pPr>
        <w:spacing w:after="0" w:line="32" w:lineRule="exact"/>
        <w:rPr>
          <w:rFonts w:ascii="Arial" w:cs="Arial" w:eastAsia="Arial" w:hAnsi="Arial"/>
          <w:sz w:val="16"/>
          <w:szCs w:val="16"/>
          <w:color w:val="auto"/>
        </w:rPr>
      </w:pPr>
    </w:p>
    <w:p>
      <w:pPr>
        <w:ind w:right="100" w:firstLine="8"/>
        <w:spacing w:after="0" w:line="267" w:lineRule="auto"/>
        <w:tabs>
          <w:tab w:leader="none" w:pos="245"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any assets or liabilities in respect of Income Taxes. For purposes of this Agreement, Working Capital shall be calculated in accordance with this Agreement (including the sample calculation of the Adjustment Amount as of December 31, 2014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Sample Adjustment Amount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xml:space="preserve">”)) and with GAAP applied using the same data sources, policies, procedures and method of calculation, with consistent classifications, judgments and estimation methodology, as were used in preparation of the Business Balance Sheet;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Working Capital shall not be calculated to include any changes in assets or liabilities as a result of purchase accounting adjustments or other changes arising from or resulting as a consequence of this Agreement or the transactions contemplated hereby other than as expressly set forth in the Sample Adjustment Amount Statement;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there is any conflict between the accounting methods, practices, principles, policies and procedures used in preparing the Business Balance</w:t>
      </w:r>
      <w:r>
        <w:rPr>
          <w:rFonts w:ascii="Arial" w:cs="Arial" w:eastAsia="Arial" w:hAnsi="Arial"/>
          <w:sz w:val="17"/>
          <w:szCs w:val="17"/>
          <w:i w:val="1"/>
          <w:iCs w:val="1"/>
          <w:color w:val="auto"/>
        </w:rPr>
        <w:t xml:space="preserve"> </w:t>
      </w:r>
      <w:r>
        <w:rPr>
          <w:rFonts w:ascii="Arial" w:cs="Arial" w:eastAsia="Arial" w:hAnsi="Arial"/>
          <w:sz w:val="17"/>
          <w:szCs w:val="17"/>
          <w:color w:val="auto"/>
        </w:rPr>
        <w:t>Sheet and GAAP, GAAP shall control and no reversal of any reserves reflected in the balance sheet of the Transferred Entities shall be taken into account except that reserved for a litigation matter may be reversed only in connection with the final resolution of such litigation and reserves against an account receivable may be reversed only upon actual collection of such reserved receivable (the methods set forth in this definition of Working Capital, the “</w:t>
      </w:r>
      <w:r>
        <w:rPr>
          <w:rFonts w:ascii="Arial" w:cs="Arial" w:eastAsia="Arial" w:hAnsi="Arial"/>
          <w:sz w:val="17"/>
          <w:szCs w:val="17"/>
          <w:u w:val="single" w:color="auto"/>
          <w:color w:val="auto"/>
        </w:rPr>
        <w:t>Accounting Methodology</w:t>
      </w:r>
      <w:r>
        <w:rPr>
          <w:rFonts w:ascii="Arial" w:cs="Arial" w:eastAsia="Arial" w:hAnsi="Arial"/>
          <w:sz w:val="17"/>
          <w:szCs w:val="17"/>
          <w:color w:val="auto"/>
        </w:rPr>
        <w:t>”).</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Zogenix Products</w:t>
      </w:r>
      <w:r>
        <w:rPr>
          <w:rFonts w:ascii="Arial" w:cs="Arial" w:eastAsia="Arial" w:hAnsi="Arial"/>
          <w:sz w:val="18"/>
          <w:szCs w:val="18"/>
          <w:color w:val="auto"/>
        </w:rPr>
        <w:t>” shall mean the Transferred Entities’ Zohydro™ ER, an extended-release oral formulation of hydrocodone bitartrate, including the modified Zohydro™ ER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product containing an abuse deterrent component comprising polyethylene oxide and povidone (and further including the FDA-approved form thereof) existing as of the date of this Agreement.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SALE</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Sale</w:t>
      </w:r>
      <w:r>
        <w:rPr>
          <w:rFonts w:ascii="Arial" w:cs="Arial" w:eastAsia="Arial" w:hAnsi="Arial"/>
          <w:sz w:val="18"/>
          <w:szCs w:val="18"/>
          <w:color w:val="auto"/>
        </w:rPr>
        <w:t>. Upon the terms and subject to the conditions set forth in this Agreement, at the closing of the transactions contemplated by this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Sellers shall transfer, convey, assign and deliver to Acquisition Sub, and Acquisition Sub shall purchase and acquire from Sellers, all of Sellers’ right, title and interest in and to the Transferred Interests (the “</w:t>
      </w:r>
      <w:r>
        <w:rPr>
          <w:rFonts w:ascii="Arial" w:cs="Arial" w:eastAsia="Arial" w:hAnsi="Arial"/>
          <w:sz w:val="18"/>
          <w:szCs w:val="18"/>
          <w:u w:val="single" w:color="auto"/>
          <w:color w:val="auto"/>
        </w:rPr>
        <w:t>Sale</w:t>
      </w:r>
      <w:r>
        <w:rPr>
          <w:rFonts w:ascii="Arial" w:cs="Arial" w:eastAsia="Arial" w:hAnsi="Arial"/>
          <w:sz w:val="18"/>
          <w:szCs w:val="18"/>
          <w:color w:val="auto"/>
        </w:rPr>
        <w: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Purchase Price; Allocation</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consideration for the Transferred Interests, Purchasers shall pay to Sellers an aggregate of (a) Fifty Million Dollars</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($50,000,000) in cash (the “</w:t>
      </w:r>
      <w:r>
        <w:rPr>
          <w:rFonts w:ascii="Arial" w:cs="Arial" w:eastAsia="Arial" w:hAnsi="Arial"/>
          <w:sz w:val="18"/>
          <w:szCs w:val="18"/>
          <w:u w:val="single" w:color="auto"/>
          <w:color w:val="auto"/>
        </w:rPr>
        <w:t>Initial Purchase Price</w:t>
      </w:r>
      <w:r>
        <w:rPr>
          <w:rFonts w:ascii="Arial" w:cs="Arial" w:eastAsia="Arial" w:hAnsi="Arial"/>
          <w:sz w:val="18"/>
          <w:szCs w:val="18"/>
          <w:color w:val="auto"/>
        </w:rPr>
        <w:t>”) plus (b) the Warrant (collectively, the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at the Closing. The Initial Purchase Price shall be subject to adjustment as provided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84" w:lineRule="exact"/>
        <w:rPr>
          <w:sz w:val="20"/>
          <w:szCs w:val="20"/>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Parties agree that:</w:t>
      </w:r>
    </w:p>
    <w:p>
      <w:pPr>
        <w:sectPr>
          <w:pgSz w:w="11900" w:h="16838" w:orient="portrait"/>
          <w:cols w:equalWidth="0" w:num="1">
            <w:col w:w="11380"/>
          </w:cols>
          <w:pgMar w:left="240" w:top="125" w:right="279" w:bottom="32" w:gutter="0" w:footer="0" w:header="0"/>
        </w:sectPr>
      </w:pPr>
    </w:p>
    <w:bookmarkStart w:id="15" w:name="page16"/>
    <w:bookmarkEnd w:id="15"/>
    <w:p>
      <w:pPr>
        <w:ind w:left="1300" w:right="240" w:firstLine="653"/>
        <w:spacing w:after="0" w:line="312" w:lineRule="auto"/>
        <w:tabs>
          <w:tab w:leader="none" w:pos="2618" w:val="left"/>
        </w:tabs>
        <w:numPr>
          <w:ilvl w:val="1"/>
          <w:numId w:val="15"/>
        </w:numPr>
        <w:rPr>
          <w:rFonts w:ascii="Arial" w:cs="Arial" w:eastAsia="Arial" w:hAnsi="Arial"/>
          <w:sz w:val="16"/>
          <w:szCs w:val="16"/>
          <w:color w:val="auto"/>
        </w:rPr>
      </w:pPr>
      <w:r>
        <w:rPr>
          <w:rFonts w:ascii="Arial" w:cs="Arial" w:eastAsia="Arial" w:hAnsi="Arial"/>
          <w:sz w:val="16"/>
          <w:szCs w:val="16"/>
          <w:color w:val="auto"/>
        </w:rPr>
        <w:t>For U.S. federal Income Tax purposes, the sale of (A) the Transferred Interests in Alkermes Gainesville (which is a disregarded entity with respect to Eagle Holdings) shall be treated as a sale of the assets of Alkermes Gainesville and (B) the Transferred Interests in Newco (which is a disregarded entity with respect to APIL) shall be treated as a sale of the assets of Newco;</w:t>
      </w:r>
    </w:p>
    <w:p>
      <w:pPr>
        <w:spacing w:after="0" w:line="146" w:lineRule="exact"/>
        <w:rPr>
          <w:rFonts w:ascii="Arial" w:cs="Arial" w:eastAsia="Arial" w:hAnsi="Arial"/>
          <w:sz w:val="16"/>
          <w:szCs w:val="16"/>
          <w:color w:val="auto"/>
        </w:rPr>
      </w:pPr>
    </w:p>
    <w:p>
      <w:pPr>
        <w:ind w:left="1300" w:firstLine="653"/>
        <w:spacing w:after="0" w:line="279" w:lineRule="auto"/>
        <w:tabs>
          <w:tab w:leader="none" w:pos="2627"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 amount of the Initial Purchase Price equal to the lesser of (A) the Appraised Value of Alkermes Gainesville (as determined pursuant to Section 2.2(d)) less any liabilities of Alkermes Gainesville that are required to be treated as part of the purchase price of the assets of Alkermes Gainesville for U.S. federal Income Tax purposes and (B) the Initial Purchase Price shall be allocated to, and paid to Eagle Holdings in full payment for the Transferred Interests in Alkermes Gainesville; and</w:t>
      </w:r>
    </w:p>
    <w:p>
      <w:pPr>
        <w:spacing w:after="0" w:line="171" w:lineRule="exact"/>
        <w:rPr>
          <w:rFonts w:ascii="Arial" w:cs="Arial" w:eastAsia="Arial" w:hAnsi="Arial"/>
          <w:sz w:val="17"/>
          <w:szCs w:val="17"/>
          <w:color w:val="auto"/>
        </w:rPr>
      </w:pPr>
    </w:p>
    <w:p>
      <w:pPr>
        <w:jc w:val="both"/>
        <w:ind w:left="1300" w:right="180" w:firstLine="653"/>
        <w:spacing w:after="0" w:line="264" w:lineRule="auto"/>
        <w:tabs>
          <w:tab w:leader="none" w:pos="2637"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balance of the Initial Purchase Price plus the Warrant shall be allocated to and paid to APIL in full payment for the Transferred Interests in Newco and the Earn-Out Consideration shall be allocated to and paid to APIL in full payment of the amounts due under the terms of the IP License Agreement.</w:t>
      </w:r>
    </w:p>
    <w:p>
      <w:pPr>
        <w:spacing w:after="0" w:line="181" w:lineRule="exact"/>
        <w:rPr>
          <w:rFonts w:ascii="Arial" w:cs="Arial" w:eastAsia="Arial" w:hAnsi="Arial"/>
          <w:sz w:val="18"/>
          <w:szCs w:val="18"/>
          <w:color w:val="auto"/>
        </w:rPr>
      </w:pPr>
    </w:p>
    <w:p>
      <w:pPr>
        <w:ind w:right="160" w:firstLine="1305"/>
        <w:spacing w:after="0" w:line="257" w:lineRule="auto"/>
        <w:tabs>
          <w:tab w:leader="none" w:pos="19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right of APIL to receive the Earn-Out Consideration: (i) is solely a contractual right and is not a security for purposes of any federal or state securities Laws; (ii) will not be represented by any form of certificate or instrument; and (iii) does not give APIL any dividend rights, voting rights, liquidation rights, preemptive rights or other rights common to holders of the equity securities of Acquisition Sub or any of its Affiliates. The transactions contemplated by this Agreement are intended to be, and shall be treated solely as, a sale of the Transferred Interests by Sellers to Acquisition Sub, and nothing hereunder shall be deemed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create a joint venture or partnership between or among any of the Parties, the Transferred Entities and/or any of their Affiliates.</w:t>
      </w:r>
    </w:p>
    <w:p>
      <w:pPr>
        <w:spacing w:after="0" w:line="225" w:lineRule="exact"/>
        <w:rPr>
          <w:sz w:val="20"/>
          <w:szCs w:val="20"/>
          <w:color w:val="auto"/>
        </w:rPr>
      </w:pPr>
    </w:p>
    <w:p>
      <w:pPr>
        <w:ind w:firstLine="1305"/>
        <w:spacing w:after="0" w:line="285" w:lineRule="auto"/>
        <w:tabs>
          <w:tab w:leader="none" w:pos="19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Eagle Holdings shall retain Duff &amp; Phelps Corporation which shall conduct an appraisal and determine the gross fair market value of the assets of Alkermes Gainesville (the “</w:t>
      </w:r>
      <w:r>
        <w:rPr>
          <w:rFonts w:ascii="Arial" w:cs="Arial" w:eastAsia="Arial" w:hAnsi="Arial"/>
          <w:sz w:val="16"/>
          <w:szCs w:val="16"/>
          <w:u w:val="single" w:color="auto"/>
          <w:color w:val="auto"/>
        </w:rPr>
        <w:t>Appraised Value</w:t>
      </w:r>
      <w:r>
        <w:rPr>
          <w:rFonts w:ascii="Arial" w:cs="Arial" w:eastAsia="Arial" w:hAnsi="Arial"/>
          <w:sz w:val="16"/>
          <w:szCs w:val="16"/>
          <w:color w:val="auto"/>
        </w:rPr>
        <w:t>”). Within sixty (60) days after the Closing Date, Eagle Holdings shall deliver to Purchasers a schedule setting forth the Appraised Value and the allocation of the Initial Purchase Price allocable to the Transferred Interests in Alkermes Gainesville (as determined pursuant to Section 2.2(b)(ii)) (plus any liabilities of Alkermes Gainesville that are required to be treated as part of the purchase price of the assets of Alkermes Gainesville for U.S. federal Income Tax purposes) among the asset classes of Alkermes Gainesville (the “</w:t>
      </w:r>
      <w:r>
        <w:rPr>
          <w:rFonts w:ascii="Arial" w:cs="Arial" w:eastAsia="Arial" w:hAnsi="Arial"/>
          <w:sz w:val="16"/>
          <w:szCs w:val="16"/>
          <w:u w:val="single" w:color="auto"/>
          <w:color w:val="auto"/>
        </w:rPr>
        <w:t>Allocation Schedule</w:t>
      </w:r>
      <w:r>
        <w:rPr>
          <w:rFonts w:ascii="Arial" w:cs="Arial" w:eastAsia="Arial" w:hAnsi="Arial"/>
          <w:sz w:val="16"/>
          <w:szCs w:val="16"/>
          <w:color w:val="auto"/>
        </w:rPr>
        <w:t>”), with the asset classes being those set forth in Treas. Reg. Sec. 1.338-6. The Allocation Schedule will not allocate to various assets within the asset class. The Appraised Value and Allocation Schedule shall be subject to such appropriate adjustments, if any, by the appraisers and Eagle Holdings upon the determination of the Post-Closing Adjustment. The Allocation Schedule shall be prepared in accordance with Section 1060 of the Code. The Appraised Value and Allocation Schedule shall be deemed final unless Purchasers notify Eagle Holdings in writing that Purchasers object to the Appraised Value and/or one or more items reflected in the Allocation Schedule within thirty (30) days after delivery of the Allocation Schedule to Purchasers. In the event of any such objection, Sellers and Purchasers shall negotiate in good faith to resolve such dispute; provided, however, that if Sellers and Purchasers are unable to resolve any such dispute within thirty (30) days after the delivery of the Allocation Schedule to Sellers, such dispute shall be resolved by an impartial nationally recognized firm of independent certified public accountants mutually appointed by Sellers and Purchasers whose determination shall be final and binding upon the Parties. The fees and expenses of such accounting firm shall be borne equally by Sellers, on the one hand, and Purchasers, on the other hand; provided, however, that if one such side substantially prevails in such dispute, then the non-prevailing Party(ies) shall bear all such fees and expenses. For the avoidance of doubt a Party shall be deemed to have “substantially prevailed” if the final determination by the accounting firm, in the case of Purchasers, is at least twenty percent (20%) greater than the Appraised Value, and, in the case of Sellers, is not more than twenty percent (20%) greater than the Appraised Value. Sellers and Purchasers agree to file their respective IRS Forms 8594 and all Tax Returns in accordance with the Allocation Schedule. Neither Purchasers nor Sellers shall take any position in a filed Income Tax Return or statement that is inconsistent with such allocations and Purchasers and Sellers will use reasonable efforts to sustain such position in any Tax Proceeding.</w:t>
      </w:r>
    </w:p>
    <w:p>
      <w:pPr>
        <w:spacing w:after="0" w:line="386" w:lineRule="exact"/>
        <w:rPr>
          <w:rFonts w:ascii="Arial" w:cs="Arial" w:eastAsia="Arial" w:hAnsi="Arial"/>
          <w:sz w:val="16"/>
          <w:szCs w:val="16"/>
          <w:color w:val="auto"/>
        </w:rPr>
      </w:pPr>
    </w:p>
    <w:p>
      <w:pPr>
        <w:ind w:right="40" w:firstLine="1305"/>
        <w:spacing w:after="0" w:line="255" w:lineRule="auto"/>
        <w:tabs>
          <w:tab w:leader="none" w:pos="19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Purchasers shall have the right to withhold all Taxes it is required by Law to withhold from all payments made hereunder, and will provide Sellers with proof of deposit or payment of any such Taxes withheld. For the avoidance of doubt, however, in connection with the sale of the Transferred Interests in Newco, APIL shall provide to Purchasers a valid and properly completed W-8BEN-E establishing its status as the beneficial owner for purposes of the U.S.-Ireland Treaty of those payments to APIL of the Purchase Price (including, for the avoidance of doubt, portions of the Initial Purchase Price, the Warrant and the Earn-Out Consideration) made under Section 2.2(b)(ii) and so long as APIL has provided Purchasers with such a W-8BEN-E that has not expired, Purchasers shall treat all such payments to APIL as exempt from U.S. federal Income Tax pursuant to the Code and/or Article 12 or Article 13 of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U.S.-Ireland Income Tax Treaty. In addition, provided that APIL provides a form W-8BEN-E upon which Purchasers may rely to show that the payments made to APIL are not subject to FATCA withholding, Purchasers shall not withhold any amounts under FATCA from payments to be made to APIL</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9" w:lineRule="auto"/>
        <w:tabs>
          <w:tab w:leader="none" w:pos="19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Closing shall take place at the offices of Goodwin Procter LLP, Exchange Place, Boston, MA 02109, at 10:00 a.m., prevailing Eastern time, on the third (3rd) Business Day following the satisfaction or waiver of the conditions set forth in Article VIII (other than those conditions that by their nature are to be satisfied or waived at the Closing, but subject to the satisfaction or waiver of those conditions) or at such other place, time or date as may be mutually agreed upon in writing by Sellers and Purchasers (the “Closing Date”).</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the Closing:</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Sellers shall:</w:t>
      </w:r>
    </w:p>
    <w:p>
      <w:pPr>
        <w:spacing w:after="0" w:line="225" w:lineRule="exact"/>
        <w:rPr>
          <w:rFonts w:ascii="Arial" w:cs="Arial" w:eastAsia="Arial" w:hAnsi="Arial"/>
          <w:sz w:val="18"/>
          <w:szCs w:val="18"/>
          <w:color w:val="auto"/>
        </w:rPr>
      </w:pPr>
    </w:p>
    <w:p>
      <w:pPr>
        <w:ind w:left="1960" w:firstLine="641"/>
        <w:spacing w:after="0" w:line="264" w:lineRule="auto"/>
        <w:tabs>
          <w:tab w:leader="none" w:pos="3277" w:val="left"/>
        </w:tabs>
        <w:numPr>
          <w:ilvl w:val="2"/>
          <w:numId w:val="18"/>
        </w:numPr>
        <w:rPr>
          <w:rFonts w:ascii="Arial" w:cs="Arial" w:eastAsia="Arial" w:hAnsi="Arial"/>
          <w:sz w:val="18"/>
          <w:szCs w:val="18"/>
          <w:color w:val="auto"/>
        </w:rPr>
      </w:pPr>
      <w:r>
        <w:rPr>
          <w:rFonts w:ascii="Arial" w:cs="Arial" w:eastAsia="Arial" w:hAnsi="Arial"/>
          <w:sz w:val="18"/>
          <w:szCs w:val="18"/>
          <w:color w:val="auto"/>
        </w:rPr>
        <w:t>deliver to Purchasers certificates evidencing the Transferred Interests to the extent that such Transferred Interests are in certificate form, duly endorsed in blank or with stock powers duly executed in proper form for transfer, and with any required stock transfer stamps affixed thereto;</w:t>
      </w:r>
    </w:p>
    <w:p>
      <w:pPr>
        <w:sectPr>
          <w:pgSz w:w="11900" w:h="16838" w:orient="portrait"/>
          <w:cols w:equalWidth="0" w:num="1">
            <w:col w:w="11400"/>
          </w:cols>
          <w:pgMar w:left="240" w:top="125" w:right="259" w:bottom="0" w:gutter="0" w:footer="0" w:header="0"/>
        </w:sectPr>
      </w:pPr>
    </w:p>
    <w:bookmarkStart w:id="16" w:name="page17"/>
    <w:bookmarkEnd w:id="16"/>
    <w:p>
      <w:pPr>
        <w:spacing w:after="0" w:line="36" w:lineRule="exact"/>
        <w:rPr>
          <w:sz w:val="20"/>
          <w:szCs w:val="20"/>
          <w:color w:val="auto"/>
        </w:rPr>
      </w:pPr>
    </w:p>
    <w:p>
      <w:pPr>
        <w:ind w:left="3260" w:hanging="659"/>
        <w:spacing w:after="0"/>
        <w:tabs>
          <w:tab w:leader="none" w:pos="3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 to Purchasers the Transition Services Agreement, duly executed by Sellers;</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deliver to Purchasers the certificate required to be delivered pursuant to </w:t>
      </w:r>
      <w:r>
        <w:rPr>
          <w:rFonts w:ascii="Arial" w:cs="Arial" w:eastAsia="Arial" w:hAnsi="Arial"/>
          <w:sz w:val="18"/>
          <w:szCs w:val="18"/>
          <w:u w:val="single" w:color="auto"/>
          <w:color w:val="auto"/>
        </w:rPr>
        <w:t>Section 8.2(c)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right="520" w:firstLine="641"/>
        <w:spacing w:after="0" w:line="342" w:lineRule="auto"/>
        <w:tabs>
          <w:tab w:leader="none" w:pos="3277"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deliver to Purchasers the resignations, effective as of the Closing Date, of those directors or officers of the Transferred Entities as Purchasers may reasonably request in writing no less than ten (10) days prior to the Closing Date;</w:t>
      </w:r>
    </w:p>
    <w:p>
      <w:pPr>
        <w:spacing w:after="0" w:line="123" w:lineRule="exact"/>
        <w:rPr>
          <w:rFonts w:ascii="Arial" w:cs="Arial" w:eastAsia="Arial" w:hAnsi="Arial"/>
          <w:sz w:val="16"/>
          <w:szCs w:val="16"/>
          <w:color w:val="auto"/>
        </w:rPr>
      </w:pPr>
    </w:p>
    <w:p>
      <w:pPr>
        <w:ind w:left="1960" w:right="140" w:firstLine="641"/>
        <w:spacing w:after="0" w:line="264" w:lineRule="auto"/>
        <w:tabs>
          <w:tab w:leader="none" w:pos="32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 to Purchasers the common seal, if applicable, and all registers, minute books, and other statutory books, required to be kept by Law, and, to the extent applicable, all certificates of incorporation and certificates of incorporation on change of name for each Transferred Entity;</w:t>
      </w:r>
    </w:p>
    <w:p>
      <w:pPr>
        <w:spacing w:after="0" w:line="181" w:lineRule="exact"/>
        <w:rPr>
          <w:rFonts w:ascii="Arial" w:cs="Arial" w:eastAsia="Arial" w:hAnsi="Arial"/>
          <w:sz w:val="18"/>
          <w:szCs w:val="18"/>
          <w:color w:val="auto"/>
        </w:rPr>
      </w:pPr>
    </w:p>
    <w:p>
      <w:pPr>
        <w:ind w:left="1960" w:firstLine="641"/>
        <w:spacing w:after="0" w:line="302" w:lineRule="auto"/>
        <w:tabs>
          <w:tab w:leader="none" w:pos="3274"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deliver to Purchasers (1) copies of all UCC-3 discharge statements to be filed with respect to Alkermes Gainesville and copies of releases or other relevant filings, in each case to be filed after the Closing, and any other security release documentation reasonably requested by Purchasers, including releases under Irish law, for any Lien, including the Liens granted to Morgan Stanley Senior Funding, Inc., as collateral agent, under the Credit Agreement, dated as of September 25, 2012, as amended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on February 14, 2013 and May 22, 2013 (as amended, restated, amended and restated, supplemented, replaced or otherwise</w:t>
      </w:r>
    </w:p>
    <w:p>
      <w:pPr>
        <w:spacing w:after="0" w:line="3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Alkermes plc, Alkermes Pharma Ireland Limited, Alkermes, Inc.,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Alkermes US Holdings, Inc., the several banks and other financial institutions or entities from time to time parties to the Credit</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Agreement as lenders, Morgan Stanley Senior Funding, Inc., as administrative agent, Morgan Stanley Senior Funding, Inc.,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Citigroup Global Markets, Inc. and JPMorgan Chase Bank, N.A. as co-syndication agents, and Morgan Stanley Senior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Funding, Inc., as collateral agent in favor of the lenders thereunder, on (i) any assets owned by the Transferred Entities, other than</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the Excluded Assets or (ii) the Transferred Interests; and (2) a release of Alkermes Gainesville from its obligations as a guarantor</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under the Credit Agreement;</w:t>
      </w:r>
    </w:p>
    <w:p>
      <w:pPr>
        <w:spacing w:after="0" w:line="211" w:lineRule="exact"/>
        <w:rPr>
          <w:sz w:val="20"/>
          <w:szCs w:val="20"/>
          <w:color w:val="auto"/>
        </w:rPr>
      </w:pPr>
    </w:p>
    <w:p>
      <w:pPr>
        <w:ind w:left="1960" w:right="60" w:firstLine="641"/>
        <w:spacing w:after="0" w:line="273" w:lineRule="auto"/>
        <w:tabs>
          <w:tab w:leader="none" w:pos="3277"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deliver to Purchasers a copy of the resolutions or written consent of the boards of directors of the Transferred Entities evidencing that the boards of directors of the Transferred Entities have, prior to Closing, (i) voted in favor of the transfer of the Transferred Interests to Acquisition Sub (or its nominee(s)) and voted in favor of the registration of the Acquisition Sub (or its nominee(s)) as stockholder(s) or member(s), as applicable, of the Transferred Entities in respect of the Transferred Interests (subject to the production of duly stamped transfers) and (ii) appointed such persons as the Purchasers have nominated as directors and secretary of the Transferred Entities, effective at the Closing; and</w:t>
      </w:r>
    </w:p>
    <w:p>
      <w:pPr>
        <w:spacing w:after="0" w:line="178" w:lineRule="exact"/>
        <w:rPr>
          <w:rFonts w:ascii="Arial" w:cs="Arial" w:eastAsia="Arial" w:hAnsi="Arial"/>
          <w:sz w:val="17"/>
          <w:szCs w:val="17"/>
          <w:color w:val="auto"/>
        </w:rPr>
      </w:pPr>
    </w:p>
    <w:p>
      <w:pPr>
        <w:ind w:left="1960" w:right="140" w:firstLine="641"/>
        <w:spacing w:after="0" w:line="302" w:lineRule="auto"/>
        <w:tabs>
          <w:tab w:leader="none" w:pos="3263"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deliver to Purchasers certificates dated as of the Closing Date in form and substance reasonably satisfactory to Purchasers, sworn under penalty of perjury and in form and substance required under the Treasury Regulations issued pursuant to Section 1445 of the Code stating, as applicable, that Eagle Holdings is not a “foreign person” as defined in Section 1445 of the Code and the interests in Newco do not constitute U.S. real property interests as defined in Section 897(c) of the Code; and</w:t>
      </w:r>
    </w:p>
    <w:p>
      <w:pPr>
        <w:spacing w:after="0" w:line="154" w:lineRule="exact"/>
        <w:rPr>
          <w:rFonts w:ascii="Arial" w:cs="Arial" w:eastAsia="Arial" w:hAnsi="Arial"/>
          <w:sz w:val="16"/>
          <w:szCs w:val="16"/>
          <w:color w:val="auto"/>
        </w:rPr>
      </w:pPr>
    </w:p>
    <w:p>
      <w:pPr>
        <w:ind w:left="3260" w:hanging="659"/>
        <w:spacing w:after="0"/>
        <w:tabs>
          <w:tab w:leader="none" w:pos="3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Forms W-8BEN-E required to be furnished pursuant to Section 2.2(e).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Purchasers shall:</w:t>
      </w:r>
    </w:p>
    <w:p>
      <w:pPr>
        <w:spacing w:after="0" w:line="225" w:lineRule="exact"/>
        <w:rPr>
          <w:rFonts w:ascii="Arial" w:cs="Arial" w:eastAsia="Arial" w:hAnsi="Arial"/>
          <w:sz w:val="18"/>
          <w:szCs w:val="18"/>
          <w:color w:val="auto"/>
        </w:rPr>
      </w:pPr>
    </w:p>
    <w:p>
      <w:pPr>
        <w:ind w:left="1960" w:right="80" w:firstLine="641"/>
        <w:spacing w:after="0" w:line="291" w:lineRule="auto"/>
        <w:tabs>
          <w:tab w:leader="none" w:pos="3277" w:val="left"/>
        </w:tabs>
        <w:numPr>
          <w:ilvl w:val="1"/>
          <w:numId w:val="21"/>
        </w:numPr>
        <w:rPr>
          <w:rFonts w:ascii="Arial" w:cs="Arial" w:eastAsia="Arial" w:hAnsi="Arial"/>
          <w:sz w:val="16"/>
          <w:szCs w:val="16"/>
          <w:color w:val="auto"/>
        </w:rPr>
      </w:pPr>
      <w:r>
        <w:rPr>
          <w:rFonts w:ascii="Arial" w:cs="Arial" w:eastAsia="Arial" w:hAnsi="Arial"/>
          <w:sz w:val="16"/>
          <w:szCs w:val="16"/>
          <w:color w:val="auto"/>
        </w:rPr>
        <w:t>pay, by wire transfer, to an account or accounts designated by Sellers, immediately available funds in an amount equal to either: (i) the Initial Purchase Price plus the Closing Adjustment (if the Closing Adjustment is a positive amount) or</w:t>
      </w:r>
    </w:p>
    <w:p>
      <w:pPr>
        <w:ind w:left="1960" w:right="280" w:hanging="7"/>
        <w:spacing w:after="0" w:line="255" w:lineRule="auto"/>
        <w:tabs>
          <w:tab w:leader="none" w:pos="22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Initial Purchase Price minus the Closing Adjustment (if the Closing Adjustment is a negative amount), in each case as determined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to Eagle Holdings in the amount set forth in </w:t>
      </w:r>
      <w:r>
        <w:rPr>
          <w:rFonts w:ascii="Arial" w:cs="Arial" w:eastAsia="Arial" w:hAnsi="Arial"/>
          <w:sz w:val="18"/>
          <w:szCs w:val="18"/>
          <w:u w:val="single" w:color="auto"/>
          <w:color w:val="auto"/>
        </w:rPr>
        <w:t>Section 2.2(b)(ii)</w:t>
      </w:r>
      <w:r>
        <w:rPr>
          <w:rFonts w:ascii="Arial" w:cs="Arial" w:eastAsia="Arial" w:hAnsi="Arial"/>
          <w:sz w:val="18"/>
          <w:szCs w:val="18"/>
          <w:color w:val="auto"/>
        </w:rPr>
        <w:t xml:space="preserve"> and the remaining amount, if any, to APIL;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60" w:hanging="659"/>
        <w:spacing w:after="0"/>
        <w:tabs>
          <w:tab w:leader="none" w:pos="3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 to APIL the Warrant, duly executed by Recro;</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 to Seller the Transition Services Agreement, duly executed by Purchasers; and</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deliver to Sellers the certificate required to be delivered pursuant to </w:t>
      </w:r>
      <w:r>
        <w:rPr>
          <w:rFonts w:ascii="Arial" w:cs="Arial" w:eastAsia="Arial" w:hAnsi="Arial"/>
          <w:sz w:val="18"/>
          <w:szCs w:val="18"/>
          <w:u w:val="single" w:color="auto"/>
          <w:color w:val="auto"/>
        </w:rPr>
        <w:t>Section 8.3(c)</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28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Closing Adjustment</w:t>
      </w:r>
      <w:r>
        <w:rPr>
          <w:rFonts w:ascii="Arial" w:cs="Arial" w:eastAsia="Arial" w:hAnsi="Arial"/>
          <w:sz w:val="16"/>
          <w:szCs w:val="16"/>
          <w:color w:val="auto"/>
        </w:rPr>
        <w:t>. Not less than three (3) Business Days prior to the anticipated Closing Date, Sellers shall provide Purchasers with a certificate signed by an officer of each of the Sellers attaching reasonable and good faith estimates (the “</w:t>
      </w:r>
      <w:r>
        <w:rPr>
          <w:rFonts w:ascii="Arial" w:cs="Arial" w:eastAsia="Arial" w:hAnsi="Arial"/>
          <w:sz w:val="16"/>
          <w:szCs w:val="16"/>
          <w:u w:val="single" w:color="auto"/>
          <w:color w:val="auto"/>
        </w:rPr>
        <w:t>Closing Estimates</w:t>
      </w:r>
      <w:r>
        <w:rPr>
          <w:rFonts w:ascii="Arial" w:cs="Arial" w:eastAsia="Arial" w:hAnsi="Arial"/>
          <w:sz w:val="16"/>
          <w:szCs w:val="16"/>
          <w:color w:val="auto"/>
        </w:rPr>
        <w:t>”) of each of (i) the Closing Working Capital (the “</w:t>
      </w:r>
      <w:r>
        <w:rPr>
          <w:rFonts w:ascii="Arial" w:cs="Arial" w:eastAsia="Arial" w:hAnsi="Arial"/>
          <w:sz w:val="16"/>
          <w:szCs w:val="16"/>
          <w:u w:val="single" w:color="auto"/>
          <w:color w:val="auto"/>
        </w:rPr>
        <w:t>Estimated Closing Working Capital</w:t>
      </w:r>
      <w:r>
        <w:rPr>
          <w:rFonts w:ascii="Arial" w:cs="Arial" w:eastAsia="Arial" w:hAnsi="Arial"/>
          <w:sz w:val="16"/>
          <w:szCs w:val="16"/>
          <w:color w:val="auto"/>
        </w:rPr>
        <w:t>”), (ii) the Closing Cash Amount (the “</w:t>
      </w:r>
      <w:r>
        <w:rPr>
          <w:rFonts w:ascii="Arial" w:cs="Arial" w:eastAsia="Arial" w:hAnsi="Arial"/>
          <w:sz w:val="16"/>
          <w:szCs w:val="16"/>
          <w:u w:val="single" w:color="auto"/>
          <w:color w:val="auto"/>
        </w:rPr>
        <w:t>Estimated Closing Cash Amount</w:t>
      </w:r>
      <w:r>
        <w:rPr>
          <w:rFonts w:ascii="Arial" w:cs="Arial" w:eastAsia="Arial" w:hAnsi="Arial"/>
          <w:sz w:val="16"/>
          <w:szCs w:val="16"/>
          <w:color w:val="auto"/>
        </w:rPr>
        <w:t>”); (iii) the Closing Date Indebtedness (the “</w:t>
      </w:r>
      <w:r>
        <w:rPr>
          <w:rFonts w:ascii="Arial" w:cs="Arial" w:eastAsia="Arial" w:hAnsi="Arial"/>
          <w:sz w:val="16"/>
          <w:szCs w:val="16"/>
          <w:u w:val="single" w:color="auto"/>
          <w:color w:val="auto"/>
        </w:rPr>
        <w:t>Estimated Closing Date Indebtedness</w:t>
      </w:r>
      <w:r>
        <w:rPr>
          <w:rFonts w:ascii="Arial" w:cs="Arial" w:eastAsia="Arial" w:hAnsi="Arial"/>
          <w:sz w:val="16"/>
          <w:szCs w:val="16"/>
          <w:color w:val="auto"/>
        </w:rPr>
        <w:t>”); (iv) the Closing Date Transaction Fees (the “</w:t>
      </w:r>
      <w:r>
        <w:rPr>
          <w:rFonts w:ascii="Arial" w:cs="Arial" w:eastAsia="Arial" w:hAnsi="Arial"/>
          <w:sz w:val="16"/>
          <w:szCs w:val="16"/>
          <w:u w:val="single" w:color="auto"/>
          <w:color w:val="auto"/>
        </w:rPr>
        <w:t>Estimated Closing Date Transaction Fees</w:t>
      </w:r>
      <w:r>
        <w:rPr>
          <w:rFonts w:ascii="Arial" w:cs="Arial" w:eastAsia="Arial" w:hAnsi="Arial"/>
          <w:sz w:val="16"/>
          <w:szCs w:val="16"/>
          <w:color w:val="auto"/>
        </w:rPr>
        <w:t>”); and</w:t>
      </w:r>
    </w:p>
    <w:p>
      <w:pPr>
        <w:spacing w:after="0" w:line="2" w:lineRule="exact"/>
        <w:rPr>
          <w:sz w:val="20"/>
          <w:szCs w:val="20"/>
          <w:color w:val="auto"/>
        </w:rPr>
      </w:pPr>
    </w:p>
    <w:p>
      <w:pPr>
        <w:ind w:right="20" w:firstLine="8"/>
        <w:spacing w:after="0" w:line="268"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Closing Adjustment (as defined below). Each of the Closing Estimates shall be determined in accordance with the Accounting Methodology. Purchasers shall be entitled to review, and propose reasonable changes to the Closing Estimates and Sellers shall provide Purchasers and their Representatives with reasonable access, at reasonable times following prior notice, to the officers, employees, agreements and books and records of the Transferred Entities to verify the accuracy of such amounts. The Sellers shall consider the Purchasers’ proposed changes in good faith. If the Parties are unable to reach agreement on any proposed changes, the Closing Estimates (and the components thereof) as proposed by the Sellers shall control solely for purposes of payments to be made at Closing and shall not limit or otherwise effect the Purchasers’ remedies under this Agreement or otherwise constitute an acknowledgment by Purchasers of the accuracy of the Closing Estimates. The “</w:t>
      </w:r>
      <w:r>
        <w:rPr>
          <w:rFonts w:ascii="Arial" w:cs="Arial" w:eastAsia="Arial" w:hAnsi="Arial"/>
          <w:sz w:val="17"/>
          <w:szCs w:val="17"/>
          <w:u w:val="single" w:color="auto"/>
          <w:color w:val="auto"/>
        </w:rPr>
        <w:t>Closing Adjustment</w:t>
      </w:r>
      <w:r>
        <w:rPr>
          <w:rFonts w:ascii="Arial" w:cs="Arial" w:eastAsia="Arial" w:hAnsi="Arial"/>
          <w:sz w:val="17"/>
          <w:szCs w:val="17"/>
          <w:color w:val="auto"/>
        </w:rPr>
        <w:t>” shall equal (i) the Estimated Closing Working Capital, plus (ii) the Estimated Closing Cash Amount, less (iii) the Target Working Capital, less (iv) the Estimated Closing Date Indebtedness, and (v) less the Estimated Closing Date Transaction Fees.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Post-Closing Statement</w:t>
      </w:r>
      <w:r>
        <w:rPr>
          <w:rFonts w:ascii="Arial" w:cs="Arial" w:eastAsia="Arial" w:hAnsi="Arial"/>
          <w:sz w:val="16"/>
          <w:szCs w:val="16"/>
          <w:color w:val="auto"/>
        </w:rPr>
        <w:t>.</w:t>
      </w:r>
    </w:p>
    <w:p>
      <w:pPr>
        <w:sectPr>
          <w:pgSz w:w="11900" w:h="16874" w:orient="portrait"/>
          <w:cols w:equalWidth="0" w:num="1">
            <w:col w:w="11420"/>
          </w:cols>
          <w:pgMar w:left="240" w:top="125" w:right="239" w:bottom="0" w:gutter="0" w:footer="0" w:header="0"/>
        </w:sectPr>
      </w:pPr>
    </w:p>
    <w:bookmarkStart w:id="17" w:name="page18"/>
    <w:bookmarkEnd w:id="17"/>
    <w:p>
      <w:pPr>
        <w:ind w:right="40" w:firstLine="1305"/>
        <w:spacing w:after="0" w:line="290" w:lineRule="auto"/>
        <w:tabs>
          <w:tab w:leader="none" w:pos="1942"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After the Closing Date, Sellers and Purchasers shall cooperate with each other and provide each other with such access to their respective books, records, accountants, audit work papers and relevant employees as they may reasonably request in connection with the matters addressed in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nothing contained in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require Sellers, Purchasers or any of their respective Affiliates to disclose any attorney-client privileged information to the extent that disclosure thereof might result in the loss of attorney-client privilege. As promptly as practicable but no later than sixty (60) days after the Closing Date, Purchasers shall prepare and deliver to Sellers a statement (the “</w:t>
      </w:r>
      <w:r>
        <w:rPr>
          <w:rFonts w:ascii="Arial" w:cs="Arial" w:eastAsia="Arial" w:hAnsi="Arial"/>
          <w:sz w:val="16"/>
          <w:szCs w:val="16"/>
          <w:u w:val="single" w:color="auto"/>
          <w:color w:val="auto"/>
        </w:rPr>
        <w:t>Initial Post-Closing Adjustment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of (i) the Closing Working Capital, (ii) the Closing Cash Amount, (iii) the Closing Date Indebtedness, (iv) the Closing Date Transaction Fees; and (v) the Adjustment Amount, setting forth Purchasers’ calculation of the Adjustment Amount as of the Closing together with reasonable supporting calculations and detail. The Initial Post-Closing Adjustment Statement shall be determined in accordance with the Accounting Methodology.</w:t>
      </w:r>
    </w:p>
    <w:p>
      <w:pPr>
        <w:spacing w:after="0" w:line="166" w:lineRule="exact"/>
        <w:rPr>
          <w:rFonts w:ascii="Arial" w:cs="Arial" w:eastAsia="Arial" w:hAnsi="Arial"/>
          <w:sz w:val="16"/>
          <w:szCs w:val="16"/>
          <w:color w:val="auto"/>
        </w:rPr>
      </w:pPr>
    </w:p>
    <w:p>
      <w:pPr>
        <w:ind w:left="1960" w:hanging="655"/>
        <w:spacing w:after="0"/>
        <w:tabs>
          <w:tab w:leader="none" w:pos="1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Sellers disagree in whole or in part with the Initial Post-Closing Adjustment Statement, Seller shall notify Purchasers in writing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such disagreement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of Disagreement</w:t>
      </w:r>
      <w:r>
        <w:rPr>
          <w:rFonts w:ascii="Arial" w:cs="Arial" w:eastAsia="Arial" w:hAnsi="Arial"/>
          <w:sz w:val="16"/>
          <w:szCs w:val="16"/>
          <w:color w:val="auto"/>
        </w:rPr>
        <w:t>”) within thirty (30) days following Sellers’ receipt of the Initial Post-Closing Adjustment Statement (the “</w:t>
      </w:r>
      <w:r>
        <w:rPr>
          <w:rFonts w:ascii="Arial" w:cs="Arial" w:eastAsia="Arial" w:hAnsi="Arial"/>
          <w:sz w:val="16"/>
          <w:szCs w:val="16"/>
          <w:u w:val="single" w:color="auto"/>
          <w:color w:val="auto"/>
        </w:rPr>
        <w:t>Review Period</w:t>
      </w:r>
      <w:r>
        <w:rPr>
          <w:rFonts w:ascii="Arial" w:cs="Arial" w:eastAsia="Arial" w:hAnsi="Arial"/>
          <w:sz w:val="16"/>
          <w:szCs w:val="16"/>
          <w:color w:val="auto"/>
        </w:rPr>
        <w:t>”), indicating the specific line items that are in dispute (the “</w:t>
      </w:r>
      <w:r>
        <w:rPr>
          <w:rFonts w:ascii="Arial" w:cs="Arial" w:eastAsia="Arial" w:hAnsi="Arial"/>
          <w:sz w:val="16"/>
          <w:szCs w:val="16"/>
          <w:u w:val="single" w:color="auto"/>
          <w:color w:val="auto"/>
        </w:rPr>
        <w:t>Disputed Items</w:t>
      </w:r>
      <w:r>
        <w:rPr>
          <w:rFonts w:ascii="Arial" w:cs="Arial" w:eastAsia="Arial" w:hAnsi="Arial"/>
          <w:sz w:val="16"/>
          <w:szCs w:val="16"/>
          <w:color w:val="auto"/>
        </w:rPr>
        <w:t xml:space="preserve">”), describing the basis for such objection and providing Seller’s estimate of such Disputed Items;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Sellers and Purchasers shall be deemed to have agreed upon all items and amounts that are not Disputed Items, unless the resolution of a Disputed Item affects an undisputed item, in which case such undisputed item shall remain open and be considered a Disputed Item. If no Notice of Disagreement is received by Purchasers prior to the expiration of the Review Period, then the Initial Post-Closing Adjustment Statement shall be deemed to have been accepted by Sellers and shall become final and binding upon the Parties in accordance with </w:t>
      </w:r>
      <w:r>
        <w:rPr>
          <w:rFonts w:ascii="Arial" w:cs="Arial" w:eastAsia="Arial" w:hAnsi="Arial"/>
          <w:sz w:val="16"/>
          <w:szCs w:val="16"/>
          <w:u w:val="single" w:color="auto"/>
          <w:color w:val="auto"/>
        </w:rPr>
        <w:t>Section 2.5(e)</w:t>
      </w:r>
      <w:r>
        <w:rPr>
          <w:rFonts w:ascii="Arial" w:cs="Arial" w:eastAsia="Arial" w:hAnsi="Arial"/>
          <w:sz w:val="16"/>
          <w:szCs w:val="16"/>
          <w:color w:val="auto"/>
        </w:rPr>
        <w:t>.</w:t>
      </w:r>
    </w:p>
    <w:p>
      <w:pPr>
        <w:spacing w:after="0" w:line="165" w:lineRule="exact"/>
        <w:rPr>
          <w:sz w:val="20"/>
          <w:szCs w:val="20"/>
          <w:color w:val="auto"/>
        </w:rPr>
      </w:pPr>
    </w:p>
    <w:p>
      <w:pPr>
        <w:ind w:right="20" w:firstLine="1305"/>
        <w:spacing w:after="0" w:line="273" w:lineRule="auto"/>
        <w:tabs>
          <w:tab w:leader="none" w:pos="19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During the thirty (30) days (or such longer period as the Parties may mutually agree) immediately following the delivery of a Notice of Disagreement (the “</w:t>
      </w:r>
      <w:r>
        <w:rPr>
          <w:rFonts w:ascii="Arial" w:cs="Arial" w:eastAsia="Arial" w:hAnsi="Arial"/>
          <w:sz w:val="17"/>
          <w:szCs w:val="17"/>
          <w:u w:val="single" w:color="auto"/>
          <w:color w:val="auto"/>
        </w:rPr>
        <w:t>Resolution Period</w:t>
      </w:r>
      <w:r>
        <w:rPr>
          <w:rFonts w:ascii="Arial" w:cs="Arial" w:eastAsia="Arial" w:hAnsi="Arial"/>
          <w:sz w:val="17"/>
          <w:szCs w:val="17"/>
          <w:color w:val="auto"/>
        </w:rPr>
        <w:t>”), Sellers and Purchasers shall seek in good faith to resolve any differences that they may have with respect to Disputed Items. The Parties shall cooperate during such Resolution Period and Sellers and their Representatives shall have access to the books and records, working papers, schedules and calculations of the Purchasers and the Transferred Entities used in the preparation of the Initial Post-Closing Adjustment Statement, the Notice of Disagreement and the determination of the Disputed Items, and to the personnel involved in the preparation and calculation thereof, during normal business hours, upon reasonable notice.</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Dispute Resolution.</w:t>
      </w:r>
    </w:p>
    <w:p>
      <w:pPr>
        <w:spacing w:after="0" w:line="225" w:lineRule="exact"/>
        <w:rPr>
          <w:rFonts w:ascii="Arial" w:cs="Arial" w:eastAsia="Arial" w:hAnsi="Arial"/>
          <w:sz w:val="18"/>
          <w:szCs w:val="18"/>
          <w:color w:val="auto"/>
        </w:rPr>
      </w:pPr>
    </w:p>
    <w:p>
      <w:pPr>
        <w:ind w:left="1300" w:firstLine="653"/>
        <w:spacing w:after="0" w:line="286" w:lineRule="auto"/>
        <w:tabs>
          <w:tab w:leader="none" w:pos="2618"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If, at the end of the Resolution Period, Sellers and Purchasers have been unable to resolve all Disputed Items, Sellers and Purchasers shall submit the remaining Disputed Items with respect to the Notice of Disagreement (along with a copy of the Initial Post-Closing Adjustment Statement marked to indicate those line items that are not in dispute) to PricewaterhouseCoopers LLP or, if that firm declines to act as provided in this </w:t>
      </w:r>
      <w:r>
        <w:rPr>
          <w:rFonts w:ascii="Arial" w:cs="Arial" w:eastAsia="Arial" w:hAnsi="Arial"/>
          <w:sz w:val="16"/>
          <w:szCs w:val="16"/>
          <w:u w:val="single" w:color="auto"/>
          <w:color w:val="auto"/>
        </w:rPr>
        <w:t>Section 2.5(d)</w:t>
      </w:r>
      <w:r>
        <w:rPr>
          <w:rFonts w:ascii="Arial" w:cs="Arial" w:eastAsia="Arial" w:hAnsi="Arial"/>
          <w:sz w:val="16"/>
          <w:szCs w:val="16"/>
          <w:color w:val="auto"/>
        </w:rPr>
        <w:t xml:space="preserve"> or it is determined that PricewaterhouseCoopers LLP would not be considered “independent” under applicable professional standards, another firm of independent public accountants, selected promptly by and mutually reasonably acceptable to Purchasers and Sellers (the “</w:t>
      </w:r>
      <w:r>
        <w:rPr>
          <w:rFonts w:ascii="Arial" w:cs="Arial" w:eastAsia="Arial" w:hAnsi="Arial"/>
          <w:sz w:val="16"/>
          <w:szCs w:val="16"/>
          <w:u w:val="single" w:color="auto"/>
          <w:color w:val="auto"/>
        </w:rPr>
        <w:t>Independent Accounting Firm</w:t>
      </w:r>
      <w:r>
        <w:rPr>
          <w:rFonts w:ascii="Arial" w:cs="Arial" w:eastAsia="Arial" w:hAnsi="Arial"/>
          <w:sz w:val="16"/>
          <w:szCs w:val="16"/>
          <w:color w:val="auto"/>
        </w:rPr>
        <w:t>”). The Independent Accounting Firm shall be instructed to make, within thirty (30) days after the expiration of the Resolution Period or, if applicable, the date of selection of the Independent Accounting Firm pursuant to the preceding sentence, a final determination in accordance with this Agreement, binding on the Parties, of the appropriate amount of each of the Disputed Items which Sellers and Purchasers have submitted to the Independent Accounting Firm, calculated in accordance with the standards set forth in this Agreement, and to promptly notify the Parties in writing of its determination. With respect to each amount in dispute, the Independent Accounting Firm’s determination, if not in accordance with the position of either Sellers or Purchasers, shall not be in excess of the higher, nor less than the lower, of the amounts advocated by Sellers in the Notice of Disagreement or by Purchasers in the Initial Post-Closing Adjustment Statement with respect to such disputed amount.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60" w:firstLine="653"/>
        <w:spacing w:after="0" w:line="276" w:lineRule="auto"/>
        <w:tabs>
          <w:tab w:leader="none" w:pos="2627"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During the review by the Independent Accounting Firm, Purchasers and Sellers will each provide the Independent Accounting Firm with such access to their respective books, records, accountants, audit work papers and relevant employees as may be reasonably required by the Independent Accounting Firm to fulfill its obligations under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nothing contained in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require Sellers, Purchasers or any of their respective Affiliates to disclose any attorney-client privileged information to the extent that disclosure thereof might result in the loss of attorney-client privilege.</w:t>
      </w:r>
    </w:p>
    <w:p>
      <w:pPr>
        <w:spacing w:after="0" w:line="172" w:lineRule="exact"/>
        <w:rPr>
          <w:rFonts w:ascii="Arial" w:cs="Arial" w:eastAsia="Arial" w:hAnsi="Arial"/>
          <w:sz w:val="17"/>
          <w:szCs w:val="17"/>
          <w:color w:val="auto"/>
        </w:rPr>
      </w:pPr>
    </w:p>
    <w:p>
      <w:pPr>
        <w:ind w:left="1300" w:right="340" w:firstLine="653"/>
        <w:spacing w:after="0" w:line="277" w:lineRule="auto"/>
        <w:tabs>
          <w:tab w:leader="none" w:pos="26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fees and expenses relating to the work, if any, to be performed by the Independent Accounting Firm shall be split equally between Sellers, on the one hand, and Purchasers on the other hand.</w:t>
      </w:r>
    </w:p>
    <w:p>
      <w:pPr>
        <w:spacing w:after="0" w:line="170" w:lineRule="exact"/>
        <w:rPr>
          <w:sz w:val="20"/>
          <w:szCs w:val="20"/>
          <w:color w:val="auto"/>
        </w:rPr>
      </w:pPr>
    </w:p>
    <w:p>
      <w:pPr>
        <w:ind w:right="80" w:firstLine="1305"/>
        <w:spacing w:after="0" w:line="312" w:lineRule="auto"/>
        <w:tabs>
          <w:tab w:leader="none" w:pos="19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The version of the Initial Post-Closing Adjustment Statement that is final and binding on the Parties, as determined either through agreement of the Parties pursuant to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Section2.5(c)</w:t>
      </w:r>
      <w:r>
        <w:rPr>
          <w:rFonts w:ascii="Arial" w:cs="Arial" w:eastAsia="Arial" w:hAnsi="Arial"/>
          <w:sz w:val="16"/>
          <w:szCs w:val="16"/>
          <w:color w:val="auto"/>
        </w:rPr>
        <w:t xml:space="preserve"> or through the action of the Independent Accounting Firm pursuant to </w:t>
      </w:r>
      <w:r>
        <w:rPr>
          <w:rFonts w:ascii="Arial" w:cs="Arial" w:eastAsia="Arial" w:hAnsi="Arial"/>
          <w:sz w:val="16"/>
          <w:szCs w:val="16"/>
          <w:u w:val="single" w:color="auto"/>
          <w:color w:val="auto"/>
        </w:rPr>
        <w:t>Section 2.5(d)</w:t>
      </w:r>
      <w:r>
        <w:rPr>
          <w:rFonts w:ascii="Arial" w:cs="Arial" w:eastAsia="Arial" w:hAnsi="Arial"/>
          <w:sz w:val="16"/>
          <w:szCs w:val="16"/>
          <w:color w:val="auto"/>
        </w:rPr>
        <w:t>, is referred to as the “</w:t>
      </w:r>
      <w:r>
        <w:rPr>
          <w:rFonts w:ascii="Arial" w:cs="Arial" w:eastAsia="Arial" w:hAnsi="Arial"/>
          <w:sz w:val="16"/>
          <w:szCs w:val="16"/>
          <w:u w:val="single" w:color="auto"/>
          <w:color w:val="auto"/>
        </w:rPr>
        <w:t>Final Post-Closing Adjustment Statement</w:t>
      </w:r>
      <w:r>
        <w:rPr>
          <w:rFonts w:ascii="Arial" w:cs="Arial" w:eastAsia="Arial" w:hAnsi="Arial"/>
          <w:sz w:val="16"/>
          <w:szCs w:val="16"/>
          <w:color w:val="auto"/>
        </w:rPr>
        <w:t>”, and the Adjustment Amount set forth therein as the “</w:t>
      </w:r>
      <w:r>
        <w:rPr>
          <w:rFonts w:ascii="Arial" w:cs="Arial" w:eastAsia="Arial" w:hAnsi="Arial"/>
          <w:sz w:val="16"/>
          <w:szCs w:val="16"/>
          <w:u w:val="single" w:color="auto"/>
          <w:color w:val="auto"/>
        </w:rPr>
        <w:t>Final Adjustment Amount</w:t>
      </w:r>
      <w:r>
        <w:rPr>
          <w:rFonts w:ascii="Arial" w:cs="Arial" w:eastAsia="Arial" w:hAnsi="Arial"/>
          <w:sz w:val="16"/>
          <w:szCs w:val="16"/>
          <w:color w:val="auto"/>
        </w:rPr>
        <w:t>.”</w:t>
      </w:r>
    </w:p>
    <w:p>
      <w:pPr>
        <w:spacing w:after="0" w:line="147"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Post-Closing Adjustment</w:t>
      </w:r>
      <w:r>
        <w:rPr>
          <w:rFonts w:ascii="Arial" w:cs="Arial" w:eastAsia="Arial" w:hAnsi="Arial"/>
          <w:sz w:val="18"/>
          <w:szCs w:val="18"/>
          <w:color w:val="auto"/>
        </w:rPr>
        <w:t>. The “</w:t>
      </w:r>
      <w:r>
        <w:rPr>
          <w:rFonts w:ascii="Arial" w:cs="Arial" w:eastAsia="Arial" w:hAnsi="Arial"/>
          <w:sz w:val="18"/>
          <w:szCs w:val="18"/>
          <w:u w:val="single" w:color="auto"/>
          <w:color w:val="auto"/>
        </w:rPr>
        <w:t>Post-Closing Adjustment</w:t>
      </w:r>
      <w:r>
        <w:rPr>
          <w:rFonts w:ascii="Arial" w:cs="Arial" w:eastAsia="Arial" w:hAnsi="Arial"/>
          <w:sz w:val="18"/>
          <w:szCs w:val="18"/>
          <w:color w:val="auto"/>
        </w:rPr>
        <w:t>” shall be equal to (i) the Final Adjustment Amount set forth in the Final Post-Closing Adjustment Statement less (ii) the Closing Adjustment. If the Post-Closing Adjustment is a positive amount, then Purchasers shall pay or cause Acquisition Sub to pay in cash to Sellers (or one or more Affiliates designated by Sellers) the amount of the Post-Closing Adjustment via wire transfer of immediately available funds to the account(s) designed in writing by the Sellers. If the Post-Closing Adjustment is a negative amount, then Sellers (or an Affiliate designated by Sellers) shall pay in cash to Acquisition Sub the amount of the Post-Closing Adjustment via wire transfer of immediately available funds to the account(s) designed in writing by the Acquisition Sub. Any such payment shall be made within five (5) Business Days after the Final Post-Closing Adjustment Statement is determined.</w:t>
      </w:r>
    </w:p>
    <w:p>
      <w:pPr>
        <w:spacing w:after="0" w:line="18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Calculations</w:t>
      </w:r>
      <w:r>
        <w:rPr>
          <w:rFonts w:ascii="Arial" w:cs="Arial" w:eastAsia="Arial" w:hAnsi="Arial"/>
          <w:sz w:val="16"/>
          <w:szCs w:val="16"/>
          <w:color w:val="auto"/>
        </w:rPr>
        <w:t>. Except as otherwise expressly provided in this Agreement, the Parties hereto covenant and agree that no amount shall be (or is intended to be) included, in whole or in part (either as an increase or a reduction), more than once in the calculation of (including any component of) the Closing Estimates, the Initial Post-Closing Adjustment Statement, the Final Post-Closing Adjustment Statement, the Adjustment Amount or any other</w:t>
      </w:r>
    </w:p>
    <w:p>
      <w:pPr>
        <w:sectPr>
          <w:pgSz w:w="11900" w:h="16838" w:orient="portrait"/>
          <w:cols w:equalWidth="0" w:num="1">
            <w:col w:w="11400"/>
          </w:cols>
          <w:pgMar w:left="240" w:top="341" w:right="259" w:bottom="0" w:gutter="0" w:footer="0" w:header="0"/>
        </w:sectPr>
      </w:pPr>
    </w:p>
    <w:bookmarkStart w:id="18" w:name="page19"/>
    <w:bookmarkEnd w:id="18"/>
    <w:p>
      <w:pPr>
        <w:spacing w:after="0" w:line="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calculated amount pursuant to this Agreement if the effect of such additional inclusion (either as an increase or a reduction) would be to cause such amount to be over- or under-counted for purposes of such calculation.</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Earn-Out Consideration</w:t>
      </w:r>
      <w:r>
        <w:rPr>
          <w:rFonts w:ascii="Arial" w:cs="Arial" w:eastAsia="Arial" w:hAnsi="Arial"/>
          <w:sz w:val="18"/>
          <w:szCs w:val="18"/>
          <w:color w:val="auto"/>
        </w:rPr>
        <w:t xml:space="preserve">. Following the Closing, Purchasers shall pay or cause Newco to pay to APIL the Earn-Out Consideration, in accordance with the terms of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SELLERS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Except as set forth in the corresponding sections or subsections of the disclosure letter delivered to Purchasers by the Sellers prior to the date hereof (the “</w:t>
      </w:r>
      <w:r>
        <w:rPr>
          <w:rFonts w:ascii="Arial" w:cs="Arial" w:eastAsia="Arial" w:hAnsi="Arial"/>
          <w:sz w:val="16"/>
          <w:szCs w:val="16"/>
          <w:u w:val="single" w:color="auto"/>
          <w:color w:val="auto"/>
        </w:rPr>
        <w:t>Sellers Disclosure Letter</w:t>
      </w:r>
      <w:r>
        <w:rPr>
          <w:rFonts w:ascii="Arial" w:cs="Arial" w:eastAsia="Arial" w:hAnsi="Arial"/>
          <w:sz w:val="16"/>
          <w:szCs w:val="16"/>
          <w:color w:val="auto"/>
        </w:rPr>
        <w:t xml:space="preserve">”), Sellers hereby make to Purchasers, as of the date hereof and as of the Closing, each of the representations and warranties contained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it being understood that disclosure of any item in any section or subsection of the Sellers Disclosure Letter shall also be deemed disclosure with respect to any other section or subsection to which the relevance of such item is readily apparent on its face. The representations and warranties contained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in any other provision of this Agreement and certificate delivered pursuant to this Agreement constitute all of the representations and warranties of Sellers with respect to the transactions contemplated hereby.</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Organization; Authorization</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Each Seller is duly organized, validly existing and, to the extent applicable, in good standing under the Laws of its jurisdiction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organization.</w:t>
      </w:r>
    </w:p>
    <w:p>
      <w:pPr>
        <w:spacing w:after="0" w:line="211" w:lineRule="exact"/>
        <w:rPr>
          <w:sz w:val="20"/>
          <w:szCs w:val="20"/>
          <w:color w:val="auto"/>
        </w:rPr>
      </w:pPr>
    </w:p>
    <w:p>
      <w:pPr>
        <w:ind w:firstLine="1305"/>
        <w:spacing w:after="0" w:line="272" w:lineRule="auto"/>
        <w:tabs>
          <w:tab w:leader="none" w:pos="1952"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Each Transferred Entity is duly organized and validly existing and, to the extent applicable, in good standing under the Laws of the jurisdiction of its organization and has the requisite corporate or similar power and authority to own its properties and assets and to carry on its business as it is now being conducted. Each Transferred Entity is duly qualified to transact business in each jurisdiction in which the nature of property owned or leased by it or the conduct of its business requires it to be so qualified, except where the failure to be so duly qualified to transact business, or to have such power and authority, would not, individually or in the aggregate, have or reasonably be expected to have a Material Adverse Effect.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of the Sellers Disclosure Letter sets forth a complete and accurate list of the jurisdiction of incorporation or organization of each Transferred Entity and all jurisdictions in which each Transferred Entity is duly qualified to transact business.</w:t>
      </w:r>
    </w:p>
    <w:p>
      <w:pPr>
        <w:spacing w:after="0" w:line="177" w:lineRule="exact"/>
        <w:rPr>
          <w:rFonts w:ascii="Arial" w:cs="Arial" w:eastAsia="Arial" w:hAnsi="Arial"/>
          <w:sz w:val="17"/>
          <w:szCs w:val="17"/>
          <w:color w:val="auto"/>
        </w:rPr>
      </w:pPr>
    </w:p>
    <w:p>
      <w:pPr>
        <w:ind w:right="20" w:firstLine="1305"/>
        <w:spacing w:after="0" w:line="270" w:lineRule="auto"/>
        <w:tabs>
          <w:tab w:leader="none" w:pos="19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Section3.1(c)</w:t>
      </w:r>
      <w:r>
        <w:rPr>
          <w:rFonts w:ascii="Arial" w:cs="Arial" w:eastAsia="Arial" w:hAnsi="Arial"/>
          <w:sz w:val="17"/>
          <w:szCs w:val="17"/>
          <w:color w:val="auto"/>
        </w:rPr>
        <w:t xml:space="preserve"> of the Sellers Disclosure Letter, each Seller (i) has the requisite corporate or similar right, authority and power to execute and deliver this Agreement and to perform its obligations hereunder and to consummate the transactions contemplated hereby, including the sale, assignment and transfer of the Transferred Interests and (ii) will have, on or before the date of signing each Ancillary Agreement to which it will be a party, the requisite corporate or similar right, authority and power to execute and deliver the Ancillary Agreements to which it will be a party and to perform its obligations thereunder and to consummate the transactions contemplated thereby. The execution, delivery and performance of this Agreement and the consummation of the transactions contemplated herein have been duly and validly authorized by all corporate or similar action in respect thereof on the part of each Seller. The execution, delivery and performance of each Ancillary Agreement to which it is a party and the consummation of the transactions contemplated therein will, at the time of signing of such Ancillary Agreement, have been duly and validly authorized by all corporate or similar action in respect thereof on the part of each Seller.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1305"/>
        <w:spacing w:after="0" w:line="286" w:lineRule="auto"/>
        <w:tabs>
          <w:tab w:leader="none" w:pos="1952"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This Agreement has been, and each of the Ancillary Agreements to which each Seller is a party will be, on or prior to the date of signing such Ancillary Agreement, duly and validly executed and delivered by each Seller, and, assuming the due authorization and execution of this Agreement by Purchasers, this Agreement constitutes, and, assuming the due authorization and execution of the other parties to each Ancillary Agreement, each Ancillary Agreement will constitute, the legal and binding obligation of each Seller, enforceable against each Seller in accordance with its terms:</w:t>
      </w:r>
    </w:p>
    <w:p>
      <w:pPr>
        <w:spacing w:after="0" w:line="1" w:lineRule="exact"/>
        <w:rPr>
          <w:rFonts w:ascii="Arial" w:cs="Arial" w:eastAsia="Arial" w:hAnsi="Arial"/>
          <w:sz w:val="16"/>
          <w:szCs w:val="16"/>
          <w:color w:val="auto"/>
        </w:rPr>
      </w:pPr>
    </w:p>
    <w:p>
      <w:pPr>
        <w:ind w:right="100" w:firstLine="8"/>
        <w:spacing w:after="0" w:line="255" w:lineRule="auto"/>
        <w:tabs>
          <w:tab w:leader="none" w:pos="2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enforcement may be limited by applicable bankruptcy, insolvency, reorganization, moratorium or other laws affecting creditors’ rights generally and (ii) except insofar as the availability of equitable remedies may be limited by applicable Law (the preceding clauses (i) and (ii) are referred to herein collectively as the “</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right="340" w:firstLine="1305"/>
        <w:spacing w:after="0" w:line="291" w:lineRule="auto"/>
        <w:tabs>
          <w:tab w:leader="none" w:pos="1955"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3.1(e)</w:t>
      </w:r>
      <w:r>
        <w:rPr>
          <w:rFonts w:ascii="Arial" w:cs="Arial" w:eastAsia="Arial" w:hAnsi="Arial"/>
          <w:sz w:val="16"/>
          <w:szCs w:val="16"/>
          <w:color w:val="auto"/>
        </w:rPr>
        <w:t xml:space="preserve"> of the Sellers Disclosure Letter, neither the execution, delivery and performance of this Agreement and the Ancillary Agreements, nor the consummation of the transactions contemplated hereby and thereby, including the Reorganization, will</w:t>
      </w:r>
    </w:p>
    <w:p>
      <w:pPr>
        <w:ind w:right="20" w:firstLine="8"/>
        <w:spacing w:after="0" w:line="269" w:lineRule="auto"/>
        <w:tabs>
          <w:tab w:leader="none" w:pos="2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conflict with or violate any provision of any Governing Documents of Sellers or the Transferred Entities, (ii) constitute or result in a default under, violate any provision of, or be an event that is (or with the passage of time will result in) a violation of, or result in the acceleration of or entitle any party to accelerate or exercise (whether after the giving of notice or lapse of time or both) any obligation or right under, or result in the imposition of any Lien upon or the creation of a security interest in any of the Transferred Interests, or any Lien on any asset of the Transferred Entities, any material Contract, instrument, order, arbitration award, judgment or decree to which any Transferred Entity or Seller is a party or by which any of them is bound, or (iii) violate or conflict with any Law or other restriction of any kind or character to which any Seller or Transferred Entity is subject, that, in the case of clauses (ii) or (iii) would, individually or in the aggregate, have or reasonably be expected to have a Material Adverse Effect.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Title to Shares; Capitalization; Structure</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90" w:lineRule="auto"/>
        <w:tabs>
          <w:tab w:leader="none" w:pos="1942"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(i) The authorized capital stock of Alkermes Gainesville consists of 393,075 Membership Units, of which 393,075 Membership Units are outstanding, all of which are owned, beneficially and of record, by Eagle Holdings free and clear of all Liens except Permitted Liens and Liens set forth on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the Sellers Disclosure Letter; and (ii) the authorized capital stock of Daravita consists of 150,000,000 Ordinary Shares, of which 102,000,001 Ordinary Shares are in issue, which are owned, beneficially and of record, by Alkermes Ireland Holdings free and clear of all Liens except for Permitted Liens and Liens set forth on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the Sellers Disclosure Letter. At the Closing, all of the authorized capital interests in Newco will be owned, beneficially and of record, by APIL free and clear of all Liens except Permitted Liens and Liens set forth on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the Sellers Disclosure Letter. All of the outstanding Membership Units of Alkermes Gainesville have been duly authorized and validly issued, are fully paid and nonassessable, and have not been issued in violation of any preemptive or third-party rights. At the Closing, all of the issued and outstanding capital stock of Newco will be</w:t>
      </w:r>
    </w:p>
    <w:p>
      <w:pPr>
        <w:sectPr>
          <w:pgSz w:w="11900" w:h="16933" w:orient="portrait"/>
          <w:cols w:equalWidth="0" w:num="1">
            <w:col w:w="11400"/>
          </w:cols>
          <w:pgMar w:left="240" w:top="125" w:right="259" w:bottom="0" w:gutter="0" w:footer="0" w:header="0"/>
        </w:sectPr>
      </w:pPr>
    </w:p>
    <w:bookmarkStart w:id="19" w:name="page20"/>
    <w:bookmarkEnd w:id="19"/>
    <w:p>
      <w:pPr>
        <w:ind w:right="320"/>
        <w:spacing w:after="0" w:line="308" w:lineRule="auto"/>
        <w:rPr>
          <w:sz w:val="20"/>
          <w:szCs w:val="20"/>
          <w:color w:val="auto"/>
        </w:rPr>
      </w:pPr>
      <w:r>
        <w:rPr>
          <w:rFonts w:ascii="Arial" w:cs="Arial" w:eastAsia="Arial" w:hAnsi="Arial"/>
          <w:sz w:val="17"/>
          <w:szCs w:val="17"/>
          <w:color w:val="auto"/>
        </w:rPr>
        <w:t>validly issued, fully paid and nonassessable, and will not have been issued in violation of any preemptive or third-party rights. At the Closing, Sellers will deliver to Purchasers good and valid title to all of the Transferred Interests free and clear of any Lien, except for Permitted Liens.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97" w:lineRule="auto"/>
        <w:tabs>
          <w:tab w:leader="none" w:pos="1952"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the Sellers Disclosure Letter, the Transferred Entities have no other equity interests issued or outstanding and there are no outstanding options, warrants or other rights of any kind to acquire, or obligations to issue, shares of capital stock of any class of, or other equity interests in, the Transferred Entities. No Transferred Entity owns any equity interest, directly or indirectly, in any Person other than a Transferred Entity. There are no outstanding obligations of any Transferred Entity (i) to repurchase, redeem or otherwise acquire any shares of capital stock or other equity interests in any Transferred Entity or (ii) to grant preemptive or anti-dilutive rights with respect to any such shares or interests.</w:t>
      </w:r>
    </w:p>
    <w:p>
      <w:pPr>
        <w:spacing w:after="0" w:line="15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 Consents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of the Sellers Disclosure Letter contains a list of all registrations, filings, applications, notices, consents, approvals, orders, qualifications and waivers required to be made, filed, given or obtained by Sellers or the Transferred Entities with, to or from any Persons or Governmental Entities in connection with the consummation of this Agreement or the Ancillary Agreements or the other transactions contemplated hereby or thereby, including the Reorganization, except for those with respect to which the failure to make, file, give or obtain would not, individually or in the aggregate, have or reasonably be expected to have a Material Adverse Effect (the “</w:t>
      </w:r>
      <w:r>
        <w:rPr>
          <w:rFonts w:ascii="Arial" w:cs="Arial" w:eastAsia="Arial" w:hAnsi="Arial"/>
          <w:sz w:val="18"/>
          <w:szCs w:val="18"/>
          <w:u w:val="single" w:color="auto"/>
          <w:color w:val="auto"/>
        </w:rPr>
        <w:t>Consents</w:t>
      </w:r>
      <w:r>
        <w:rPr>
          <w:rFonts w:ascii="Arial" w:cs="Arial" w:eastAsia="Arial" w:hAnsi="Arial"/>
          <w:sz w:val="18"/>
          <w:szCs w:val="18"/>
          <w:color w:val="auto"/>
        </w:rPr>
        <w: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3" w:lineRule="auto"/>
        <w:tabs>
          <w:tab w:leader="none" w:pos="194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of the Sellers Disclosure Letter sets forth true and complete copies of the unaudited consolidated statements of income, balance sheets and statements of cash flows of the Business (i) as of December 31, 2013 and for the nine-month period then ended and (ii) as of December 31, 2014 and for the twelve-month period then ended (collectively, the “</w:t>
      </w:r>
      <w:r>
        <w:rPr>
          <w:rFonts w:ascii="Arial" w:cs="Arial" w:eastAsia="Arial" w:hAnsi="Arial"/>
          <w:sz w:val="18"/>
          <w:szCs w:val="18"/>
          <w:u w:val="single" w:color="auto"/>
          <w:color w:val="auto"/>
        </w:rPr>
        <w:t>Historical Financial Statements</w:t>
      </w:r>
      <w:r>
        <w:rPr>
          <w:rFonts w:ascii="Arial" w:cs="Arial" w:eastAsia="Arial" w:hAnsi="Arial"/>
          <w:sz w:val="18"/>
          <w:szCs w:val="18"/>
          <w:color w:val="auto"/>
        </w:rPr>
        <w:t>”). The Historical Financial Statements, present fairly in all material respects the consolidated financial position and results of operations and cash flows of the Business for the respective periods or as of the respective dates set forth therein, in each case in accordance with GAAP applied on a consistent basis throughout the periods involved. The Historical Financial Statements have been prepared from and in all material respects in accordance with the Books and Records of the Transferred Entities and the Business, which Books and Records fairly reflect in reasonable detail all assets, liabilities and transactions relating to the Transferred Entities and the Business. The balance sheet as of December 31, 2014 (the “</w:t>
      </w:r>
      <w:r>
        <w:rPr>
          <w:rFonts w:ascii="Arial" w:cs="Arial" w:eastAsia="Arial" w:hAnsi="Arial"/>
          <w:sz w:val="18"/>
          <w:szCs w:val="18"/>
          <w:u w:val="single" w:color="auto"/>
          <w:color w:val="auto"/>
        </w:rPr>
        <w:t>Balance Sheet Date</w:t>
      </w:r>
      <w:r>
        <w:rPr>
          <w:rFonts w:ascii="Arial" w:cs="Arial" w:eastAsia="Arial" w:hAnsi="Arial"/>
          <w:sz w:val="18"/>
          <w:szCs w:val="18"/>
          <w:color w:val="auto"/>
        </w:rPr>
        <w:t>”) included in the Historical Financial Statements is referred to herein as the “</w:t>
      </w:r>
      <w:r>
        <w:rPr>
          <w:rFonts w:ascii="Arial" w:cs="Arial" w:eastAsia="Arial" w:hAnsi="Arial"/>
          <w:sz w:val="18"/>
          <w:szCs w:val="18"/>
          <w:u w:val="single" w:color="auto"/>
          <w:color w:val="auto"/>
        </w:rPr>
        <w:t>Business Balance Sheet</w:t>
      </w:r>
      <w:r>
        <w:rPr>
          <w:rFonts w:ascii="Arial" w:cs="Arial" w:eastAsia="Arial" w:hAnsi="Arial"/>
          <w:sz w:val="18"/>
          <w:szCs w:val="18"/>
          <w:color w:val="auto"/>
        </w:rPr>
        <w:t>.”</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xml:space="preserve">. Except for Liabilities (a) which are reflected or reserved against in the Business Balance Sheet, (b) set forth in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of the Sellers Disclosure Letter or (c) incurred in the ordinary course of business since the Balance Sheet Date which are of a category reflected or reserved against and in amounts consistent with those reflected on the Business Balance Sheet the Business has no Liabilities that would be required to be reflected on a balance sheet prepared in accordance with GAAP.</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Properties; Sufficiency</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7" w:lineRule="auto"/>
        <w:tabs>
          <w:tab w:leader="none" w:pos="1942"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the exception of (i) properties disposed of since the Balance Sheet Date in the ordinary course of business, (ii) the Excluded Assets, and (iii) the Liens set forth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u w:val="single" w:color="auto"/>
          <w:color w:val="auto"/>
        </w:rPr>
        <w:t>Section 3.6(a)</w:t>
      </w:r>
      <w:r>
        <w:rPr>
          <w:rFonts w:ascii="Arial" w:cs="Arial" w:eastAsia="Arial" w:hAnsi="Arial"/>
          <w:sz w:val="17"/>
          <w:szCs w:val="17"/>
          <w:color w:val="auto"/>
        </w:rPr>
        <w:t xml:space="preserve"> of the Sellers Disclosure Letter, which (other than Permitted Liens) will be released prior to or at Closing, the Transferred Entities have good and marketable title to, or a valid and existing lease or license to, free and clear of all Liens other than Permitted Liens, each piece of real and material personal property capitalized on or included in the Business Balance Sheet (or for real and personal property acquired by the Business since the date of the Business Balance Sheet, that would have been, had it been acquired prior to such date, capitalized on or included in the Business Balance Sheet) and each other piece of real and material personal property used or held for use in the Business. All documents necessary to prove such title are in the possession or under the control of the Transferred Entities, copies of which have been made available to Purchasers.</w:t>
      </w:r>
    </w:p>
    <w:p>
      <w:pPr>
        <w:spacing w:after="0" w:line="178" w:lineRule="exact"/>
        <w:rPr>
          <w:sz w:val="20"/>
          <w:szCs w:val="20"/>
          <w:color w:val="auto"/>
        </w:rPr>
      </w:pPr>
    </w:p>
    <w:p>
      <w:pPr>
        <w:ind w:firstLine="1305"/>
        <w:spacing w:after="0" w:line="285" w:lineRule="auto"/>
        <w:tabs>
          <w:tab w:leader="none" w:pos="195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Section 3.6(b)</w:t>
      </w:r>
      <w:r>
        <w:rPr>
          <w:rFonts w:ascii="Arial" w:cs="Arial" w:eastAsia="Arial" w:hAnsi="Arial"/>
          <w:sz w:val="16"/>
          <w:szCs w:val="16"/>
          <w:color w:val="auto"/>
        </w:rPr>
        <w:t xml:space="preserve"> of the Sellers Disclosure Letter sets forth a list of all the real property owned or leased by the Transferred Entities in connection with the Business (the “</w:t>
      </w:r>
      <w:r>
        <w:rPr>
          <w:rFonts w:ascii="Arial" w:cs="Arial" w:eastAsia="Arial" w:hAnsi="Arial"/>
          <w:sz w:val="16"/>
          <w:szCs w:val="16"/>
          <w:u w:val="single" w:color="auto"/>
          <w:color w:val="auto"/>
        </w:rPr>
        <w:t>Business Real Property</w:t>
      </w:r>
      <w:r>
        <w:rPr>
          <w:rFonts w:ascii="Arial" w:cs="Arial" w:eastAsia="Arial" w:hAnsi="Arial"/>
          <w:sz w:val="16"/>
          <w:szCs w:val="16"/>
          <w:color w:val="auto"/>
        </w:rPr>
        <w:t>”). Sellers have made available correct and complete copies of all material leases and subleases (including all material amendments, modifications and side letters thereto, and all notices of default and other material notices thereunder) relating to the Business Real Property to which the Transferred Entities are a party, all of which are identified in Section 3.6(b) of the Sellers Disclosure Letter and each of which is valid and in full force and effect. With respect to the Business Real Property owned by the Transferred Entities (the “</w:t>
      </w:r>
      <w:r>
        <w:rPr>
          <w:rFonts w:ascii="Arial" w:cs="Arial" w:eastAsia="Arial" w:hAnsi="Arial"/>
          <w:sz w:val="16"/>
          <w:szCs w:val="16"/>
          <w:u w:val="single" w:color="auto"/>
          <w:color w:val="auto"/>
        </w:rPr>
        <w:t>Owned Real Property</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3.6(a)</w:t>
      </w:r>
      <w:r>
        <w:rPr>
          <w:rFonts w:ascii="Arial" w:cs="Arial" w:eastAsia="Arial" w:hAnsi="Arial"/>
          <w:sz w:val="16"/>
          <w:szCs w:val="16"/>
          <w:color w:val="auto"/>
        </w:rPr>
        <w:t xml:space="preserve"> of the Sellers Disclosure Letter, the applicable Transferred Entity has good and marketable title in fee simple to such property subject only to Permitted Liens. There are no pending or, to the Knowledge of Sellers, threatened condemnation proceedings relating to any Business Real Property for which written notice has been received by the Transferred Entities. To the Knowledge of Sellers, except as set forth in </w:t>
      </w:r>
      <w:r>
        <w:rPr>
          <w:rFonts w:ascii="Arial" w:cs="Arial" w:eastAsia="Arial" w:hAnsi="Arial"/>
          <w:sz w:val="16"/>
          <w:szCs w:val="16"/>
          <w:u w:val="single" w:color="auto"/>
          <w:color w:val="auto"/>
        </w:rPr>
        <w:t>Section 3.6(a)</w:t>
      </w:r>
      <w:r>
        <w:rPr>
          <w:rFonts w:ascii="Arial" w:cs="Arial" w:eastAsia="Arial" w:hAnsi="Arial"/>
          <w:sz w:val="16"/>
          <w:szCs w:val="16"/>
          <w:color w:val="auto"/>
        </w:rPr>
        <w:t xml:space="preserve"> of the Sellers Disclosure Letter and except pursuant to this Agreement, no Person has any right, option, lease, license, right of first refusal or any other Contract with respect to the purchase, assignment, possession, use or transfer of all or a portion of the Owned Real Property. To the Knowledge of Sellers, no Owned Real Property encroaches upon adjoining real estate. The ownership, occupancy, use and operation of the Business Real Property has complied and complies in all material respects with all applicable Laws, including but not limited to planning, zoning or use Laws, and Sellers have received no written, or to the Knowledge of Sellers, oral, notice of any material defaults by the Transferred Entities in respect of the Business Real Property in complying with the requirements of any notice received from a Governmental Entity under any such Laws. Except as disclosed in </w:t>
      </w:r>
      <w:r>
        <w:rPr>
          <w:rFonts w:ascii="Arial" w:cs="Arial" w:eastAsia="Arial" w:hAnsi="Arial"/>
          <w:sz w:val="16"/>
          <w:szCs w:val="16"/>
          <w:u w:val="single" w:color="auto"/>
          <w:color w:val="auto"/>
        </w:rPr>
        <w:t>Section 3.6(b)</w:t>
      </w:r>
      <w:r>
        <w:rPr>
          <w:rFonts w:ascii="Arial" w:cs="Arial" w:eastAsia="Arial" w:hAnsi="Arial"/>
          <w:sz w:val="16"/>
          <w:szCs w:val="16"/>
          <w:color w:val="auto"/>
        </w:rPr>
        <w:t xml:space="preserve"> of the Sellers Disclosure Letter, none of the properties owned or leased by the Transferred Entities or otherwise used in the Business is shared by the Business, on the one hand, and the other businesses, divisions or Subsidiaries of Parent, on the other hand.</w:t>
      </w:r>
    </w:p>
    <w:p>
      <w:pPr>
        <w:spacing w:after="0" w:line="177" w:lineRule="exact"/>
        <w:rPr>
          <w:rFonts w:ascii="Arial" w:cs="Arial" w:eastAsia="Arial" w:hAnsi="Arial"/>
          <w:sz w:val="16"/>
          <w:szCs w:val="16"/>
          <w:color w:val="auto"/>
        </w:rPr>
      </w:pPr>
    </w:p>
    <w:p>
      <w:pPr>
        <w:ind w:right="80" w:firstLine="1305"/>
        <w:spacing w:after="0" w:line="264"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buildings, structures and improvements on each Business Real Property are in all material respects in reasonable operating condition and repair, are structurally sound and free of material defects, with no material alterations or repairs required under applicable Law and are suitable in all material respects for their current use, operation and occupancy.</w:t>
      </w:r>
    </w:p>
    <w:p>
      <w:pPr>
        <w:spacing w:after="0" w:line="181" w:lineRule="exact"/>
        <w:rPr>
          <w:rFonts w:ascii="Arial" w:cs="Arial" w:eastAsia="Arial" w:hAnsi="Arial"/>
          <w:sz w:val="18"/>
          <w:szCs w:val="18"/>
          <w:color w:val="auto"/>
        </w:rPr>
      </w:pPr>
    </w:p>
    <w:p>
      <w:pPr>
        <w:ind w:right="80" w:firstLine="1305"/>
        <w:spacing w:after="0" w:line="277" w:lineRule="auto"/>
        <w:tabs>
          <w:tab w:leader="none" w:pos="19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fixtures and mechanical systems located at the Business Real Property are currently in good working order except for ordinary wear and tear and for fixtures and mechanical systems under repair or out of service in the ordinary course of business.</w:t>
      </w:r>
    </w:p>
    <w:p>
      <w:pPr>
        <w:sectPr>
          <w:pgSz w:w="11900" w:h="16838" w:orient="portrait"/>
          <w:cols w:equalWidth="0" w:num="1">
            <w:col w:w="11420"/>
          </w:cols>
          <w:pgMar w:left="240" w:top="125" w:right="239" w:bottom="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assets, properties and rights of the Transferred Entities constitute all of the assets (other than (i) the Excluded Assets,</w:t>
      </w:r>
    </w:p>
    <w:p>
      <w:pPr>
        <w:spacing w:after="0" w:line="34" w:lineRule="exact"/>
        <w:rPr>
          <w:rFonts w:ascii="Arial" w:cs="Arial" w:eastAsia="Arial" w:hAnsi="Arial"/>
          <w:sz w:val="17"/>
          <w:szCs w:val="17"/>
          <w:color w:val="auto"/>
        </w:rPr>
      </w:pPr>
    </w:p>
    <w:p>
      <w:pPr>
        <w:ind w:firstLine="8"/>
        <w:spacing w:after="0" w:line="277" w:lineRule="auto"/>
        <w:tabs>
          <w:tab w:leader="none" w:pos="265"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services to be provided pursuant to the applicable Ancillary Agreements, and (iii) the services excluded under Part I(b) (Excluded IT Services) of Schedule 2 of </w:t>
      </w:r>
      <w:r>
        <w:rPr>
          <w:rFonts w:ascii="Arial" w:cs="Arial" w:eastAsia="Arial" w:hAnsi="Arial"/>
          <w:sz w:val="17"/>
          <w:szCs w:val="17"/>
          <w:u w:val="single" w:color="auto"/>
          <w:color w:val="auto"/>
        </w:rPr>
        <w:t>Exhibit A</w:t>
      </w:r>
      <w:r>
        <w:rPr>
          <w:rFonts w:ascii="Arial" w:cs="Arial" w:eastAsia="Arial" w:hAnsi="Arial"/>
          <w:sz w:val="17"/>
          <w:szCs w:val="17"/>
          <w:color w:val="auto"/>
        </w:rPr>
        <w:t>) necessary to own and operate the Business in the manner being conducted as of the date hereof. The Transferred Entities collectively own or lease, or otherwise have good and valid rights to, all material assets, properties and other rights related to the Business.</w:t>
      </w:r>
    </w:p>
    <w:p>
      <w:pPr>
        <w:spacing w:after="0" w:line="17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of the Sellers Disclosure Letter, since the Balance Sheet Date, there has been no (a) change or development in or effect on the Business that has had, or would reasonably be expected to have, a Material Adverse Effect, (b) other than in connection with the transactions contemplated by this Agreement, action or omission by the Transferred Entities that was not in the ordinary course of business or (c) action or omission that, if taken from the date hereof through the Closing, would violate any of the provisions of </w:t>
      </w:r>
      <w:r>
        <w:rPr>
          <w:rFonts w:ascii="Arial" w:cs="Arial" w:eastAsia="Arial" w:hAnsi="Arial"/>
          <w:sz w:val="16"/>
          <w:szCs w:val="16"/>
          <w:u w:val="single" w:color="auto"/>
          <w:color w:val="auto"/>
        </w:rPr>
        <w:t>Sections 5.4(a)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5.4(b)</w:t>
      </w:r>
      <w:r>
        <w:rPr>
          <w:rFonts w:ascii="Arial" w:cs="Arial" w:eastAsia="Arial" w:hAnsi="Arial"/>
          <w:sz w:val="16"/>
          <w:szCs w:val="16"/>
          <w:color w:val="auto"/>
        </w:rPr>
        <w:t>.</w:t>
      </w:r>
    </w:p>
    <w:p>
      <w:pPr>
        <w:spacing w:after="0" w:line="15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Litigation; Orders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of the Sellers Disclosure Letter, there are no Actions pending or, to the Knowledge of Sellers, threatened (i) against any Seller that challenges or would reasonably be expected to have the effect of preventing or making illegal any of the transactions contemplated by this Agreement or (ii) against the Business or the Transferred Entities. There are no judgments or outstanding orders, injunctions, decrees, stipulations or awards (whether rendered by a court or administrative agency, or by arbitration) against or applicable to the Business or the Transferred Entities, or any of their respective properties or businesses.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69" w:lineRule="auto"/>
        <w:tabs>
          <w:tab w:leader="none" w:pos="1942"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Transferred Entities own, or have a license or right to use, the Intellectual Property Rights necessary for the conduct of the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foregoing is not a representation of non-infringement of the Intellectual Property Rights of another Person, which representation is solely set forth in the first sentence of </w:t>
      </w:r>
      <w:r>
        <w:rPr>
          <w:rFonts w:ascii="Arial" w:cs="Arial" w:eastAsia="Arial" w:hAnsi="Arial"/>
          <w:sz w:val="17"/>
          <w:szCs w:val="17"/>
          <w:u w:val="single" w:color="auto"/>
          <w:color w:val="auto"/>
        </w:rPr>
        <w:t>Section 3.9(c)</w:t>
      </w:r>
      <w:r>
        <w:rPr>
          <w:rFonts w:ascii="Arial" w:cs="Arial" w:eastAsia="Arial" w:hAnsi="Arial"/>
          <w:sz w:val="17"/>
          <w:szCs w:val="17"/>
          <w:color w:val="auto"/>
        </w:rPr>
        <w:t xml:space="preserve"> below. </w:t>
      </w:r>
      <w:r>
        <w:rPr>
          <w:rFonts w:ascii="Arial" w:cs="Arial" w:eastAsia="Arial" w:hAnsi="Arial"/>
          <w:sz w:val="17"/>
          <w:szCs w:val="17"/>
          <w:u w:val="single" w:color="auto"/>
          <w:color w:val="auto"/>
        </w:rPr>
        <w:t>Section 3.9(a)(i)</w:t>
      </w:r>
      <w:r>
        <w:rPr>
          <w:rFonts w:ascii="Arial" w:cs="Arial" w:eastAsia="Arial" w:hAnsi="Arial"/>
          <w:sz w:val="17"/>
          <w:szCs w:val="17"/>
          <w:color w:val="auto"/>
        </w:rPr>
        <w:t xml:space="preserve"> of the Sellers Disclosure Letter sets forth a true and complete list of all Registered Intellectual Property included in the Business Intellectual Property (the “</w:t>
      </w:r>
      <w:r>
        <w:rPr>
          <w:rFonts w:ascii="Arial" w:cs="Arial" w:eastAsia="Arial" w:hAnsi="Arial"/>
          <w:sz w:val="17"/>
          <w:szCs w:val="17"/>
          <w:u w:val="single" w:color="auto"/>
          <w:color w:val="auto"/>
        </w:rPr>
        <w:t>Business Registered Intellectual Property</w:t>
      </w:r>
      <w:r>
        <w:rPr>
          <w:rFonts w:ascii="Arial" w:cs="Arial" w:eastAsia="Arial" w:hAnsi="Arial"/>
          <w:sz w:val="17"/>
          <w:szCs w:val="17"/>
          <w:color w:val="auto"/>
        </w:rPr>
        <w:t xml:space="preserve">”), setting forth as to each item, if applicable: the owner of record, jurisdiction of application and/or registration, and the date of application and/or registration. The Business Registered Intellectual Property is subsisting, and to the Knowledge of Sellers, valid and enforceable. Except as set forth in </w:t>
      </w:r>
      <w:r>
        <w:rPr>
          <w:rFonts w:ascii="Arial" w:cs="Arial" w:eastAsia="Arial" w:hAnsi="Arial"/>
          <w:sz w:val="17"/>
          <w:szCs w:val="17"/>
          <w:u w:val="single" w:color="auto"/>
          <w:color w:val="auto"/>
        </w:rPr>
        <w:t>Section 3.9(a)(ii)</w:t>
      </w:r>
      <w:r>
        <w:rPr>
          <w:rFonts w:ascii="Arial" w:cs="Arial" w:eastAsia="Arial" w:hAnsi="Arial"/>
          <w:sz w:val="17"/>
          <w:szCs w:val="17"/>
          <w:color w:val="auto"/>
        </w:rPr>
        <w:t xml:space="preserve"> of the Sellers Disclosure Letter, there are no oppositions, cancellations, invalidity proceedings, interference or re-examinations, or any other proceedings challenging the scope, validity, registrability or ownership of any Business Registered Intellectual Property currently pending, or, to the Knowledge of Sellers, threatened in writing, against the Transferred Entities (other than office actions or similar communications issued by any Governmental Entity in the ordinary course of prosecution of any pending applications for registration of any such Business Registered Intellectual Property). Except as set forth in </w:t>
      </w:r>
      <w:r>
        <w:rPr>
          <w:rFonts w:ascii="Arial" w:cs="Arial" w:eastAsia="Arial" w:hAnsi="Arial"/>
          <w:sz w:val="17"/>
          <w:szCs w:val="17"/>
          <w:u w:val="single" w:color="auto"/>
          <w:color w:val="auto"/>
        </w:rPr>
        <w:t>Section 3.9(a)(iii)</w:t>
      </w:r>
      <w:r>
        <w:rPr>
          <w:rFonts w:ascii="Arial" w:cs="Arial" w:eastAsia="Arial" w:hAnsi="Arial"/>
          <w:sz w:val="17"/>
          <w:szCs w:val="17"/>
          <w:color w:val="auto"/>
        </w:rPr>
        <w:t xml:space="preserve"> of the Sellers Disclosure Letter, the Transferred Entities exclusively own the entire right, title and interest in and to the Business Registered Intellectual Property free and clear of all Liens except Permitted Liens.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64" w:lineRule="auto"/>
        <w:tabs>
          <w:tab w:leader="none" w:pos="19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3.9(b)</w:t>
      </w:r>
      <w:r>
        <w:rPr>
          <w:rFonts w:ascii="Arial" w:cs="Arial" w:eastAsia="Arial" w:hAnsi="Arial"/>
          <w:sz w:val="18"/>
          <w:szCs w:val="18"/>
          <w:color w:val="auto"/>
        </w:rPr>
        <w:t xml:space="preserve"> of the Sellers Disclosure Letter, no Business Intellectual Property is subject to any outstanding judgment, injunction, order, decree or agreement that restricts the use thereof by the Transferred Entities or that would be reasonably be expected to restrict the use thereof by the Transferred Entities following the Closing.</w:t>
      </w:r>
    </w:p>
    <w:p>
      <w:pPr>
        <w:spacing w:after="0" w:line="181" w:lineRule="exact"/>
        <w:rPr>
          <w:rFonts w:ascii="Arial" w:cs="Arial" w:eastAsia="Arial" w:hAnsi="Arial"/>
          <w:sz w:val="18"/>
          <w:szCs w:val="18"/>
          <w:color w:val="auto"/>
        </w:rPr>
      </w:pPr>
    </w:p>
    <w:p>
      <w:pPr>
        <w:ind w:right="220" w:firstLine="1305"/>
        <w:spacing w:after="0" w:line="276" w:lineRule="auto"/>
        <w:tabs>
          <w:tab w:leader="none" w:pos="19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3.9(c)</w:t>
      </w:r>
      <w:r>
        <w:rPr>
          <w:rFonts w:ascii="Arial" w:cs="Arial" w:eastAsia="Arial" w:hAnsi="Arial"/>
          <w:sz w:val="17"/>
          <w:szCs w:val="17"/>
          <w:color w:val="auto"/>
        </w:rPr>
        <w:t xml:space="preserve"> of the Sellers Disclosure Letter, to the Knowledge of Sellers, the conduct of the Business as currently conducted has not and does not infringe, misappropriate or violate any Intellectual Property Rights of any other Person. Except as set forth in </w:t>
      </w:r>
      <w:r>
        <w:rPr>
          <w:rFonts w:ascii="Arial" w:cs="Arial" w:eastAsia="Arial" w:hAnsi="Arial"/>
          <w:sz w:val="17"/>
          <w:szCs w:val="17"/>
          <w:u w:val="single" w:color="auto"/>
          <w:color w:val="auto"/>
        </w:rPr>
        <w:t>Section 3.9(c)</w:t>
      </w:r>
      <w:r>
        <w:rPr>
          <w:rFonts w:ascii="Arial" w:cs="Arial" w:eastAsia="Arial" w:hAnsi="Arial"/>
          <w:sz w:val="17"/>
          <w:szCs w:val="17"/>
          <w:color w:val="auto"/>
        </w:rPr>
        <w:t xml:space="preserve"> of the Sellers Disclosure Letter, neither of the Transferred Entities has received, since January 1, 2012, any written claim or demand, nor are there any pending Actions: (i) alleging infringement or misappropriation of any Intellectual Property Rights of any other Person or (ii) challenging the use, ownership, enforceability or validity of any of the Business Intellectual Property.</w:t>
      </w:r>
    </w:p>
    <w:p>
      <w:pPr>
        <w:spacing w:after="0" w:line="172" w:lineRule="exact"/>
        <w:rPr>
          <w:rFonts w:ascii="Arial" w:cs="Arial" w:eastAsia="Arial" w:hAnsi="Arial"/>
          <w:sz w:val="17"/>
          <w:szCs w:val="17"/>
          <w:color w:val="auto"/>
        </w:rPr>
      </w:pPr>
    </w:p>
    <w:p>
      <w:pPr>
        <w:ind w:firstLine="1305"/>
        <w:spacing w:after="0" w:line="277" w:lineRule="auto"/>
        <w:tabs>
          <w:tab w:leader="none" w:pos="19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3.9(d)</w:t>
      </w:r>
      <w:r>
        <w:rPr>
          <w:rFonts w:ascii="Arial" w:cs="Arial" w:eastAsia="Arial" w:hAnsi="Arial"/>
          <w:sz w:val="18"/>
          <w:szCs w:val="18"/>
          <w:color w:val="auto"/>
        </w:rPr>
        <w:t xml:space="preserve"> of the Sellers Disclosure Letter, to the Knowledge of Sellers, no Person is currently infringing, misappropriating or violating any Business Intellectual Property.</w:t>
      </w:r>
    </w:p>
    <w:p>
      <w:pPr>
        <w:spacing w:after="0" w:line="170" w:lineRule="exact"/>
        <w:rPr>
          <w:rFonts w:ascii="Arial" w:cs="Arial" w:eastAsia="Arial" w:hAnsi="Arial"/>
          <w:sz w:val="18"/>
          <w:szCs w:val="18"/>
          <w:color w:val="auto"/>
        </w:rPr>
      </w:pPr>
    </w:p>
    <w:p>
      <w:pPr>
        <w:ind w:right="160" w:firstLine="1305"/>
        <w:spacing w:after="0" w:line="273" w:lineRule="auto"/>
        <w:tabs>
          <w:tab w:leader="none" w:pos="19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Transferred Entities currently take commercially reasonable security measures to protect the confidentiality of all material Business Intellectual Property, including the secrecy and confidentiality of their trade secrets. Each current employee and consultant of, and any former employee or consultant employed by, a Transferred Entity since January 1, 2014 has executed a confidentiality agreement and invention assignment or an employment or consulting agreement maintaining confidentiality in any material trade secret or material confidential information of the Transferred Entities and assigning to the applicable Transferred Entity any rights in the Business Intellectual Property invented by such employee or consultant and embodied in one of the Products as it exists as of the date of this Agreement.</w:t>
      </w:r>
    </w:p>
    <w:p>
      <w:pPr>
        <w:spacing w:after="0" w:line="178" w:lineRule="exact"/>
        <w:rPr>
          <w:rFonts w:ascii="Arial" w:cs="Arial" w:eastAsia="Arial" w:hAnsi="Arial"/>
          <w:sz w:val="17"/>
          <w:szCs w:val="17"/>
          <w:color w:val="auto"/>
        </w:rPr>
      </w:pPr>
    </w:p>
    <w:p>
      <w:pPr>
        <w:ind w:firstLine="1305"/>
        <w:spacing w:after="0" w:line="259" w:lineRule="auto"/>
        <w:tabs>
          <w:tab w:leader="none" w:pos="19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the Knowledge of Sellers, there were no material defects of form in the preparation or filing of the patent applications that are part of the Business Registered Intellectual Property. To the Knowledge of Sellers, Sellers and Transferred Entities have complied in all material respects with the United States Patent Office (“</w:t>
      </w:r>
      <w:r>
        <w:rPr>
          <w:rFonts w:ascii="Arial" w:cs="Arial" w:eastAsia="Arial" w:hAnsi="Arial"/>
          <w:sz w:val="18"/>
          <w:szCs w:val="18"/>
          <w:u w:val="single" w:color="auto"/>
          <w:color w:val="auto"/>
        </w:rPr>
        <w:t>USPTO</w:t>
      </w:r>
      <w:r>
        <w:rPr>
          <w:rFonts w:ascii="Arial" w:cs="Arial" w:eastAsia="Arial" w:hAnsi="Arial"/>
          <w:sz w:val="18"/>
          <w:szCs w:val="18"/>
          <w:color w:val="auto"/>
        </w:rPr>
        <w:t>”) duty of candor and disclosure as required under 37 C.F.R. § 1.56 for the each of the U.S. patents and patent applications that are part of the Business Registered Intellectual Property.</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Licenses; Authorizations; Reports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3.10(a)</w:t>
      </w:r>
      <w:r>
        <w:rPr>
          <w:rFonts w:ascii="Arial" w:cs="Arial" w:eastAsia="Arial" w:hAnsi="Arial"/>
          <w:sz w:val="18"/>
          <w:szCs w:val="18"/>
          <w:color w:val="auto"/>
        </w:rPr>
        <w:t xml:space="preserve"> of the Sellers Disclosure Letter contains a complete and accurate list of all material governmental licenses, consents, qualifications, registrations, clearances, permits, franchises, variances, exemptions and other authorizations, including all authorizations under the Federal Food, Drug and Cosmetic Act of 1938, as amended (the “</w:t>
      </w:r>
      <w:r>
        <w:rPr>
          <w:rFonts w:ascii="Arial" w:cs="Arial" w:eastAsia="Arial" w:hAnsi="Arial"/>
          <w:sz w:val="18"/>
          <w:szCs w:val="18"/>
          <w:u w:val="single" w:color="auto"/>
          <w:color w:val="auto"/>
        </w:rPr>
        <w:t>FDCA</w:t>
      </w:r>
      <w:r>
        <w:rPr>
          <w:rFonts w:ascii="Arial" w:cs="Arial" w:eastAsia="Arial" w:hAnsi="Arial"/>
          <w:sz w:val="18"/>
          <w:szCs w:val="18"/>
          <w:color w:val="auto"/>
        </w:rPr>
        <w:t>”), the Public Health Service Act of 1944 and the regulations of the United States Food and Drug Administration and any successor agency thereto (the “</w:t>
      </w:r>
      <w:r>
        <w:rPr>
          <w:rFonts w:ascii="Arial" w:cs="Arial" w:eastAsia="Arial" w:hAnsi="Arial"/>
          <w:sz w:val="18"/>
          <w:szCs w:val="18"/>
          <w:u w:val="single" w:color="auto"/>
          <w:color w:val="auto"/>
        </w:rPr>
        <w:t>FDA</w:t>
      </w:r>
      <w:r>
        <w:rPr>
          <w:rFonts w:ascii="Arial" w:cs="Arial" w:eastAsia="Arial" w:hAnsi="Arial"/>
          <w:sz w:val="18"/>
          <w:szCs w:val="18"/>
          <w:color w:val="auto"/>
        </w:rPr>
        <w:t>”) promulgated under any of the foregoing or any Similar Law or authorization of any other Governmental Entity, and any other Governmental Entity that is concerned with the quality, identity, strength, purity, safety, efficacy, developing or manufacturing of the Products (“</w:t>
      </w:r>
      <w:r>
        <w:rPr>
          <w:rFonts w:ascii="Arial" w:cs="Arial" w:eastAsia="Arial" w:hAnsi="Arial"/>
          <w:sz w:val="18"/>
          <w:szCs w:val="18"/>
          <w:u w:val="single" w:color="auto"/>
          <w:color w:val="auto"/>
        </w:rPr>
        <w:t>Licenses</w:t>
      </w:r>
      <w:r>
        <w:rPr>
          <w:rFonts w:ascii="Arial" w:cs="Arial" w:eastAsia="Arial" w:hAnsi="Arial"/>
          <w:sz w:val="18"/>
          <w:szCs w:val="18"/>
          <w:color w:val="auto"/>
        </w:rPr>
        <w:t>”) necessary for the lawful operating of the Business, issued, granted, given or otherwise made available by or under the authority of, or any required notification to, any Governmental Entity or pursuant to any Law necessary for the conduct of the Business as</w:t>
      </w:r>
    </w:p>
    <w:p>
      <w:pPr>
        <w:sectPr>
          <w:pgSz w:w="11900" w:h="16838" w:orient="portrait"/>
          <w:cols w:equalWidth="0" w:num="1">
            <w:col w:w="11400"/>
          </w:cols>
          <w:pgMar w:left="240" w:top="125" w:right="259" w:bottom="55"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5" w:gutter="0" w:footer="0" w:header="0"/>
          <w:type w:val="continuous"/>
        </w:sectPr>
      </w:pPr>
    </w:p>
    <w:bookmarkStart w:id="21" w:name="page22"/>
    <w:bookmarkEnd w:id="21"/>
    <w:p>
      <w:pPr>
        <w:ind w:right="100"/>
        <w:spacing w:after="0" w:line="257" w:lineRule="auto"/>
        <w:rPr>
          <w:sz w:val="20"/>
          <w:szCs w:val="20"/>
          <w:color w:val="auto"/>
        </w:rPr>
      </w:pPr>
      <w:r>
        <w:rPr>
          <w:rFonts w:ascii="Arial" w:cs="Arial" w:eastAsia="Arial" w:hAnsi="Arial"/>
          <w:sz w:val="18"/>
          <w:szCs w:val="18"/>
          <w:color w:val="auto"/>
        </w:rPr>
        <w:t xml:space="preserve">conducted on the date hereof. Except as set forth on </w:t>
      </w:r>
      <w:r>
        <w:rPr>
          <w:rFonts w:ascii="Arial" w:cs="Arial" w:eastAsia="Arial" w:hAnsi="Arial"/>
          <w:sz w:val="18"/>
          <w:szCs w:val="18"/>
          <w:u w:val="single" w:color="auto"/>
          <w:color w:val="auto"/>
        </w:rPr>
        <w:t>Section 3.10(b)</w:t>
      </w:r>
      <w:r>
        <w:rPr>
          <w:rFonts w:ascii="Arial" w:cs="Arial" w:eastAsia="Arial" w:hAnsi="Arial"/>
          <w:sz w:val="18"/>
          <w:szCs w:val="18"/>
          <w:color w:val="auto"/>
        </w:rPr>
        <w:t xml:space="preserve"> of the Sellers Disclosure Letter, each material License (i) is in the name of a Transferred Entity and is in full force and effect and (ii) is not subject to any pending or, to the Knowledge of Sellers, threatened Action for the purposes of revoking, limiting or amending such License. As of the date hereof, neither of the Transferred Entities has received written notice or, to the Knowledge of Sellers, any other notice from any Governmental Entity that (A) any existing material License will be revoked or (B) any pending application for any material new License or renewal of any existing material License will be denied.</w:t>
      </w:r>
    </w:p>
    <w:p>
      <w:pPr>
        <w:spacing w:after="0" w:line="18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auto"/>
        </w:rPr>
        <w:t>Labor Matters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4" w:lineRule="auto"/>
        <w:tabs>
          <w:tab w:leader="none" w:pos="194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With respect to employees of the Business, the Transferred Entities are not bound by any agreements with labor unions or associations representing any employees, or purporting to represent or attempting to represent any employees, of the Business. Except as set forth in </w:t>
      </w:r>
      <w:r>
        <w:rPr>
          <w:rFonts w:ascii="Arial" w:cs="Arial" w:eastAsia="Arial" w:hAnsi="Arial"/>
          <w:sz w:val="18"/>
          <w:szCs w:val="18"/>
          <w:u w:val="single" w:color="auto"/>
          <w:color w:val="auto"/>
        </w:rPr>
        <w:t>Section 3.11(a)</w:t>
      </w:r>
      <w:r>
        <w:rPr>
          <w:rFonts w:ascii="Arial" w:cs="Arial" w:eastAsia="Arial" w:hAnsi="Arial"/>
          <w:sz w:val="18"/>
          <w:szCs w:val="18"/>
          <w:color w:val="auto"/>
        </w:rPr>
        <w:t xml:space="preserve"> of the Sellers Disclosure Letter, neither of the Transferred Entities is involved in, or, to the Knowledge of Sellers, threatened with any material work stoppage, strike, shutdown, lockout, demand for recognition or other material labor dispute, arbitration, lawsuit or administrative proceeding relating to labor matters involving Transferred Entity Employees, and there have been no such actions or disputes in the past three (3) years. To the Knowledge of Sellers, during the past three (3) years there has not been any attempt by any Transferred Entity Employees or any labor organization or other employee representative to organize or certify a collective bargaining unit or to engage in any other union organization activity with respect to the workforce of any Transferred Entity.</w:t>
      </w:r>
    </w:p>
    <w:p>
      <w:pPr>
        <w:spacing w:after="0" w:line="192" w:lineRule="exact"/>
        <w:rPr>
          <w:rFonts w:ascii="Arial" w:cs="Arial" w:eastAsia="Arial" w:hAnsi="Arial"/>
          <w:sz w:val="18"/>
          <w:szCs w:val="18"/>
          <w:color w:val="auto"/>
        </w:rPr>
      </w:pPr>
    </w:p>
    <w:p>
      <w:pPr>
        <w:ind w:right="220" w:firstLine="1305"/>
        <w:spacing w:after="0" w:line="297" w:lineRule="auto"/>
        <w:tabs>
          <w:tab w:leader="none" w:pos="1952"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Section 3.11(b)</w:t>
      </w:r>
      <w:r>
        <w:rPr>
          <w:rFonts w:ascii="Arial" w:cs="Arial" w:eastAsia="Arial" w:hAnsi="Arial"/>
          <w:sz w:val="16"/>
          <w:szCs w:val="16"/>
          <w:color w:val="auto"/>
        </w:rPr>
        <w:t xml:space="preserve"> of the Sellers Disclosure Letter sets forth a true and complete list of the employees currently employed by each Transferred Entity, in each case whose annualized aggregate compensation as salary, wages and bonuses during 2014 exceeded One Hundred Thousand Dollars ($100,000) (the “</w:t>
      </w:r>
      <w:r>
        <w:rPr>
          <w:rFonts w:ascii="Arial" w:cs="Arial" w:eastAsia="Arial" w:hAnsi="Arial"/>
          <w:sz w:val="16"/>
          <w:szCs w:val="16"/>
          <w:u w:val="single" w:color="auto"/>
          <w:color w:val="auto"/>
        </w:rPr>
        <w:t>Highly Paid Employees</w:t>
      </w:r>
      <w:r>
        <w:rPr>
          <w:rFonts w:ascii="Arial" w:cs="Arial" w:eastAsia="Arial" w:hAnsi="Arial"/>
          <w:sz w:val="16"/>
          <w:szCs w:val="16"/>
          <w:color w:val="auto"/>
        </w:rPr>
        <w:t xml:space="preserve">”). The Sellers have delivered to Purchasers a true and correct listing of the compensation amounts paid to each Highly Paid Employee in 2014 and the base salary and target bonus for such personnel in 2015. Except as set forth on </w:t>
      </w:r>
      <w:r>
        <w:rPr>
          <w:rFonts w:ascii="Arial" w:cs="Arial" w:eastAsia="Arial" w:hAnsi="Arial"/>
          <w:sz w:val="16"/>
          <w:szCs w:val="16"/>
          <w:u w:val="single" w:color="auto"/>
          <w:color w:val="auto"/>
        </w:rPr>
        <w:t>Section 3.11(b)</w:t>
      </w:r>
      <w:r>
        <w:rPr>
          <w:rFonts w:ascii="Arial" w:cs="Arial" w:eastAsia="Arial" w:hAnsi="Arial"/>
          <w:sz w:val="16"/>
          <w:szCs w:val="16"/>
          <w:color w:val="auto"/>
        </w:rPr>
        <w:t xml:space="preserve"> of the Sellers Disclosure Letter, to the Knowledge of Sellers, no Highly Paid Employee has plans to terminate employment with the Transferred Entities.</w:t>
      </w:r>
    </w:p>
    <w:p>
      <w:pPr>
        <w:spacing w:after="0" w:line="158" w:lineRule="exact"/>
        <w:rPr>
          <w:rFonts w:ascii="Arial" w:cs="Arial" w:eastAsia="Arial" w:hAnsi="Arial"/>
          <w:sz w:val="16"/>
          <w:szCs w:val="16"/>
          <w:color w:val="auto"/>
        </w:rPr>
      </w:pPr>
    </w:p>
    <w:p>
      <w:pPr>
        <w:ind w:right="40" w:firstLine="1305"/>
        <w:spacing w:after="0" w:line="272" w:lineRule="auto"/>
        <w:tabs>
          <w:tab w:leader="none" w:pos="19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3.11(c)</w:t>
      </w:r>
      <w:r>
        <w:rPr>
          <w:rFonts w:ascii="Arial" w:cs="Arial" w:eastAsia="Arial" w:hAnsi="Arial"/>
          <w:sz w:val="17"/>
          <w:szCs w:val="17"/>
          <w:color w:val="auto"/>
        </w:rPr>
        <w:t xml:space="preserve"> of the Sellers Disclosure Letter, no Transferred Entity is the subject of any pending Action asserting that it has committed an unfair labor practice (within the meaning of the National Labor Relations Act or comparable state or foreign Law) or other violation of state or federal labor Law or seeking to compel it to bargain with any labor organization as to wages, terms or conditions of employment. Each Transferred Entity is in material compliance with all applicable Laws relating to the employment of labor, including those related to wages, hours, collective bargaining, immigration, equal employment opportunities and retaliation. There is no claim with respect to payment of wages, salary or overtime pay that has been asserted in writing to a Transferred Entity or is pending or, to the Knowledge of Seller, threatened before any Governmental Entity with respect to any Persons currently or formerly employed by a Transferred Entity.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55" w:lineRule="auto"/>
        <w:tabs>
          <w:tab w:leader="none" w:pos="195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Section 3.11(d)</w:t>
      </w:r>
      <w:r>
        <w:rPr>
          <w:rFonts w:ascii="Arial" w:cs="Arial" w:eastAsia="Arial" w:hAnsi="Arial"/>
          <w:sz w:val="18"/>
          <w:szCs w:val="18"/>
          <w:color w:val="auto"/>
        </w:rPr>
        <w:t xml:space="preserve"> of the Sellers Disclosure Letter lists each employee of a Transferred Entity who was terminated or laid off for any reason other than for cause, or whose hours were reduced by more than 50%, during the ninety (90) days preceding the date of this Agreement, and for each such employee, sets forth: (i) the date of such termination, layoff or reduction in hours; and (ii) the location to which the employee was assigned. Each of the Transferred Entities is in material compliance with its obligations pursuant to the Worker Adjustment and Retraining Notification Act of 1988 (the “</w:t>
      </w:r>
      <w:r>
        <w:rPr>
          <w:rFonts w:ascii="Arial" w:cs="Arial" w:eastAsia="Arial" w:hAnsi="Arial"/>
          <w:sz w:val="18"/>
          <w:szCs w:val="18"/>
          <w:u w:val="single" w:color="auto"/>
          <w:color w:val="auto"/>
        </w:rPr>
        <w:t>WARN</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and any similar Law and neither Transferred Entity has ordered or implemented a plant closing or mass layoff within the meaning of the WARN Act or any similar Law in the past three (3) years.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 Except as set forth in</w:t>
      </w:r>
      <w:r>
        <w:rPr>
          <w:rFonts w:ascii="Arial" w:cs="Arial" w:eastAsia="Arial" w:hAnsi="Arial"/>
          <w:sz w:val="16"/>
          <w:szCs w:val="16"/>
          <w:u w:val="single" w:color="auto"/>
          <w:color w:val="auto"/>
        </w:rPr>
        <w:t xml:space="preserve"> Section 3.12 </w:t>
      </w:r>
      <w:r>
        <w:rPr>
          <w:rFonts w:ascii="Arial" w:cs="Arial" w:eastAsia="Arial" w:hAnsi="Arial"/>
          <w:sz w:val="16"/>
          <w:szCs w:val="16"/>
          <w:color w:val="auto"/>
        </w:rPr>
        <w:t>of the Sellers Disclosure Letter:</w:t>
      </w:r>
    </w:p>
    <w:p>
      <w:pPr>
        <w:spacing w:after="0" w:line="225" w:lineRule="exact"/>
        <w:rPr>
          <w:sz w:val="20"/>
          <w:szCs w:val="20"/>
          <w:color w:val="auto"/>
        </w:rPr>
      </w:pPr>
    </w:p>
    <w:p>
      <w:pPr>
        <w:ind w:right="640" w:firstLine="1305"/>
        <w:spacing w:after="0" w:line="277" w:lineRule="auto"/>
        <w:tabs>
          <w:tab w:leader="none" w:pos="1942"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Since September 16, 2011, Alkermes Gainesville has been a disregarded entity within the meaning of Treasury Regulation Section301.7701-3 for U.S. Federal income tax purposes.</w:t>
      </w:r>
    </w:p>
    <w:p>
      <w:pPr>
        <w:spacing w:after="0" w:line="170" w:lineRule="exact"/>
        <w:rPr>
          <w:rFonts w:ascii="Arial" w:cs="Arial" w:eastAsia="Arial" w:hAnsi="Arial"/>
          <w:sz w:val="18"/>
          <w:szCs w:val="18"/>
          <w:color w:val="auto"/>
        </w:rPr>
      </w:pPr>
    </w:p>
    <w:p>
      <w:pPr>
        <w:ind w:right="720" w:firstLine="1305"/>
        <w:spacing w:after="0" w:line="277" w:lineRule="auto"/>
        <w:tabs>
          <w:tab w:leader="none" w:pos="19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Since the formation of Newco by APIL, Newco has been a disregarded entity within the meaning of Treasury Regulation Section301.7701-3 for U.S. Federal income tax purposes.</w:t>
      </w:r>
    </w:p>
    <w:p>
      <w:pPr>
        <w:spacing w:after="0" w:line="170" w:lineRule="exact"/>
        <w:rPr>
          <w:rFonts w:ascii="Arial" w:cs="Arial" w:eastAsia="Arial" w:hAnsi="Arial"/>
          <w:sz w:val="18"/>
          <w:szCs w:val="18"/>
          <w:color w:val="auto"/>
        </w:rPr>
      </w:pPr>
    </w:p>
    <w:p>
      <w:pPr>
        <w:ind w:firstLine="1305"/>
        <w:spacing w:after="0" w:line="255" w:lineRule="auto"/>
        <w:tabs>
          <w:tab w:leader="none" w:pos="1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the Transferred Entities has filed all material Tax Returns that they were required to file under applicable Laws and regulations. All such Tax Returns were correct and complete in all material respects and were prepared in substantial compliance with all applicable Laws and regulations. All material Taxes due and owing by the Transferred Entities (whether or not shown on any Tax Return) have been paid. Neither of the Transferred Entities currently is the beneficiary of any extension of time within which to file any such Tax Return. No written claim has ever been made by an authority in a jurisdiction where the Transferred Entities do not file Tax Returns that the Transferred Entities are or may be subject to taxation by that jurisdiction.</w:t>
      </w:r>
    </w:p>
    <w:p>
      <w:pPr>
        <w:spacing w:after="0" w:line="193" w:lineRule="exact"/>
        <w:rPr>
          <w:rFonts w:ascii="Arial" w:cs="Arial" w:eastAsia="Arial" w:hAnsi="Arial"/>
          <w:sz w:val="18"/>
          <w:szCs w:val="18"/>
          <w:color w:val="auto"/>
        </w:rPr>
      </w:pPr>
    </w:p>
    <w:p>
      <w:pPr>
        <w:ind w:right="20" w:firstLine="1305"/>
        <w:spacing w:after="0" w:line="277" w:lineRule="auto"/>
        <w:tabs>
          <w:tab w:leader="none" w:pos="19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are no material Liens for Taxes (other than Taxes not yet due and payable) upon any of the assets of the Transferred Entities, except for Permitted Liens.</w:t>
      </w:r>
    </w:p>
    <w:p>
      <w:pPr>
        <w:spacing w:after="0" w:line="170" w:lineRule="exact"/>
        <w:rPr>
          <w:rFonts w:ascii="Arial" w:cs="Arial" w:eastAsia="Arial" w:hAnsi="Arial"/>
          <w:sz w:val="18"/>
          <w:szCs w:val="18"/>
          <w:color w:val="auto"/>
        </w:rPr>
      </w:pPr>
    </w:p>
    <w:p>
      <w:pPr>
        <w:ind w:right="140" w:firstLine="1305"/>
        <w:spacing w:after="0" w:line="264" w:lineRule="auto"/>
        <w:tabs>
          <w:tab w:leader="none" w:pos="1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the Transferred Entities have withheld and paid all material Taxes required to have been withheld and paid in connection with any amounts paid or owing to any employee, independent contractor, creditor, stockholder, or other third party, and all IRS Forms W-2 and 1099 with respect thereto have been properly completed and timely filed.</w:t>
      </w:r>
    </w:p>
    <w:p>
      <w:pPr>
        <w:spacing w:after="0" w:line="181" w:lineRule="exact"/>
        <w:rPr>
          <w:rFonts w:ascii="Arial" w:cs="Arial" w:eastAsia="Arial" w:hAnsi="Arial"/>
          <w:sz w:val="18"/>
          <w:szCs w:val="18"/>
          <w:color w:val="auto"/>
        </w:rPr>
      </w:pPr>
    </w:p>
    <w:p>
      <w:pPr>
        <w:ind w:firstLine="1305"/>
        <w:spacing w:after="0" w:line="257" w:lineRule="auto"/>
        <w:tabs>
          <w:tab w:leader="none" w:pos="19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the Knowledge of Sellers, no federal, state, local, or non-U.S. tax audits, investigations or administrative or judicial Tax proceedings are pending or being conducted with respect to the Transferred Entities. Neither of the Transferred Entities has received from any Governmental Entity (including those in jurisdictions where the Transferred Entities have not filed Tax Returns) any (i) written notice indicating an intent to open an audit or other review, (ii) request for information related to Tax matters, or (iii) notice of deficiency or proposed adjustment for any amount of Tax proposed, asserted, or assessed by any Governmental Entity against the Transferred Entities.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289" w:gutter="0" w:footer="0" w:header="0"/>
        </w:sectPr>
      </w:pPr>
    </w:p>
    <w:bookmarkStart w:id="22" w:name="page23"/>
    <w:bookmarkEnd w:id="22"/>
    <w:p>
      <w:pPr>
        <w:spacing w:after="0" w:line="21" w:lineRule="exact"/>
        <w:rPr>
          <w:sz w:val="20"/>
          <w:szCs w:val="20"/>
          <w:color w:val="auto"/>
        </w:rPr>
      </w:pPr>
    </w:p>
    <w:p>
      <w:pPr>
        <w:ind w:right="60" w:firstLine="1305"/>
        <w:spacing w:after="0" w:line="264" w:lineRule="auto"/>
        <w:tabs>
          <w:tab w:leader="none" w:pos="19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Transferred Entities have not waived any statute of limitations in respect of Taxes or agreed to any extension of time with respect to a Tax assessment or deficiency. No Transferred Entity has issued any power of attorney (or any such equivalent) with respect to any material Taxes that is still in effect.</w:t>
      </w:r>
    </w:p>
    <w:p>
      <w:pPr>
        <w:spacing w:after="0" w:line="181" w:lineRule="exact"/>
        <w:rPr>
          <w:rFonts w:ascii="Arial" w:cs="Arial" w:eastAsia="Arial" w:hAnsi="Arial"/>
          <w:sz w:val="18"/>
          <w:szCs w:val="18"/>
          <w:color w:val="auto"/>
        </w:rPr>
      </w:pPr>
    </w:p>
    <w:p>
      <w:pPr>
        <w:ind w:right="160" w:firstLine="1305"/>
        <w:spacing w:after="0" w:line="277" w:lineRule="auto"/>
        <w:tabs>
          <w:tab w:leader="none" w:pos="19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Transferred Entity has any equity interest in any entity taxed as a “partnership” or a “controlled foreign corporation” for U.S. federal income tax purposes.</w:t>
      </w:r>
    </w:p>
    <w:p>
      <w:pPr>
        <w:spacing w:after="0" w:line="170" w:lineRule="exact"/>
        <w:rPr>
          <w:rFonts w:ascii="Arial" w:cs="Arial" w:eastAsia="Arial" w:hAnsi="Arial"/>
          <w:sz w:val="18"/>
          <w:szCs w:val="18"/>
          <w:color w:val="auto"/>
        </w:rPr>
      </w:pPr>
    </w:p>
    <w:p>
      <w:pPr>
        <w:ind w:right="40" w:firstLine="1305"/>
        <w:spacing w:after="0" w:line="279" w:lineRule="auto"/>
        <w:tabs>
          <w:tab w:leader="none" w:pos="196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Transferred Entities have and, to the extent requested, have provided Purchasers with access to, true, correct and complete copies of all material Tax Returns filed by them for all pre-Closing Tax periods beginning on or after September 16, 2011 and true, correct and complete copies of any examination reports received by the Transferred Entities and statements of deficiencies assessed against or agreed to by the Transferred Entities for all Pre-Closing Tax periods beginning on or after September 16, 2011 with respect to any Tax.</w:t>
      </w:r>
    </w:p>
    <w:p>
      <w:pPr>
        <w:spacing w:after="0" w:line="171" w:lineRule="exact"/>
        <w:rPr>
          <w:rFonts w:ascii="Arial" w:cs="Arial" w:eastAsia="Arial" w:hAnsi="Arial"/>
          <w:sz w:val="17"/>
          <w:szCs w:val="17"/>
          <w:color w:val="auto"/>
        </w:rPr>
      </w:pPr>
    </w:p>
    <w:p>
      <w:pPr>
        <w:ind w:right="100" w:firstLine="1305"/>
        <w:spacing w:after="0" w:line="277" w:lineRule="auto"/>
        <w:tabs>
          <w:tab w:leader="none" w:pos="19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None of Newco or Alkermes Gainesville has a liability for the Taxes of any other Person, including as a result of being a part of a VAT grouping. Neither Transferred Entity is a party to or bound by any Tax allocation or sharing agreement.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laws of Ireland do not require any withholding tax to be deducted or withheld from any payment of Earn-Out Consideration.</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Compliance with Laws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7" w:lineRule="auto"/>
        <w:tabs>
          <w:tab w:leader="none" w:pos="19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Transferred Entities operate, and since January 1, 2012 have operated, the Business in compliance in all material respects with all Laws applicable thereto. Except as set forth in </w:t>
      </w: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of the Sellers Disclosure Letter, since January 1, 2012, none of the Transferred Entities has received any communication from a Governmental Entity that (i) alleges that the Business or such Person (in respect of the Business) is in material violation of any applicable Law, (ii) any investigation or review by any Governmental Entity with respect to the Business or such Person is pending or contemplated and, to the Knowledge of Sellers, no such investigation or review is threatened.</w:t>
      </w:r>
    </w:p>
    <w:p>
      <w:pPr>
        <w:spacing w:after="0" w:line="188" w:lineRule="exact"/>
        <w:rPr>
          <w:rFonts w:ascii="Arial" w:cs="Arial" w:eastAsia="Arial" w:hAnsi="Arial"/>
          <w:sz w:val="18"/>
          <w:szCs w:val="18"/>
          <w:color w:val="auto"/>
        </w:rPr>
      </w:pPr>
    </w:p>
    <w:p>
      <w:pPr>
        <w:ind w:right="100" w:firstLine="1305"/>
        <w:spacing w:after="0" w:line="259" w:lineRule="auto"/>
        <w:tabs>
          <w:tab w:leader="none" w:pos="19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imports, exports, reexports/retransfers, “deemed exports” and “deemed reexports/retransfers” of the Business have been made in all material respects in accordance with all statutory and regulatory requirements under the Export Administration Regulations and associated executive orders, and the Laws implemented by the Office of Foreign Assets Controls, the United States Department of the Treasury and any other applicable import, export control and sanctions Laws.</w:t>
      </w:r>
    </w:p>
    <w:p>
      <w:pPr>
        <w:spacing w:after="0" w:line="186" w:lineRule="exact"/>
        <w:rPr>
          <w:rFonts w:ascii="Arial" w:cs="Arial" w:eastAsia="Arial" w:hAnsi="Arial"/>
          <w:sz w:val="18"/>
          <w:szCs w:val="18"/>
          <w:color w:val="auto"/>
        </w:rPr>
      </w:pPr>
    </w:p>
    <w:p>
      <w:pPr>
        <w:ind w:firstLine="1305"/>
        <w:spacing w:after="0" w:line="257" w:lineRule="auto"/>
        <w:tabs>
          <w:tab w:leader="none" w:pos="19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Since January 1, 2012, all applications, submissions, information and data utilized by the Transferred Entities in respect of the Business as the basis for, or submitted by or, to the Knowledge of Sellers, on behalf of the Transferred Entities in connection with, any and all requests for a License relating to the Business or any Products, when submitted to the FDA or other Governmental Entity, were true and correct in all material respects as of the date of submission, and any updates, changes, corrections or modification to such applications, submissions, information and data required under applicable Laws have been submitted to the FDA or other Governmental Entity.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Since January 1, 2012:</w:t>
      </w:r>
    </w:p>
    <w:p>
      <w:pPr>
        <w:spacing w:after="0" w:line="225" w:lineRule="exact"/>
        <w:rPr>
          <w:rFonts w:ascii="Arial" w:cs="Arial" w:eastAsia="Arial" w:hAnsi="Arial"/>
          <w:sz w:val="18"/>
          <w:szCs w:val="18"/>
          <w:color w:val="auto"/>
        </w:rPr>
      </w:pPr>
    </w:p>
    <w:p>
      <w:pPr>
        <w:ind w:left="1300" w:right="460" w:firstLine="653"/>
        <w:spacing w:after="0" w:line="264" w:lineRule="auto"/>
        <w:tabs>
          <w:tab w:leader="none" w:pos="2618"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Transferred Entities have been in compliance with all legal requirements under (A) the FCPA, and (B) the Irish Prevention of Corruption Acts, 1889 to 2010 and the Irish Ethics in Public Office Acts 1995 and 2001 (collectively, the “</w:t>
      </w:r>
      <w:r>
        <w:rPr>
          <w:rFonts w:ascii="Arial" w:cs="Arial" w:eastAsia="Arial" w:hAnsi="Arial"/>
          <w:sz w:val="18"/>
          <w:szCs w:val="18"/>
          <w:u w:val="single" w:color="auto"/>
          <w:color w:val="auto"/>
        </w:rPr>
        <w:t>Anti-Bribery</w:t>
      </w:r>
      <w:r>
        <w:rPr>
          <w:rFonts w:ascii="Arial" w:cs="Arial" w:eastAsia="Arial" w:hAnsi="Arial"/>
          <w:sz w:val="18"/>
          <w:szCs w:val="18"/>
          <w:color w:val="auto"/>
        </w:rPr>
        <w:t xml:space="preserve"> </w:t>
      </w:r>
      <w:r>
        <w:rPr>
          <w:rFonts w:ascii="Arial" w:cs="Arial" w:eastAsia="Arial" w:hAnsi="Arial"/>
          <w:sz w:val="18"/>
          <w:szCs w:val="18"/>
          <w:u w:val="single" w:color="auto"/>
          <w:color w:val="auto"/>
        </w:rPr>
        <w:t>Laws</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1300" w:right="60" w:firstLine="653"/>
        <w:spacing w:after="0" w:line="259" w:lineRule="auto"/>
        <w:tabs>
          <w:tab w:leader="none" w:pos="2627"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none of the Transferred Entities has, in relationship to the Business, taken any act in furtherance of an offer, payment, promise to pay, authorization, or ratification of the payment, directly or indirectly, of any gift, money or anything of value to a Government Official to secure any improper advantage (e.g., to obtain a tax rate lower than allowed by Law) or to obtain or retain business for any Person.</w:t>
      </w:r>
    </w:p>
    <w:p>
      <w:pPr>
        <w:spacing w:after="0" w:line="186" w:lineRule="exact"/>
        <w:rPr>
          <w:rFonts w:ascii="Arial" w:cs="Arial" w:eastAsia="Arial" w:hAnsi="Arial"/>
          <w:sz w:val="18"/>
          <w:szCs w:val="18"/>
          <w:color w:val="auto"/>
        </w:rPr>
      </w:pPr>
    </w:p>
    <w:p>
      <w:pPr>
        <w:ind w:right="180" w:firstLine="1305"/>
        <w:spacing w:after="0" w:line="264" w:lineRule="auto"/>
        <w:tabs>
          <w:tab w:leader="none" w:pos="19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None of the Transferred Entities is aware of (A) any investigation of or request for information from the Transferred Entities relating to the Business by law enforcement officials regarding the Anti-Bribery Laws, or (B) any other allegation, investigation or inquiry regarding any of their or the Business’ actual or possible violation of the Anti-Bribery Laws.</w:t>
      </w:r>
    </w:p>
    <w:p>
      <w:pPr>
        <w:spacing w:after="0" w:line="181" w:lineRule="exact"/>
        <w:rPr>
          <w:rFonts w:ascii="Arial" w:cs="Arial" w:eastAsia="Arial" w:hAnsi="Arial"/>
          <w:sz w:val="18"/>
          <w:szCs w:val="18"/>
          <w:color w:val="auto"/>
        </w:rPr>
      </w:pPr>
    </w:p>
    <w:p>
      <w:pPr>
        <w:ind w:right="20" w:firstLine="1305"/>
        <w:spacing w:after="0" w:line="264" w:lineRule="auto"/>
        <w:tabs>
          <w:tab w:leader="none" w:pos="19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Transferred Entities and, in relation to the Business, the Sellers have maintained their Books and Records in a manner that, in reasonable detail, accurately and fairly reflects the transactions and disposition of their assets, and maintain a system of internal accounting controls sufficient to provide reasonable assurances that:</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transactions are executed and access to assets is given only in accordance with management’s authorization;</w:t>
      </w:r>
    </w:p>
    <w:p>
      <w:pPr>
        <w:spacing w:after="0" w:line="225" w:lineRule="exact"/>
        <w:rPr>
          <w:rFonts w:ascii="Arial" w:cs="Arial" w:eastAsia="Arial" w:hAnsi="Arial"/>
          <w:sz w:val="18"/>
          <w:szCs w:val="18"/>
          <w:color w:val="auto"/>
        </w:rPr>
      </w:pPr>
    </w:p>
    <w:p>
      <w:pPr>
        <w:ind w:left="1300" w:right="220" w:firstLine="653"/>
        <w:spacing w:after="0" w:line="277" w:lineRule="auto"/>
        <w:tabs>
          <w:tab w:leader="none" w:pos="2627" w:val="left"/>
        </w:tabs>
        <w:numPr>
          <w:ilvl w:val="1"/>
          <w:numId w:val="48"/>
        </w:numPr>
        <w:rPr>
          <w:rFonts w:ascii="Arial" w:cs="Arial" w:eastAsia="Arial" w:hAnsi="Arial"/>
          <w:sz w:val="18"/>
          <w:szCs w:val="18"/>
          <w:color w:val="auto"/>
        </w:rPr>
      </w:pPr>
      <w:r>
        <w:rPr>
          <w:rFonts w:ascii="Arial" w:cs="Arial" w:eastAsia="Arial" w:hAnsi="Arial"/>
          <w:sz w:val="18"/>
          <w:szCs w:val="18"/>
          <w:color w:val="auto"/>
        </w:rPr>
        <w:t>transactions are recorded as necessary to permit preparation of periodic financial statements in accordance with GAAP and to maintain accountability of corporate assets; and</w:t>
      </w:r>
    </w:p>
    <w:p>
      <w:pPr>
        <w:spacing w:after="0" w:line="170" w:lineRule="exact"/>
        <w:rPr>
          <w:rFonts w:ascii="Arial" w:cs="Arial" w:eastAsia="Arial" w:hAnsi="Arial"/>
          <w:sz w:val="18"/>
          <w:szCs w:val="18"/>
          <w:color w:val="auto"/>
        </w:rPr>
      </w:pPr>
    </w:p>
    <w:p>
      <w:pPr>
        <w:ind w:left="1300" w:right="180" w:firstLine="653"/>
        <w:spacing w:after="0" w:line="277" w:lineRule="auto"/>
        <w:tabs>
          <w:tab w:leader="none" w:pos="2637"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recorded assets are compared with existing assets at reasonable intervals and appropriate action is taken with respect to any differences between recorded and actual assets.</w:t>
      </w:r>
    </w:p>
    <w:p>
      <w:pPr>
        <w:spacing w:after="0" w:line="170" w:lineRule="exact"/>
        <w:rPr>
          <w:rFonts w:ascii="Arial" w:cs="Arial" w:eastAsia="Arial" w:hAnsi="Arial"/>
          <w:sz w:val="18"/>
          <w:szCs w:val="18"/>
          <w:color w:val="auto"/>
        </w:rPr>
      </w:pPr>
    </w:p>
    <w:p>
      <w:pPr>
        <w:ind w:right="100" w:firstLine="1305"/>
        <w:spacing w:after="0" w:line="342" w:lineRule="auto"/>
        <w:tabs>
          <w:tab w:leader="none" w:pos="1965"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director or officer of any of the Transferred Entities has, directly or indirectly, made false or misleading statements to, or attempted to coerce or fraudulently influence, an accountant in connection with any audit, review, or examination of the financial statements of the Business.</w:t>
      </w:r>
    </w:p>
    <w:p>
      <w:pPr>
        <w:spacing w:after="0" w:line="12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Insurance</w:t>
      </w:r>
      <w:r>
        <w:rPr>
          <w:rFonts w:ascii="Arial" w:cs="Arial" w:eastAsia="Arial" w:hAnsi="Arial"/>
          <w:sz w:val="17"/>
          <w:szCs w:val="17"/>
          <w:color w:val="auto"/>
        </w:rPr>
        <w:t>. All of the assets and properties of the Business are covered by valid and currently effective insurance policies held by Parent or its Affiliates, other than the Transferred Entities. Such insurance policies provide insurance coverage that, in the Sellers’ judgment, insures against such losses and risks and in such amounts as are customary in the businesses in which the Transferred Entities are engaged. All of such insurance policies are valid, enforceable and in full force and effect and all premiums due and payable thereon have been paid. None of the Transferred Entities, Parent or Affiliates of Parent are in breach or default thereunder or has taken an action or failed to take any action which, with notice or the lapse of</w:t>
      </w:r>
    </w:p>
    <w:p>
      <w:pPr>
        <w:sectPr>
          <w:pgSz w:w="11900" w:h="16859" w:orient="portrait"/>
          <w:cols w:equalWidth="0" w:num="1">
            <w:col w:w="11400"/>
          </w:cols>
          <w:pgMar w:left="240" w:top="341" w:right="259" w:bottom="0" w:gutter="0" w:footer="0" w:header="0"/>
        </w:sectPr>
      </w:pPr>
    </w:p>
    <w:bookmarkStart w:id="23" w:name="page24"/>
    <w:bookmarkEnd w:id="23"/>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time, would constitute a material breach or material default or permit termination or modification of any such policy in a manner that would have a material and adverse effect on the Transferred Entities. Except as set forth on </w:t>
      </w:r>
      <w:r>
        <w:rPr>
          <w:rFonts w:ascii="Arial" w:cs="Arial" w:eastAsia="Arial" w:hAnsi="Arial"/>
          <w:sz w:val="17"/>
          <w:szCs w:val="17"/>
          <w:u w:val="single" w:color="auto"/>
          <w:color w:val="auto"/>
        </w:rPr>
        <w:t>Section 3.14</w:t>
      </w:r>
      <w:r>
        <w:rPr>
          <w:rFonts w:ascii="Arial" w:cs="Arial" w:eastAsia="Arial" w:hAnsi="Arial"/>
          <w:sz w:val="17"/>
          <w:szCs w:val="17"/>
          <w:color w:val="auto"/>
        </w:rPr>
        <w:t xml:space="preserve"> of the Sellers Disclosure Letter, there are no claims, by or with respect to any Transferred Entity, pending under any of such insurance policies, or material disputes with insurers with respect thereto. None of Sellers, Parent, Affiliates of Parent or any Transferred Entity has received any written notice regarding any cancellation or termination of or refusal of any coverage or rejection of any material claim related to the Transferred Entities under any such insurance policy.</w:t>
      </w:r>
    </w:p>
    <w:p>
      <w:pPr>
        <w:spacing w:after="0" w:line="173"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Material Contracts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3.15</w:t>
      </w:r>
      <w:r>
        <w:rPr>
          <w:rFonts w:ascii="Arial" w:cs="Arial" w:eastAsia="Arial" w:hAnsi="Arial"/>
          <w:sz w:val="17"/>
          <w:szCs w:val="17"/>
          <w:color w:val="auto"/>
        </w:rPr>
        <w:t xml:space="preserve"> of the Sellers Disclosure Letter sets forth all of the following contracts to which any Transferred Entity is a party or bound, or by which any of the assets or properties of any of them, with the exception of the Excluded Assets, or Business is bound:</w:t>
      </w:r>
    </w:p>
    <w:p>
      <w:pPr>
        <w:spacing w:after="0" w:line="147" w:lineRule="exact"/>
        <w:rPr>
          <w:sz w:val="20"/>
          <w:szCs w:val="20"/>
          <w:color w:val="auto"/>
        </w:rPr>
      </w:pPr>
    </w:p>
    <w:p>
      <w:pPr>
        <w:ind w:right="620" w:firstLine="1305"/>
        <w:spacing w:after="0" w:line="277" w:lineRule="auto"/>
        <w:tabs>
          <w:tab w:leader="none" w:pos="19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employment or consulting agreement with an individual (i) requiring payments of base compensation in excess of One Hundred Thousand Dollars ($100,000) per year or (ii) related to a Retention Bonus;</w:t>
      </w:r>
    </w:p>
    <w:p>
      <w:pPr>
        <w:spacing w:after="0" w:line="170" w:lineRule="exact"/>
        <w:rPr>
          <w:rFonts w:ascii="Arial" w:cs="Arial" w:eastAsia="Arial" w:hAnsi="Arial"/>
          <w:sz w:val="18"/>
          <w:szCs w:val="18"/>
          <w:color w:val="auto"/>
        </w:rPr>
      </w:pPr>
    </w:p>
    <w:p>
      <w:pPr>
        <w:ind w:right="60" w:firstLine="1305"/>
        <w:spacing w:after="0" w:line="264" w:lineRule="auto"/>
        <w:tabs>
          <w:tab w:leader="none" w:pos="19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note, mortgage, indenture and other obligation and agreement and other instrument for or relating to any lending or borrowing (including assumed or guaranteed debt) effected by any Transferred Entity or to which any properties or assets of any of them, with the exception of the Excluded Assets, or the Business, is subject;</w:t>
      </w:r>
    </w:p>
    <w:p>
      <w:pPr>
        <w:spacing w:after="0" w:line="181" w:lineRule="exact"/>
        <w:rPr>
          <w:rFonts w:ascii="Arial" w:cs="Arial" w:eastAsia="Arial" w:hAnsi="Arial"/>
          <w:sz w:val="18"/>
          <w:szCs w:val="18"/>
          <w:color w:val="auto"/>
        </w:rPr>
      </w:pPr>
    </w:p>
    <w:p>
      <w:pPr>
        <w:ind w:right="360" w:firstLine="1305"/>
        <w:spacing w:after="0" w:line="277" w:lineRule="auto"/>
        <w:tabs>
          <w:tab w:leader="none" w:pos="19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agreement or commitment for any capital expenditure in excess of One Hundred Thousand Dollars ($100,000) outside the ordinary course of business;</w:t>
      </w:r>
    </w:p>
    <w:p>
      <w:pPr>
        <w:spacing w:after="0" w:line="170" w:lineRule="exact"/>
        <w:rPr>
          <w:rFonts w:ascii="Arial" w:cs="Arial" w:eastAsia="Arial" w:hAnsi="Arial"/>
          <w:sz w:val="18"/>
          <w:szCs w:val="18"/>
          <w:color w:val="auto"/>
        </w:rPr>
      </w:pPr>
    </w:p>
    <w:p>
      <w:pPr>
        <w:ind w:right="720" w:firstLine="1305"/>
        <w:spacing w:after="0" w:line="308" w:lineRule="auto"/>
        <w:tabs>
          <w:tab w:leader="none" w:pos="1952" w:val="left"/>
        </w:tabs>
        <w:numPr>
          <w:ilvl w:val="0"/>
          <w:numId w:val="49"/>
        </w:numPr>
        <w:rPr>
          <w:rFonts w:ascii="Arial" w:cs="Arial" w:eastAsia="Arial" w:hAnsi="Arial"/>
          <w:sz w:val="17"/>
          <w:szCs w:val="17"/>
          <w:color w:val="auto"/>
        </w:rPr>
      </w:pPr>
      <w:r>
        <w:rPr>
          <w:rFonts w:ascii="Arial" w:cs="Arial" w:eastAsia="Arial" w:hAnsi="Arial"/>
          <w:sz w:val="17"/>
          <w:szCs w:val="17"/>
          <w:color w:val="auto"/>
        </w:rPr>
        <w:t>customer sale and purchase agreements with indicated or estimated future payment obligations in excess of One Hundred Thousand Dollars ($100,000) in any 12-month period or Two Hundred Fifty Thousand Dollars ($250,000) in the aggregate;</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drug delivery agreements or contract manufacturing agreements;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joint venture, partnership, technical assistance, research and development and other similar collaborative agreements;</w:t>
      </w:r>
    </w:p>
    <w:p>
      <w:pPr>
        <w:spacing w:after="0" w:line="236" w:lineRule="exact"/>
        <w:rPr>
          <w:rFonts w:ascii="Arial" w:cs="Arial" w:eastAsia="Arial" w:hAnsi="Arial"/>
          <w:sz w:val="17"/>
          <w:szCs w:val="17"/>
          <w:color w:val="auto"/>
        </w:rPr>
      </w:pPr>
    </w:p>
    <w:p>
      <w:pPr>
        <w:ind w:right="160" w:firstLine="1305"/>
        <w:spacing w:after="0" w:line="264" w:lineRule="auto"/>
        <w:tabs>
          <w:tab w:leader="none" w:pos="19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contract which is terminable by the other party or parties thereto upon an assignment or change of control of any Transferred Entity, other than such contracts the termination of which would not, individually or in the aggregate, have or reasonably be expected to have a Material Adverse Effect;</w:t>
      </w:r>
    </w:p>
    <w:p>
      <w:pPr>
        <w:spacing w:after="0" w:line="181" w:lineRule="exact"/>
        <w:rPr>
          <w:rFonts w:ascii="Arial" w:cs="Arial" w:eastAsia="Arial" w:hAnsi="Arial"/>
          <w:sz w:val="18"/>
          <w:szCs w:val="18"/>
          <w:color w:val="auto"/>
        </w:rPr>
      </w:pPr>
    </w:p>
    <w:p>
      <w:pPr>
        <w:ind w:right="360" w:firstLine="1305"/>
        <w:spacing w:after="0" w:line="264" w:lineRule="auto"/>
        <w:tabs>
          <w:tab w:leader="none" w:pos="19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contract, agreement or arrangement, entered into other than in the ordinary course of business, with indicated or estimated future payment obligations in excess of One Hundred Thousand Dollars ($100,000) in any 12-month period or Two Hundred Fifty Thousand Dollars ($250,000) in the aggregate;</w:t>
      </w:r>
    </w:p>
    <w:p>
      <w:pPr>
        <w:spacing w:after="0" w:line="181" w:lineRule="exact"/>
        <w:rPr>
          <w:rFonts w:ascii="Arial" w:cs="Arial" w:eastAsia="Arial" w:hAnsi="Arial"/>
          <w:sz w:val="18"/>
          <w:szCs w:val="18"/>
          <w:color w:val="auto"/>
        </w:rPr>
      </w:pPr>
    </w:p>
    <w:p>
      <w:pPr>
        <w:ind w:right="280" w:firstLine="1305"/>
        <w:spacing w:after="0" w:line="277" w:lineRule="auto"/>
        <w:tabs>
          <w:tab w:leader="none" w:pos="196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service and supply agreements with indicated or estimated future payment obligations in excess of One Hundred Thousand Dollars ($100,000) in any 12-month period or Two Hundred Fifty Thousand Dollars ($250,000) in the aggregate;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Business IP Agreement;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agreement or commitment for the disposition of assets or any interest in any business enterprise outside the ordinary course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ind w:right="20" w:firstLine="1305"/>
        <w:spacing w:after="0" w:line="264" w:lineRule="auto"/>
        <w:tabs>
          <w:tab w:leader="none" w:pos="1966"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agreement or commitment limiting or restraining it from engaging or competing in any lines of business, with any Person or in any geographic area or from soliciting any Person for business, and any agreement or commitment limiting or restraining it from soliciting any individual for employment;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agreement or commitment that would become payable upon a change of control of a Transferred Entity;</w:t>
      </w:r>
    </w:p>
    <w:p>
      <w:pPr>
        <w:spacing w:after="0" w:line="225" w:lineRule="exact"/>
        <w:rPr>
          <w:rFonts w:ascii="Arial" w:cs="Arial" w:eastAsia="Arial" w:hAnsi="Arial"/>
          <w:sz w:val="18"/>
          <w:szCs w:val="18"/>
          <w:color w:val="auto"/>
        </w:rPr>
      </w:pPr>
    </w:p>
    <w:p>
      <w:pPr>
        <w:ind w:firstLine="1305"/>
        <w:spacing w:after="0" w:line="259" w:lineRule="auto"/>
        <w:tabs>
          <w:tab w:leader="none" w:pos="19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any agreement with the five (5) largest customers of the Transferred Entities, taken as a whole (determined based on monthly recurring revenue as of the end of the last fiscal year) (such customers, the “</w:t>
      </w:r>
      <w:r>
        <w:rPr>
          <w:rFonts w:ascii="Arial" w:cs="Arial" w:eastAsia="Arial" w:hAnsi="Arial"/>
          <w:sz w:val="18"/>
          <w:szCs w:val="18"/>
          <w:u w:val="single" w:color="auto"/>
          <w:color w:val="auto"/>
        </w:rPr>
        <w:t>Significant Customers</w:t>
      </w:r>
      <w:r>
        <w:rPr>
          <w:rFonts w:ascii="Arial" w:cs="Arial" w:eastAsia="Arial" w:hAnsi="Arial"/>
          <w:sz w:val="18"/>
          <w:szCs w:val="18"/>
          <w:color w:val="auto"/>
        </w:rPr>
        <w:t>”); and (ii) any agreement with the ten (10) largest suppliers (excluding service providers) of the Transferred Entities, taken as a whole (determined based on payments from the Transferred Entities for the last fiscal year) (such suppliers, the “</w:t>
      </w:r>
      <w:r>
        <w:rPr>
          <w:rFonts w:ascii="Arial" w:cs="Arial" w:eastAsia="Arial" w:hAnsi="Arial"/>
          <w:sz w:val="18"/>
          <w:szCs w:val="18"/>
          <w:u w:val="single" w:color="auto"/>
          <w:color w:val="auto"/>
        </w:rPr>
        <w:t>Significant Suppliers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0" w:firstLine="1305"/>
        <w:spacing w:after="0" w:line="277" w:lineRule="auto"/>
        <w:tabs>
          <w:tab w:leader="none" w:pos="19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lease or agreement under which a Transferred Entity is lessee of any personal property owned by another party, for which annual rent exceeds Two Hundred and Fifty Thousand Dollars ($250,000);</w:t>
      </w:r>
    </w:p>
    <w:p>
      <w:pPr>
        <w:spacing w:after="0" w:line="170" w:lineRule="exact"/>
        <w:rPr>
          <w:rFonts w:ascii="Arial" w:cs="Arial" w:eastAsia="Arial" w:hAnsi="Arial"/>
          <w:sz w:val="18"/>
          <w:szCs w:val="18"/>
          <w:color w:val="auto"/>
        </w:rPr>
      </w:pPr>
    </w:p>
    <w:p>
      <w:pPr>
        <w:ind w:right="840" w:firstLine="1305"/>
        <w:spacing w:after="0" w:line="277" w:lineRule="auto"/>
        <w:tabs>
          <w:tab w:leader="none" w:pos="19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stock purchase agreement, asset purchase agreement or other acquisition or divestiture Contract entered into by any Transferred Entity during the past five (5) years;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material amendments, modifications, extensions or renewals of any of the foregoing or any exercise of any option in respect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of the foregoing.</w:t>
      </w:r>
    </w:p>
    <w:p>
      <w:pPr>
        <w:spacing w:after="0" w:line="21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 xml:space="preserve">The contracts listed on </w:t>
      </w:r>
      <w:r>
        <w:rPr>
          <w:rFonts w:ascii="Arial" w:cs="Arial" w:eastAsia="Arial" w:hAnsi="Arial"/>
          <w:sz w:val="16"/>
          <w:szCs w:val="16"/>
          <w:u w:val="single" w:color="auto"/>
          <w:color w:val="auto"/>
        </w:rPr>
        <w:t>Section 3.15</w:t>
      </w:r>
      <w:r>
        <w:rPr>
          <w:rFonts w:ascii="Arial" w:cs="Arial" w:eastAsia="Arial" w:hAnsi="Arial"/>
          <w:sz w:val="16"/>
          <w:szCs w:val="16"/>
          <w:color w:val="auto"/>
        </w:rPr>
        <w:t xml:space="preserve"> of the Sellers Disclosure Letter are referred to herein as “</w:t>
      </w:r>
      <w:r>
        <w:rPr>
          <w:rFonts w:ascii="Arial" w:cs="Arial" w:eastAsia="Arial" w:hAnsi="Arial"/>
          <w:sz w:val="16"/>
          <w:szCs w:val="16"/>
          <w:u w:val="single" w:color="auto"/>
          <w:color w:val="auto"/>
        </w:rPr>
        <w:t>Business Material Contracts</w:t>
      </w:r>
      <w:r>
        <w:rPr>
          <w:rFonts w:ascii="Arial" w:cs="Arial" w:eastAsia="Arial" w:hAnsi="Arial"/>
          <w:sz w:val="16"/>
          <w:szCs w:val="16"/>
          <w:color w:val="auto"/>
        </w:rPr>
        <w:t xml:space="preserve">.” With respect to all Business Material Contracts, except as set forth in </w:t>
      </w:r>
      <w:r>
        <w:rPr>
          <w:rFonts w:ascii="Arial" w:cs="Arial" w:eastAsia="Arial" w:hAnsi="Arial"/>
          <w:sz w:val="16"/>
          <w:szCs w:val="16"/>
          <w:u w:val="single" w:color="auto"/>
          <w:color w:val="auto"/>
        </w:rPr>
        <w:t>Section 3.15</w:t>
      </w:r>
      <w:r>
        <w:rPr>
          <w:rFonts w:ascii="Arial" w:cs="Arial" w:eastAsia="Arial" w:hAnsi="Arial"/>
          <w:sz w:val="16"/>
          <w:szCs w:val="16"/>
          <w:color w:val="auto"/>
        </w:rPr>
        <w:t xml:space="preserve"> of the Sellers Disclosure Letter, (i) none of the Transferred Entities, nor, to the Knowledge of Sellers, any other party to any such Business Material Contract is in material breach thereof or default thereunder, and (ii) there does not exist under any provision thereof, any event that, with the giving of notice or the lapse of time or both, would constitute such a material breach or default. Sellers have made available to Purchasers true, correct and complete copies of all Business Material Contracts. Each Business Material Contract is in full force and effect in accordance</w:t>
      </w:r>
    </w:p>
    <w:p>
      <w:pPr>
        <w:sectPr>
          <w:pgSz w:w="11900" w:h="16941" w:orient="portrait"/>
          <w:cols w:equalWidth="0" w:num="1">
            <w:col w:w="11420"/>
          </w:cols>
          <w:pgMar w:left="240" w:top="341" w:right="239" w:bottom="0" w:gutter="0" w:footer="0" w:header="0"/>
        </w:sectPr>
      </w:pPr>
    </w:p>
    <w:bookmarkStart w:id="24" w:name="page25"/>
    <w:bookmarkEnd w:id="24"/>
    <w:p>
      <w:pPr>
        <w:spacing w:after="0" w:line="11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with the terms thereof and constitutes a legal, valid, and binding agreement of the parties thereto, and is enforceable in accordance with its terms by the applicable Transferred Entity who is a party thereto against each counterparty thereto, except as such enforceability may be limited by the Enforceability Exceptions.</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Brokers, Finders</w:t>
      </w:r>
      <w:r>
        <w:rPr>
          <w:rFonts w:ascii="Arial" w:cs="Arial" w:eastAsia="Arial" w:hAnsi="Arial"/>
          <w:sz w:val="18"/>
          <w:szCs w:val="18"/>
          <w:color w:val="auto"/>
        </w:rPr>
        <w:t>. Except for the services of the Seller Financial Advisor, whose fees with respect to the transactions contemplated by this Agreement will be borne by Sellers, neither the Transferred Entities nor the Sellers has employed, or is subject to any valid claim of, any broker, finder, consultant or other intermediary in connection with the transactions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contemplated by this Agreement who might be entitled to a fee or commission in connection with such transactions.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u w:val="single" w:color="auto"/>
          <w:color w:val="auto"/>
        </w:rPr>
        <w:t>Board Approval</w:t>
      </w:r>
      <w:r>
        <w:rPr>
          <w:rFonts w:ascii="Arial" w:cs="Arial" w:eastAsia="Arial" w:hAnsi="Arial"/>
          <w:sz w:val="16"/>
          <w:szCs w:val="16"/>
          <w:color w:val="auto"/>
        </w:rPr>
        <w:t>. The board of directors of each Seller, by resolutions duly adopted, has approved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6"/>
          <w:szCs w:val="16"/>
          <w:u w:val="single" w:color="auto"/>
          <w:color w:val="auto"/>
        </w:rPr>
        <w:t>Environmental Health and Safety Matters</w:t>
      </w:r>
      <w:r>
        <w:rPr>
          <w:rFonts w:ascii="Arial" w:cs="Arial" w:eastAsia="Arial" w:hAnsi="Arial"/>
          <w:sz w:val="16"/>
          <w:szCs w:val="16"/>
          <w:color w:val="auto"/>
        </w:rPr>
        <w:t>. Except as set forth in</w:t>
      </w:r>
      <w:r>
        <w:rPr>
          <w:rFonts w:ascii="Arial" w:cs="Arial" w:eastAsia="Arial" w:hAnsi="Arial"/>
          <w:sz w:val="16"/>
          <w:szCs w:val="16"/>
          <w:u w:val="single" w:color="auto"/>
          <w:color w:val="auto"/>
        </w:rPr>
        <w:t xml:space="preserve"> Section 3.18 </w:t>
      </w:r>
      <w:r>
        <w:rPr>
          <w:rFonts w:ascii="Arial" w:cs="Arial" w:eastAsia="Arial" w:hAnsi="Arial"/>
          <w:sz w:val="16"/>
          <w:szCs w:val="16"/>
          <w:color w:val="auto"/>
        </w:rPr>
        <w:t>of the Sellers Disclosure Letter:</w:t>
      </w:r>
    </w:p>
    <w:p>
      <w:pPr>
        <w:spacing w:after="0" w:line="225" w:lineRule="exact"/>
        <w:rPr>
          <w:sz w:val="20"/>
          <w:szCs w:val="20"/>
          <w:color w:val="auto"/>
        </w:rPr>
      </w:pPr>
    </w:p>
    <w:p>
      <w:pPr>
        <w:ind w:right="100" w:firstLine="1305"/>
        <w:spacing w:after="0" w:line="264" w:lineRule="auto"/>
        <w:tabs>
          <w:tab w:leader="none" w:pos="194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Transferred Entities are in compliance in all material respects with all applicable Environmental Laws, including holding and complying in all material respects with all permits, certificates, licenses, approvals, registrations and authorizations required under Environmental Laws for their operations.</w:t>
      </w:r>
    </w:p>
    <w:p>
      <w:pPr>
        <w:spacing w:after="0" w:line="181" w:lineRule="exact"/>
        <w:rPr>
          <w:rFonts w:ascii="Arial" w:cs="Arial" w:eastAsia="Arial" w:hAnsi="Arial"/>
          <w:sz w:val="18"/>
          <w:szCs w:val="18"/>
          <w:color w:val="auto"/>
        </w:rPr>
      </w:pPr>
    </w:p>
    <w:p>
      <w:pPr>
        <w:ind w:right="420" w:firstLine="1305"/>
        <w:spacing w:after="0" w:line="277" w:lineRule="auto"/>
        <w:tabs>
          <w:tab w:leader="none" w:pos="19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Transferred Entities are not subject to any pending Action or written notice from a Governmental Entity alleging that the Transferred Entities are in violation of, or have liability under, any Environmental Law.</w:t>
      </w:r>
    </w:p>
    <w:p>
      <w:pPr>
        <w:spacing w:after="0" w:line="170" w:lineRule="exact"/>
        <w:rPr>
          <w:rFonts w:ascii="Arial" w:cs="Arial" w:eastAsia="Arial" w:hAnsi="Arial"/>
          <w:sz w:val="18"/>
          <w:szCs w:val="18"/>
          <w:color w:val="auto"/>
        </w:rPr>
      </w:pPr>
    </w:p>
    <w:p>
      <w:pPr>
        <w:ind w:right="460" w:firstLine="1305"/>
        <w:spacing w:after="0" w:line="342" w:lineRule="auto"/>
        <w:tabs>
          <w:tab w:leader="none" w:pos="19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the Knowledge of Sellers, there has been no Release of Hazardous Materials at any Business Real Property in an amount, manner or condition that would reasonably be expected to result in material liability to the Transferred Entities under applicable Environmental Laws.</w:t>
      </w:r>
    </w:p>
    <w:p>
      <w:pPr>
        <w:spacing w:after="0" w:line="123" w:lineRule="exact"/>
        <w:rPr>
          <w:rFonts w:ascii="Arial" w:cs="Arial" w:eastAsia="Arial" w:hAnsi="Arial"/>
          <w:sz w:val="16"/>
          <w:szCs w:val="16"/>
          <w:color w:val="auto"/>
        </w:rPr>
      </w:pPr>
    </w:p>
    <w:p>
      <w:pPr>
        <w:ind w:right="340" w:firstLine="1305"/>
        <w:spacing w:after="0" w:line="277" w:lineRule="auto"/>
        <w:tabs>
          <w:tab w:leader="none" w:pos="19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Sellers have made available to Purchasers copies of all material written environmental assessments, audits, and reports in their possession and relating to the Business or any Business Real Property.</w:t>
      </w:r>
    </w:p>
    <w:p>
      <w:pPr>
        <w:spacing w:after="0" w:line="170" w:lineRule="exact"/>
        <w:rPr>
          <w:rFonts w:ascii="Arial" w:cs="Arial" w:eastAsia="Arial" w:hAnsi="Arial"/>
          <w:sz w:val="18"/>
          <w:szCs w:val="18"/>
          <w:color w:val="auto"/>
        </w:rPr>
      </w:pPr>
    </w:p>
    <w:p>
      <w:pPr>
        <w:ind w:right="100" w:firstLine="1305"/>
        <w:spacing w:after="0" w:line="259" w:lineRule="auto"/>
        <w:tabs>
          <w:tab w:leader="none" w:pos="19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Without limiting the generality of the foregoing, none of the Transferred Entities have any outstanding material indemnification obligation, or any unresolved material enforcement action or liability, pursuant to any Environmental Law, including but not limited to, any investigation, cleanup, removal action, response action, remediation, or corrective action obligation, relating to the Business Real Property or, to the Knowledge of Sellers, to any (i) formerly owned or operated property, or (ii) offsite disposal location.</w:t>
      </w:r>
    </w:p>
    <w:p>
      <w:pPr>
        <w:spacing w:after="0" w:line="186" w:lineRule="exact"/>
        <w:rPr>
          <w:rFonts w:ascii="Arial" w:cs="Arial" w:eastAsia="Arial" w:hAnsi="Arial"/>
          <w:sz w:val="18"/>
          <w:szCs w:val="18"/>
          <w:color w:val="auto"/>
        </w:rPr>
      </w:pPr>
    </w:p>
    <w:p>
      <w:pPr>
        <w:ind w:right="40" w:firstLine="1305"/>
        <w:spacing w:after="0" w:line="259" w:lineRule="auto"/>
        <w:tabs>
          <w:tab w:leader="none" w:pos="19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None of the Transferred Entities has treated, stored, disposed of, arranged for or permitted the disposal of, transported, handled, or released any Hazardous Material in material violation of any Environmental Laws, or in a manner that would reasonably be expected to result in material liability (including, but not limited to, any material obligation to conduct an investigation, cleanup, removal action, response action, remediation or corrective action) to any of the Transferred Entities under applicable Environmental Laws.</w:t>
      </w:r>
    </w:p>
    <w:p>
      <w:pPr>
        <w:spacing w:after="0" w:line="186" w:lineRule="exact"/>
        <w:rPr>
          <w:rFonts w:ascii="Arial" w:cs="Arial" w:eastAsia="Arial" w:hAnsi="Arial"/>
          <w:sz w:val="18"/>
          <w:szCs w:val="18"/>
          <w:color w:val="auto"/>
        </w:rPr>
      </w:pPr>
    </w:p>
    <w:p>
      <w:pPr>
        <w:ind w:right="100" w:firstLine="1305"/>
        <w:spacing w:after="0" w:line="264" w:lineRule="auto"/>
        <w:tabs>
          <w:tab w:leader="none" w:pos="19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the Knowledge of Sellers, neither this Agreement nor the consummation of the transactions contemplated hereby will result in any obligations for site investigation or cleanup, or notification to or consent of any Governmental Entity or third parties, pursuant to any of the so-called “transaction-triggered” or “responsible property transfer” Environmental Laws.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88" w:lineRule="auto"/>
        <w:tabs>
          <w:tab w:leader="none" w:pos="1942"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Sellers have made available to Purchasers true and complete copies of each Transferred Entity Benefit Plan and all amendments thereto together with the most recent annual report, if required by Law, summary plan description and any material modifications thereto, actuarial valuation report prepared in connection with any such Benefit Plan and all trust agreements, insurance contracts and other funding vehicles relating thereto.</w:t>
      </w: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3.19(a)</w:t>
      </w:r>
      <w:r>
        <w:rPr>
          <w:rFonts w:ascii="Arial" w:cs="Arial" w:eastAsia="Arial" w:hAnsi="Arial"/>
          <w:sz w:val="18"/>
          <w:szCs w:val="18"/>
          <w:color w:val="auto"/>
        </w:rPr>
        <w:t xml:space="preserve"> of the Sellers Disclosure Letter lists all material Benefit Plans, specifically identifying each Transferred Entity Benefit Plan.</w:t>
      </w:r>
    </w:p>
    <w:p>
      <w:pPr>
        <w:spacing w:after="0" w:line="210" w:lineRule="exact"/>
        <w:rPr>
          <w:rFonts w:ascii="Arial" w:cs="Arial" w:eastAsia="Arial" w:hAnsi="Arial"/>
          <w:sz w:val="16"/>
          <w:szCs w:val="16"/>
          <w:color w:val="auto"/>
        </w:rPr>
      </w:pPr>
    </w:p>
    <w:p>
      <w:pPr>
        <w:ind w:right="160" w:firstLine="1305"/>
        <w:spacing w:after="0" w:line="255" w:lineRule="auto"/>
        <w:tabs>
          <w:tab w:leader="none" w:pos="19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Benefit Plan that is intended to be qualified under Section 401(a) of the Code and each trust created under any such Benefit Plan that is intended to be exempt from tax under Section 501(a) of the Code has received a favorable determination or opinion letter from the IRS. Sellers have made available to Purchasers the most recent determination or opinion letter of the Internal Revenue Service relating to each such Benefit Plan. Any such IRS determination or opinion letter remains in effect and has not been revoked by the IRS. Each Benefit Plan has been maintained in material compliance with its terms and with the requirements prescribed by any and all applicable statutes, orders, rules and regulations, including ERISA and the Code.</w:t>
      </w:r>
    </w:p>
    <w:p>
      <w:pPr>
        <w:spacing w:after="0" w:line="193" w:lineRule="exact"/>
        <w:rPr>
          <w:rFonts w:ascii="Arial" w:cs="Arial" w:eastAsia="Arial" w:hAnsi="Arial"/>
          <w:sz w:val="18"/>
          <w:szCs w:val="18"/>
          <w:color w:val="auto"/>
        </w:rPr>
      </w:pPr>
    </w:p>
    <w:p>
      <w:pPr>
        <w:ind w:right="80" w:firstLine="1305"/>
        <w:spacing w:after="0" w:line="257" w:lineRule="auto"/>
        <w:tabs>
          <w:tab w:leader="none" w:pos="19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are no pending or, to the Knowledge of Sellers, threatened claims (other than claims for benefits in the ordinary course), investigations, lawsuits or arbitrations which have been asserted or instituted against any Benefit Plan, any fiduciaries thereof with respect to their duties to any Benefit Plan or the assets of any of the trusts under any of such Benefit Plans which would reasonably be expected to result in any liability of Purchasers or any of its Affiliates to the PBGC, the Department of Treasury, the Department of Labor, or any other Governmental Entity, to any of such Benefit Plan or to any participant or beneficiary of any such Benefit Plan.</w:t>
      </w:r>
    </w:p>
    <w:p>
      <w:pPr>
        <w:spacing w:after="0" w:line="188" w:lineRule="exact"/>
        <w:rPr>
          <w:rFonts w:ascii="Arial" w:cs="Arial" w:eastAsia="Arial" w:hAnsi="Arial"/>
          <w:sz w:val="18"/>
          <w:szCs w:val="18"/>
          <w:color w:val="auto"/>
        </w:rPr>
      </w:pPr>
    </w:p>
    <w:p>
      <w:pPr>
        <w:ind w:right="80" w:firstLine="1305"/>
        <w:spacing w:after="0" w:line="264" w:lineRule="auto"/>
        <w:tabs>
          <w:tab w:leader="none" w:pos="19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Transferred Entity Benefit Plan is (i) a plan subject to Title IV of ERISA, (ii) an arrangement providing post-employment welfare benefits or (iii) a self-insured welfare benefit plan. No Transferred Entity Benefit Plan is a “multiemployer plan” within the meaning of Section 4001 (a)(3) of ERISA.</w:t>
      </w:r>
    </w:p>
    <w:p>
      <w:pPr>
        <w:spacing w:after="0" w:line="181" w:lineRule="exact"/>
        <w:rPr>
          <w:rFonts w:ascii="Arial" w:cs="Arial" w:eastAsia="Arial" w:hAnsi="Arial"/>
          <w:sz w:val="18"/>
          <w:szCs w:val="18"/>
          <w:color w:val="auto"/>
        </w:rPr>
      </w:pPr>
    </w:p>
    <w:p>
      <w:pPr>
        <w:ind w:firstLine="1305"/>
        <w:spacing w:after="0" w:line="312" w:lineRule="auto"/>
        <w:tabs>
          <w:tab w:leader="none" w:pos="1955"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3.19(e)</w:t>
      </w:r>
      <w:r>
        <w:rPr>
          <w:rFonts w:ascii="Arial" w:cs="Arial" w:eastAsia="Arial" w:hAnsi="Arial"/>
          <w:sz w:val="16"/>
          <w:szCs w:val="16"/>
          <w:color w:val="auto"/>
        </w:rPr>
        <w:t xml:space="preserve"> of the Sellers Disclosure Letter, the execution of and performance of the transactions contemplated by this Agreement will not (either alone or upon the occurrence of any additional or subsequent events) result in any payment to or acceleration, vesting or increase in the rights of any Transferred Entity Employee under any Benefit Plan. No payment or benefit which is or may be made or provided by,</w:t>
      </w:r>
    </w:p>
    <w:p>
      <w:pPr>
        <w:sectPr>
          <w:pgSz w:w="11900" w:h="16952" w:orient="portrait"/>
          <w:cols w:equalWidth="0" w:num="1">
            <w:col w:w="11400"/>
          </w:cols>
          <w:pgMar w:left="240" w:top="125" w:right="259" w:bottom="0" w:gutter="0" w:footer="0" w:header="0"/>
        </w:sectPr>
      </w:pPr>
    </w:p>
    <w:bookmarkStart w:id="25" w:name="page26"/>
    <w:bookmarkEnd w:id="25"/>
    <w:p>
      <w:pPr>
        <w:spacing w:after="0" w:line="1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from or with respect to any Benefit Plan in connection with the transactions contemplated by this Agreement to any Transferred Entity Employee constitutes an “excess parachute payment” under Section 280G of the Code.</w:t>
      </w:r>
    </w:p>
    <w:p>
      <w:pPr>
        <w:spacing w:after="0" w:line="170" w:lineRule="exact"/>
        <w:rPr>
          <w:sz w:val="20"/>
          <w:szCs w:val="20"/>
          <w:color w:val="auto"/>
        </w:rPr>
      </w:pPr>
    </w:p>
    <w:p>
      <w:pPr>
        <w:ind w:right="140" w:firstLine="1305"/>
        <w:spacing w:after="0" w:line="264" w:lineRule="auto"/>
        <w:tabs>
          <w:tab w:leader="none" w:pos="19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Transferred Entity Benefit Plan, or Transferred Entity Employee or other service provider of the Transferred Entities is, or would reasonably in the future expect to be, subject to additional Tax or interest imposed under Section 409A or 457(A)(c) of the Code by virtue of the form or operation of any Benefit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u w:val="single" w:color="auto"/>
          <w:color w:val="auto"/>
        </w:rPr>
        <w:t>Products; Recalls</w:t>
      </w:r>
      <w:r>
        <w:rPr>
          <w:rFonts w:ascii="Arial" w:cs="Arial" w:eastAsia="Arial" w:hAnsi="Arial"/>
          <w:sz w:val="16"/>
          <w:szCs w:val="16"/>
          <w:color w:val="auto"/>
        </w:rPr>
        <w:t>. Since January 1, 2012:</w:t>
      </w:r>
    </w:p>
    <w:p>
      <w:pPr>
        <w:spacing w:after="0" w:line="225" w:lineRule="exact"/>
        <w:rPr>
          <w:sz w:val="20"/>
          <w:szCs w:val="20"/>
          <w:color w:val="auto"/>
        </w:rPr>
      </w:pPr>
    </w:p>
    <w:p>
      <w:pPr>
        <w:jc w:val="both"/>
        <w:ind w:right="180" w:firstLine="1305"/>
        <w:spacing w:after="0" w:line="286" w:lineRule="auto"/>
        <w:tabs>
          <w:tab w:leader="none" w:pos="1942" w:val="left"/>
        </w:tabs>
        <w:numPr>
          <w:ilvl w:val="1"/>
          <w:numId w:val="55"/>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have or reasonably be expected to have a Material Adverse Effect, all Products manufactured and supplied by the Transferred Entities in respect of the Business: (i) were manufactured in compliance with applicable Law, including applicable cGMPs or Similar Laws; (ii) conformed to the specifications for the manufacture, storage, and handling of such Product in effect at the time of delivery thereof; (iii) at the time of delivery thereof, were not adulterated or misbranded within the meaning of the FDCA or Similar Laws;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conformed to the Certificate of Analysis and Conformity supplied with the shipment of such Product; and</w:t>
      </w:r>
    </w:p>
    <w:p>
      <w:pPr>
        <w:spacing w:after="0" w:line="210" w:lineRule="exact"/>
        <w:rPr>
          <w:rFonts w:ascii="Arial" w:cs="Arial" w:eastAsia="Arial" w:hAnsi="Arial"/>
          <w:sz w:val="18"/>
          <w:szCs w:val="18"/>
          <w:color w:val="auto"/>
        </w:rPr>
      </w:pPr>
    </w:p>
    <w:p>
      <w:pPr>
        <w:ind w:right="140" w:firstLine="1305"/>
        <w:spacing w:after="0" w:line="312" w:lineRule="auto"/>
        <w:tabs>
          <w:tab w:leader="none" w:pos="1952"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to the Knowledge of Sellers, except as set forth in </w:t>
      </w:r>
      <w:r>
        <w:rPr>
          <w:rFonts w:ascii="Arial" w:cs="Arial" w:eastAsia="Arial" w:hAnsi="Arial"/>
          <w:sz w:val="16"/>
          <w:szCs w:val="16"/>
          <w:u w:val="single" w:color="auto"/>
          <w:color w:val="auto"/>
        </w:rPr>
        <w:t>Section 3.20(b)</w:t>
      </w:r>
      <w:r>
        <w:rPr>
          <w:rFonts w:ascii="Arial" w:cs="Arial" w:eastAsia="Arial" w:hAnsi="Arial"/>
          <w:sz w:val="16"/>
          <w:szCs w:val="16"/>
          <w:color w:val="auto"/>
        </w:rPr>
        <w:t xml:space="preserve"> of the Sellers Disclosure Letter, there have been no product recalls, safety alerts, withdrawals, clinical holds, marketing suspensions, removals or the like conducted, undertaken or issued by any Person, whether or not at the request, demand or order of any Governmental Entity or otherwise, related to the manufacture of the Products by the Transferred Entities.</w:t>
      </w:r>
    </w:p>
    <w:p>
      <w:pPr>
        <w:spacing w:after="0" w:line="14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Other than pursuant to any Benefit Plan or other compensatory arrangement, and excluding this Agreement, the Ancillary Agreements and the transactions contemplated hereby and thereby, no executive officer or director of any Seller, Transferred Entity, Parent or their respective Affiliates (i) is party to any Contract with or binding upon a Transferred Entity, (ii) has any interest in property owned by a Transferred Entity or</w:t>
      </w:r>
    </w:p>
    <w:p>
      <w:pPr>
        <w:ind w:right="200" w:firstLine="8"/>
        <w:spacing w:after="0" w:line="273" w:lineRule="auto"/>
        <w:tabs>
          <w:tab w:leader="none" w:pos="315"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has engaged in any transaction with any Transferred Entity within the twelve (12) months preceding the date of this Agreement. Since January 1, 2014, except as disclosed in </w:t>
      </w:r>
      <w:r>
        <w:rPr>
          <w:rFonts w:ascii="Arial" w:cs="Arial" w:eastAsia="Arial" w:hAnsi="Arial"/>
          <w:sz w:val="17"/>
          <w:szCs w:val="17"/>
          <w:u w:val="single" w:color="auto"/>
          <w:color w:val="auto"/>
        </w:rPr>
        <w:t>Section 3.21</w:t>
      </w:r>
      <w:r>
        <w:rPr>
          <w:rFonts w:ascii="Arial" w:cs="Arial" w:eastAsia="Arial" w:hAnsi="Arial"/>
          <w:sz w:val="17"/>
          <w:szCs w:val="17"/>
          <w:color w:val="auto"/>
        </w:rPr>
        <w:t xml:space="preserve"> of the Sellers Disclosure Letter, and excluding this Agreement, the Ancillary Agreements and the transactions contemplated hereby and thereby, there have been no Contracts between either Seller and/or any of its Affiliates (other than any Transferred Entity), on the one hand, and any Transferred Entity, on the other hand (each a “</w:t>
      </w:r>
      <w:r>
        <w:rPr>
          <w:rFonts w:ascii="Arial" w:cs="Arial" w:eastAsia="Arial" w:hAnsi="Arial"/>
          <w:sz w:val="17"/>
          <w:szCs w:val="17"/>
          <w:u w:val="single" w:color="auto"/>
          <w:color w:val="auto"/>
        </w:rPr>
        <w:t>Related Party Agreement</w:t>
      </w:r>
      <w:r>
        <w:rPr>
          <w:rFonts w:ascii="Arial" w:cs="Arial" w:eastAsia="Arial" w:hAnsi="Arial"/>
          <w:sz w:val="17"/>
          <w:szCs w:val="17"/>
          <w:color w:val="auto"/>
        </w:rPr>
        <w:t>”).</w:t>
      </w:r>
    </w:p>
    <w:p>
      <w:pPr>
        <w:spacing w:after="0" w:line="17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3.22 </w:t>
      </w:r>
      <w:r>
        <w:rPr>
          <w:rFonts w:ascii="Arial" w:cs="Arial" w:eastAsia="Arial" w:hAnsi="Arial"/>
          <w:sz w:val="17"/>
          <w:szCs w:val="17"/>
          <w:u w:val="single" w:color="auto"/>
          <w:color w:val="auto"/>
        </w:rPr>
        <w:t>Customers and Suppliers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of the Sellers Disclosure Letter, since January 1, 2014, no Significant Customer or Significant Supplier has amended, or proposed in writing, or to the Knowledge of Sellers, proposed orally, to amend, any material terms of, or terminated any Contract with a Transferred Entity in accordance with the terms thereof or has otherwise indicated in writing or, to the Knowledge of Sellers, orally, that they will cease to use or sell to the Transferred Entities, or will substantially reduce the use of services of or sale to the Transferred Entities. Except as set forth on the </w:t>
      </w: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of the Sellers Disclosure Letter, the execution, delivery and performance of this Agreement by the Sellers does not, and the consummation of the transactions contemplated hereby, including the Reorganization, by the Sellers will not, constitute or result in a breach or violation of or a default under, or require consent under, any Contract with a Significant Customer or Significant Supplier.</w:t>
      </w:r>
    </w:p>
    <w:p>
      <w:pPr>
        <w:spacing w:after="0" w:line="17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Accounts Receivable</w:t>
      </w:r>
      <w:r>
        <w:rPr>
          <w:rFonts w:ascii="Arial" w:cs="Arial" w:eastAsia="Arial" w:hAnsi="Arial"/>
          <w:sz w:val="18"/>
          <w:szCs w:val="18"/>
          <w:color w:val="auto"/>
        </w:rPr>
        <w:t>. The accounts receivable reflected on the Business Balance Sheet and the accounts receivable arising after the date thereof (a) have arisen from bona fide transactions entered into by the Transferred Entities involving the sale of goods or the rendering of services in the ordinary course of business consistent with past practice and (b) constitute, to the Knowledge of Sellers, only undisputed claims of the Transferred Entities not subject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claims of set-off or other defenses or counterclaims other than normal cash discounts accrued in the ordinary course of business consistent with past practice. The reserve for bad debts shown on the Business Balance Sheet or, with respect to accounts receivable arising after the Balance Sheet Date, on the accounting records of the Transferred Entities have been determined in accordance with GAAP, consistently applied.</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u w:val="single" w:color="auto"/>
          <w:color w:val="auto"/>
        </w:rPr>
        <w:t>Regulatory Matters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5" w:lineRule="auto"/>
        <w:tabs>
          <w:tab w:leader="none" w:pos="1942"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As set forth in </w:t>
      </w:r>
      <w:r>
        <w:rPr>
          <w:rFonts w:ascii="Arial" w:cs="Arial" w:eastAsia="Arial" w:hAnsi="Arial"/>
          <w:sz w:val="18"/>
          <w:szCs w:val="18"/>
          <w:u w:val="single" w:color="auto"/>
          <w:color w:val="auto"/>
        </w:rPr>
        <w:t>Section 3.10(a)</w:t>
      </w:r>
      <w:r>
        <w:rPr>
          <w:rFonts w:ascii="Arial" w:cs="Arial" w:eastAsia="Arial" w:hAnsi="Arial"/>
          <w:sz w:val="18"/>
          <w:szCs w:val="18"/>
          <w:color w:val="auto"/>
        </w:rPr>
        <w:t xml:space="preserve"> of the Sellers Disclosure Letter, and as limited by </w:t>
      </w:r>
      <w:r>
        <w:rPr>
          <w:rFonts w:ascii="Arial" w:cs="Arial" w:eastAsia="Arial" w:hAnsi="Arial"/>
          <w:sz w:val="18"/>
          <w:szCs w:val="18"/>
          <w:u w:val="single" w:color="auto"/>
          <w:color w:val="auto"/>
        </w:rPr>
        <w:t>Section 3.10(b)</w:t>
      </w:r>
      <w:r>
        <w:rPr>
          <w:rFonts w:ascii="Arial" w:cs="Arial" w:eastAsia="Arial" w:hAnsi="Arial"/>
          <w:sz w:val="18"/>
          <w:szCs w:val="18"/>
          <w:color w:val="auto"/>
        </w:rPr>
        <w:t xml:space="preserve">, Sellers have provided a complete and accurate list of all material Licenses necessary for the lawful operation of the Business as issued, granted, given or otherwise made available by any Governmental Entity, specifically including, but not limited to, those Licenses issued under the FDCA, Public Health Service Act of 1944, and regulations promulgated by the FDA. Subject to </w:t>
      </w:r>
      <w:r>
        <w:rPr>
          <w:rFonts w:ascii="Arial" w:cs="Arial" w:eastAsia="Arial" w:hAnsi="Arial"/>
          <w:sz w:val="18"/>
          <w:szCs w:val="18"/>
          <w:u w:val="single" w:color="auto"/>
          <w:color w:val="auto"/>
        </w:rPr>
        <w:t>Section 3.10(b)</w:t>
      </w:r>
      <w:r>
        <w:rPr>
          <w:rFonts w:ascii="Arial" w:cs="Arial" w:eastAsia="Arial" w:hAnsi="Arial"/>
          <w:sz w:val="18"/>
          <w:szCs w:val="18"/>
          <w:color w:val="auto"/>
        </w:rPr>
        <w:t xml:space="preserve"> of the Sellers Disclosure Letter, each material License (i) is in the name of the Transferred Entity and is in full force and effect and (ii) is not subject to any pending or, to the Knowledge of Sellers, threatened Action or other proceeding for the purposes of revoking, limiting, amending or withdrawing such License.</w:t>
      </w:r>
    </w:p>
    <w:p>
      <w:pPr>
        <w:spacing w:after="0" w:line="193" w:lineRule="exact"/>
        <w:rPr>
          <w:rFonts w:ascii="Arial" w:cs="Arial" w:eastAsia="Arial" w:hAnsi="Arial"/>
          <w:sz w:val="18"/>
          <w:szCs w:val="18"/>
          <w:color w:val="auto"/>
        </w:rPr>
      </w:pPr>
    </w:p>
    <w:p>
      <w:pPr>
        <w:jc w:val="both"/>
        <w:ind w:right="120" w:firstLine="1305"/>
        <w:spacing w:after="0" w:line="286" w:lineRule="auto"/>
        <w:tabs>
          <w:tab w:leader="none" w:pos="195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 the Knowledge of Sellers, since January 1, 2012, the Transferred Entities have complied in all material respects with all Laws as set forth by the FDA or applicable Governmental Entity relating to the Business. To the Knowledge of Sellers, the Transferred Entities have not made any material misrepresentations or fraudulent statements to the FDA or applicable Governmental Entity relating to the Business.</w:t>
      </w:r>
    </w:p>
    <w:p>
      <w:pPr>
        <w:spacing w:after="0" w:line="165" w:lineRule="exact"/>
        <w:rPr>
          <w:rFonts w:ascii="Arial" w:cs="Arial" w:eastAsia="Arial" w:hAnsi="Arial"/>
          <w:sz w:val="17"/>
          <w:szCs w:val="17"/>
          <w:color w:val="auto"/>
        </w:rPr>
      </w:pPr>
    </w:p>
    <w:p>
      <w:pPr>
        <w:ind w:right="120" w:firstLine="1305"/>
        <w:spacing w:after="0" w:line="257" w:lineRule="auto"/>
        <w:tabs>
          <w:tab w:leader="none" w:pos="19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the Knowledge of Sellers, since January 1, 2012, except as would not, individually or in the aggregate, have or reasonably be expected to have a Material Adverse Effect, Products manufactured by the Transferred Entities in respect of the Business have complied in all material respects with current Good Manufacturing Practices (“</w:t>
      </w:r>
      <w:r>
        <w:rPr>
          <w:rFonts w:ascii="Arial" w:cs="Arial" w:eastAsia="Arial" w:hAnsi="Arial"/>
          <w:sz w:val="18"/>
          <w:szCs w:val="18"/>
          <w:u w:val="single" w:color="auto"/>
          <w:color w:val="auto"/>
        </w:rPr>
        <w:t>cGMPs</w:t>
      </w:r>
      <w:r>
        <w:rPr>
          <w:rFonts w:ascii="Arial" w:cs="Arial" w:eastAsia="Arial" w:hAnsi="Arial"/>
          <w:sz w:val="18"/>
          <w:szCs w:val="18"/>
          <w:color w:val="auto"/>
        </w:rPr>
        <w:t>”) and, at the time of delivery thereof, were not adulterated or misbranded within the meaning of the FDCA. To the Knowledge of Sellers, neither the FDA nor any Governmental Entity is currently alleging non-compliance with cGMPs and no pending clinical trial is subject to termination or suspension relating to the Products.</w:t>
      </w:r>
    </w:p>
    <w:p>
      <w:pPr>
        <w:spacing w:after="0" w:line="188" w:lineRule="exact"/>
        <w:rPr>
          <w:rFonts w:ascii="Arial" w:cs="Arial" w:eastAsia="Arial" w:hAnsi="Arial"/>
          <w:sz w:val="18"/>
          <w:szCs w:val="18"/>
          <w:color w:val="auto"/>
        </w:rPr>
      </w:pPr>
    </w:p>
    <w:p>
      <w:pPr>
        <w:ind w:right="220" w:firstLine="1305"/>
        <w:spacing w:after="0" w:line="277" w:lineRule="auto"/>
        <w:tabs>
          <w:tab w:leader="none" w:pos="19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of the Sellers Disclosure Letter, the Transferred Entities are not currently subject to any Action brought by the FDA or other Governmental Entity in respect of the Business.</w:t>
      </w:r>
    </w:p>
    <w:p>
      <w:pPr>
        <w:spacing w:after="0" w:line="170" w:lineRule="exact"/>
        <w:rPr>
          <w:rFonts w:ascii="Arial" w:cs="Arial" w:eastAsia="Arial" w:hAnsi="Arial"/>
          <w:sz w:val="18"/>
          <w:szCs w:val="18"/>
          <w:color w:val="auto"/>
        </w:rPr>
      </w:pPr>
    </w:p>
    <w:p>
      <w:pPr>
        <w:jc w:val="both"/>
        <w:ind w:right="80" w:firstLine="1305"/>
        <w:spacing w:after="0" w:line="342" w:lineRule="auto"/>
        <w:tabs>
          <w:tab w:leader="none" w:pos="19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the Knowledge of Sellers, since January 1, 2012, neither the Transferred Entities, nor any individual who is an officer, director, employee, stockholder, agent or managing agent of any Transferred Entity, have been subject to an Action that has resulted in exclusion from a governmental</w:t>
      </w:r>
    </w:p>
    <w:p>
      <w:pPr>
        <w:sectPr>
          <w:pgSz w:w="11900" w:h="16975" w:orient="portrait"/>
          <w:cols w:equalWidth="0" w:num="1">
            <w:col w:w="11420"/>
          </w:cols>
          <w:pgMar w:left="240" w:top="125" w:right="239" w:bottom="0" w:gutter="0" w:footer="0" w:header="0"/>
        </w:sectPr>
      </w:pPr>
    </w:p>
    <w:bookmarkStart w:id="26" w:name="page27"/>
    <w:bookmarkEnd w:id="26"/>
    <w:p>
      <w:pPr>
        <w:ind w:right="20"/>
        <w:spacing w:after="0" w:line="277" w:lineRule="auto"/>
        <w:rPr>
          <w:sz w:val="20"/>
          <w:szCs w:val="20"/>
          <w:color w:val="auto"/>
        </w:rPr>
      </w:pPr>
      <w:r>
        <w:rPr>
          <w:rFonts w:ascii="Arial" w:cs="Arial" w:eastAsia="Arial" w:hAnsi="Arial"/>
          <w:sz w:val="18"/>
          <w:szCs w:val="18"/>
          <w:color w:val="auto"/>
        </w:rPr>
        <w:t>or private health care program under which the Products have been reimbursed or have been subject to a debarment proceeding under 21 U.S.C. § 335a; nor is any such proceeding relating to debarment currently pending.</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5"/>
          <w:szCs w:val="15"/>
          <w:u w:val="single" w:color="auto"/>
          <w:color w:val="auto"/>
        </w:rPr>
        <w:t>Investor Representations</w:t>
      </w:r>
      <w:r>
        <w:rPr>
          <w:rFonts w:ascii="Arial" w:cs="Arial" w:eastAsia="Arial" w:hAnsi="Arial"/>
          <w:sz w:val="15"/>
          <w:szCs w:val="15"/>
          <w:color w:val="auto"/>
        </w:rPr>
        <w:t>.</w:t>
      </w:r>
    </w:p>
    <w:p>
      <w:pPr>
        <w:spacing w:after="0" w:line="225" w:lineRule="exact"/>
        <w:rPr>
          <w:sz w:val="20"/>
          <w:szCs w:val="20"/>
          <w:color w:val="auto"/>
        </w:rPr>
      </w:pPr>
    </w:p>
    <w:p>
      <w:pPr>
        <w:ind w:right="80" w:firstLine="1305"/>
        <w:spacing w:after="0" w:line="277" w:lineRule="auto"/>
        <w:tabs>
          <w:tab w:leader="none" w:pos="1942"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Sellers are acquiring the Warrant and the shares issuable upon its exercise for their own account, for investment and not for, with a view to, or in connection with, any sale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or distribution thereof within the meaning of the Securities Act, and Sellers will not offer, sell or otherwise dispose of the Warrant and the shares issuable upon its exercise except as permitted by the Securities Act and any applicable state securities law.</w:t>
      </w:r>
    </w:p>
    <w:p>
      <w:pPr>
        <w:spacing w:after="0" w:line="170" w:lineRule="exact"/>
        <w:rPr>
          <w:sz w:val="20"/>
          <w:szCs w:val="20"/>
          <w:color w:val="auto"/>
        </w:rPr>
      </w:pPr>
    </w:p>
    <w:p>
      <w:pPr>
        <w:ind w:right="60" w:firstLine="1305"/>
        <w:spacing w:after="0" w:line="312" w:lineRule="auto"/>
        <w:tabs>
          <w:tab w:leader="none" w:pos="1952" w:val="left"/>
        </w:tabs>
        <w:numPr>
          <w:ilvl w:val="0"/>
          <w:numId w:val="60"/>
        </w:numPr>
        <w:rPr>
          <w:rFonts w:ascii="Arial" w:cs="Arial" w:eastAsia="Arial" w:hAnsi="Arial"/>
          <w:sz w:val="16"/>
          <w:szCs w:val="16"/>
          <w:color w:val="auto"/>
        </w:rPr>
      </w:pPr>
      <w:r>
        <w:rPr>
          <w:rFonts w:ascii="Arial" w:cs="Arial" w:eastAsia="Arial" w:hAnsi="Arial"/>
          <w:sz w:val="16"/>
          <w:szCs w:val="16"/>
          <w:color w:val="auto"/>
        </w:rPr>
        <w:t>Sellers are “accredited investors” as the term is used in Regulation D promulgated under the Securities Act and for the purposes of acquiring the Warrant and the shares issuable upon its exercise. Sellers have sufficient knowledge and experience in business and financial matters and with respect to investments so as to enable Sellers to analyze and evaluate the merits and risks of the investment contemplated hereby with respect to the Warrant.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PURCHASERS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Except as set forth in the corresponding sections or subsections of the disclosure letter delivered to Sellers prior to the date hereof (the “</w:t>
      </w:r>
      <w:r>
        <w:rPr>
          <w:rFonts w:ascii="Arial" w:cs="Arial" w:eastAsia="Arial" w:hAnsi="Arial"/>
          <w:sz w:val="17"/>
          <w:szCs w:val="17"/>
          <w:u w:val="single" w:color="auto"/>
          <w:color w:val="auto"/>
        </w:rPr>
        <w:t>Purchasers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Disclosure Letter</w:t>
      </w:r>
      <w:r>
        <w:rPr>
          <w:rFonts w:ascii="Arial" w:cs="Arial" w:eastAsia="Arial" w:hAnsi="Arial"/>
          <w:sz w:val="17"/>
          <w:szCs w:val="17"/>
          <w:color w:val="auto"/>
        </w:rPr>
        <w:t xml:space="preserve">”), Purchasers hereby make to Sellers, as of the date hereof and as of the Closing, each of the representations and warranties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it being understood that disclosure of any item in any section or subsection of the Purchasers Disclosure Letter shall also be deemed disclosure with respect to any other section or subsection to which the relevance of such item is readily apparent on its face. The representations and warranties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in any other provision of this Agreement and certificate delivered pursuant to this Agreement constitute all of the representations and warranties of Purchasers with respect to the transactions contemplated hereby:</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Organization; Authorization; Ownership</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73" w:lineRule="auto"/>
        <w:tabs>
          <w:tab w:leader="none" w:pos="1942" w:val="left"/>
        </w:tabs>
        <w:numPr>
          <w:ilvl w:val="0"/>
          <w:numId w:val="61"/>
        </w:numPr>
        <w:rPr>
          <w:rFonts w:ascii="Arial" w:cs="Arial" w:eastAsia="Arial" w:hAnsi="Arial"/>
          <w:sz w:val="17"/>
          <w:szCs w:val="17"/>
          <w:color w:val="auto"/>
        </w:rPr>
      </w:pPr>
      <w:r>
        <w:rPr>
          <w:rFonts w:ascii="Arial" w:cs="Arial" w:eastAsia="Arial" w:hAnsi="Arial"/>
          <w:sz w:val="17"/>
          <w:szCs w:val="17"/>
          <w:color w:val="auto"/>
        </w:rPr>
        <w:t>Each Purchaser is duly organized and validly existing and in good standing under the Laws of the jurisdiction of its organization and has the requisite corporate or similar power and authority to own its properties and assets and to carry on its business as it is now being conducted. Each Purchaser is duly qualified to transact business in each jurisdiction in which the nature of property owned or leased by it or the conduct of its business requires it to be so qualified, except where the failure to be so duly qualified to transact business would not, individually or in the aggregate, have or reasonably be expected to have a material adverse effect on the ability of Purchasers to consummate the transactions contemplated by this Agreement, the Ancillary Agreements, the Debt Financing Agreements and the Debt Financing.</w:t>
      </w:r>
    </w:p>
    <w:p>
      <w:pPr>
        <w:spacing w:after="0" w:line="178" w:lineRule="exact"/>
        <w:rPr>
          <w:rFonts w:ascii="Arial" w:cs="Arial" w:eastAsia="Arial" w:hAnsi="Arial"/>
          <w:sz w:val="17"/>
          <w:szCs w:val="17"/>
          <w:color w:val="auto"/>
        </w:rPr>
      </w:pPr>
    </w:p>
    <w:p>
      <w:pPr>
        <w:ind w:right="20" w:firstLine="1305"/>
        <w:spacing w:after="0" w:line="293" w:lineRule="auto"/>
        <w:tabs>
          <w:tab w:leader="none" w:pos="1952" w:val="left"/>
        </w:tabs>
        <w:numPr>
          <w:ilvl w:val="0"/>
          <w:numId w:val="61"/>
        </w:numPr>
        <w:rPr>
          <w:rFonts w:ascii="Arial" w:cs="Arial" w:eastAsia="Arial" w:hAnsi="Arial"/>
          <w:sz w:val="16"/>
          <w:szCs w:val="16"/>
          <w:color w:val="auto"/>
        </w:rPr>
      </w:pPr>
      <w:r>
        <w:rPr>
          <w:rFonts w:ascii="Arial" w:cs="Arial" w:eastAsia="Arial" w:hAnsi="Arial"/>
          <w:sz w:val="16"/>
          <w:szCs w:val="16"/>
          <w:color w:val="auto"/>
        </w:rPr>
        <w:t>Each Purchaser (i) has the requisite corporate or similar right, authority and power to execute and deliver this Agreement and to perform its obligations hereunder and to consummate the transactions contemplated hereby and (ii) will have, on or before the date of signing each Ancillary Agreement and the Debt Financing Agreements to which it will be a party, the requisite corporate or similar right, authority and power to execute and deliver the Ancillary Agreements and Debt Financing Agreements to which it will be a party and to perform its obligations thereunder and to consummate the transactions contemplated thereby. The execution, delivery and performance of this Agreement and the consummation of the transactions contemplated herein have been duly and validly authorized by all corporate or similar action in respect thereof on the part of each Purchaser. The execution, delivery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performance of each Ancillary Agreement and Debt Financing Agreement to which each Purchaser is a party and the consummation of the transactions contemplated therein will, at the time of signing of such Ancillary Agreement or Debt Financing Agreement, have been duly and validly authorized by all corporate or similar action in respect thereof on the part of each Purchaser.</w:t>
      </w:r>
    </w:p>
    <w:p>
      <w:pPr>
        <w:spacing w:after="0" w:line="181" w:lineRule="exact"/>
        <w:rPr>
          <w:sz w:val="20"/>
          <w:szCs w:val="20"/>
          <w:color w:val="auto"/>
        </w:rPr>
      </w:pPr>
    </w:p>
    <w:p>
      <w:pPr>
        <w:ind w:right="100" w:firstLine="1305"/>
        <w:spacing w:after="0" w:line="257" w:lineRule="auto"/>
        <w:tabs>
          <w:tab w:leader="none" w:pos="19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This Agreement has been, and each of the Ancillary Agreements to which each Purchaser is a party will be, on or prior to the date of signing such Ancillary Agreement, duly and validly executed and delivered by each Purchaser, and, assuming the due authorization and execution of this Agreement by Sellers, this Agreement constitutes, and, assuming the due authorization and execution of the other parties to each Ancillary Agreement, each Ancillary Agreement will constitute, the legal and binding obligation of Purchasers, enforceable against each Purchaser in accordance with its terms, except as limited by the Enforceability Exceptions.</w:t>
      </w:r>
    </w:p>
    <w:p>
      <w:pPr>
        <w:spacing w:after="0" w:line="188" w:lineRule="exact"/>
        <w:rPr>
          <w:rFonts w:ascii="Arial" w:cs="Arial" w:eastAsia="Arial" w:hAnsi="Arial"/>
          <w:sz w:val="18"/>
          <w:szCs w:val="18"/>
          <w:color w:val="auto"/>
        </w:rPr>
      </w:pPr>
    </w:p>
    <w:p>
      <w:pPr>
        <w:ind w:firstLine="1305"/>
        <w:spacing w:after="0" w:line="285" w:lineRule="auto"/>
        <w:tabs>
          <w:tab w:leader="none" w:pos="1952" w:val="left"/>
        </w:tabs>
        <w:numPr>
          <w:ilvl w:val="1"/>
          <w:numId w:val="62"/>
        </w:numPr>
        <w:rPr>
          <w:rFonts w:ascii="Arial" w:cs="Arial" w:eastAsia="Arial" w:hAnsi="Arial"/>
          <w:sz w:val="16"/>
          <w:szCs w:val="16"/>
          <w:color w:val="auto"/>
        </w:rPr>
      </w:pPr>
      <w:r>
        <w:rPr>
          <w:rFonts w:ascii="Arial" w:cs="Arial" w:eastAsia="Arial" w:hAnsi="Arial"/>
          <w:sz w:val="16"/>
          <w:szCs w:val="16"/>
          <w:color w:val="auto"/>
        </w:rPr>
        <w:t>Neither the execution, delivery and performance of this Agreement and the Ancillary Agreements, nor the consummation of the transactions contemplated hereby and thereby, will (i) conflict with or violate any provision of any Governing Documents of Purchasers, (ii) constitute or result in a default under, violate any provision of, or be an event that is (or with the passage of time will result in) a violation of, or result in the acceleration of or entitle any party to accelerate or exercise (whether after the giving of notice or lapse of time or both) any obligation or right under, or result in the imposition of any Lien, any material Contract, instrument, order, arbitration award, judgment or decree to which any Purchaser is a party or by it is bound, or</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violate or conflict with any Law or other restriction of any kind or character to which any Purchaser is subject, that, in the case of clauses (ii) or</w:t>
      </w:r>
    </w:p>
    <w:p>
      <w:pPr>
        <w:spacing w:after="0" w:line="21" w:lineRule="exact"/>
        <w:rPr>
          <w:sz w:val="20"/>
          <w:szCs w:val="20"/>
          <w:color w:val="auto"/>
        </w:rPr>
      </w:pPr>
    </w:p>
    <w:p>
      <w:pPr>
        <w:ind w:right="160" w:firstLine="8"/>
        <w:spacing w:after="0" w:line="261" w:lineRule="auto"/>
        <w:tabs>
          <w:tab w:leader="none" w:pos="3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would, individually or in the aggregate, have or reasonably be expected to have a material adverse effect on the ability of Purchasers to consummate the transactions contemplated by this Agreement, the Ancillary Agreements, and the Debt Financing Agreements.</w:t>
      </w:r>
    </w:p>
    <w:p>
      <w:pPr>
        <w:spacing w:after="0" w:line="184" w:lineRule="exact"/>
        <w:rPr>
          <w:sz w:val="20"/>
          <w:szCs w:val="20"/>
          <w:color w:val="auto"/>
        </w:rPr>
      </w:pPr>
    </w:p>
    <w:p>
      <w:pPr>
        <w:ind w:left="1960" w:hanging="655"/>
        <w:spacing w:after="0"/>
        <w:tabs>
          <w:tab w:leader="none" w:pos="1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Recro is the sole beneficial and record owner of all of the outstanding membership interests of Acquisition Sub.</w:t>
      </w:r>
    </w:p>
    <w:p>
      <w:pPr>
        <w:spacing w:after="0" w:line="225"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No Consents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of the Purchasers Disclosure Letter contains a list of all registrations, filings, applications, notices, consents, approvals, orders, qualifications and waivers required to be made, filed, given or obtained by Purchasers or any of their Subsidiaries with, to or from any Persons or Governmental Entities in connection with the consummation of this Agreement or the Ancillary Agreements or the other transactions contemplated hereby or thereby, except for those with respect to which the failure to make, file, give or obtain would not, individually or in the aggregate,</w:t>
      </w:r>
    </w:p>
    <w:p>
      <w:pPr>
        <w:sectPr>
          <w:pgSz w:w="11900" w:h="16838" w:orient="portrait"/>
          <w:cols w:equalWidth="0" w:num="1">
            <w:col w:w="11420"/>
          </w:cols>
          <w:pgMar w:left="240" w:top="125" w:right="239" w:bottom="0" w:gutter="0" w:footer="0" w:header="0"/>
        </w:sectPr>
      </w:pPr>
    </w:p>
    <w:bookmarkStart w:id="27" w:name="page28"/>
    <w:bookmarkEnd w:id="27"/>
    <w:p>
      <w:pPr>
        <w:spacing w:after="0" w:line="1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have a material adverse effect on the ability of Purchasers to consummate the transactions contemplated by this Agreement, the Ancillary Agreements and the Debt Financing Agreements.</w:t>
      </w:r>
    </w:p>
    <w:p>
      <w:pPr>
        <w:spacing w:after="0" w:line="170"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conduct of the business of Purchasers and their Subsidiaries complies in all material respects with all Laws which would affect their ability to perform their obligations hereunder and under the Ancillary Agreements and the Debt Financing Agreements.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Brokers; Finders</w:t>
      </w:r>
      <w:r>
        <w:rPr>
          <w:rFonts w:ascii="Arial" w:cs="Arial" w:eastAsia="Arial" w:hAnsi="Arial"/>
          <w:sz w:val="18"/>
          <w:szCs w:val="18"/>
          <w:color w:val="auto"/>
        </w:rPr>
        <w:t>. No broker, finder or investment banker is entitled to any brokerage, finder’s or other fee or commission in connection with the transactions contemplated by this Agreement based upon arrangements made by or on behalf of Purchasers.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Acquisition of Transferred Interests for Investment</w:t>
      </w:r>
      <w:r>
        <w:rPr>
          <w:rFonts w:ascii="Arial" w:cs="Arial" w:eastAsia="Arial" w:hAnsi="Arial"/>
          <w:sz w:val="17"/>
          <w:szCs w:val="17"/>
          <w:color w:val="auto"/>
        </w:rPr>
        <w:t>. Purchasers have such knowledge and experience in financial and business matters, and are capable of evaluating the merits and risks of its purchase of the Transferred Interests. Purchasers confirms that Sellers have made available to Purchasers and Purchasers’ agents the opportunity to ask questions of the officers and management employees of Sellers and of the Transferred Entities as well as access to the documents, information and records of Sellers and the Transferred Entities and to acquire additional information about the business and financial condition of Sellers and the Transferred Entities, and each Purchaser confirms that it has made an independent investigation, analysis and evaluation of the Transferred Entities and their properties, assets, business, financial condition, prospects, documents, information and records. Purchasers are acquiring the Transferred Interests for investment and not with a view toward or for sale in connection with any distribution thereof, or with any present intention of distributing or selling the Transferred Interests. Purchasers acknowledge that the Transferred Interests have not been registered under the Securities Act or any state securities Laws, and agrees that the Transferred Interests may not be sold, transferred, offered for sale, pledged, hypothecated or otherwise disposed of without registration under the Securities Act, except pursuant to an exemption from such registration available under the Securities Act, and without compliance with foreign securities Laws, in each case, to the extent applicable.</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Debt Financing</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97" w:lineRule="auto"/>
        <w:tabs>
          <w:tab w:leader="none" w:pos="1942" w:val="left"/>
        </w:tabs>
        <w:numPr>
          <w:ilvl w:val="0"/>
          <w:numId w:val="66"/>
        </w:numPr>
        <w:rPr>
          <w:rFonts w:ascii="Arial" w:cs="Arial" w:eastAsia="Arial" w:hAnsi="Arial"/>
          <w:sz w:val="16"/>
          <w:szCs w:val="16"/>
          <w:color w:val="auto"/>
        </w:rPr>
      </w:pPr>
      <w:r>
        <w:rPr>
          <w:rFonts w:ascii="Arial" w:cs="Arial" w:eastAsia="Arial" w:hAnsi="Arial"/>
          <w:sz w:val="16"/>
          <w:szCs w:val="16"/>
          <w:color w:val="auto"/>
        </w:rPr>
        <w:t>Purchasers have delivered to Sellers true and complete copies of the executed definitive agreements dated as of the date hereof (as they may be amended, restated or modified from time to time in accordance with the terms hereof, collectively, the “</w:t>
      </w:r>
      <w:r>
        <w:rPr>
          <w:rFonts w:ascii="Arial" w:cs="Arial" w:eastAsia="Arial" w:hAnsi="Arial"/>
          <w:sz w:val="16"/>
          <w:szCs w:val="16"/>
          <w:u w:val="single" w:color="auto"/>
          <w:color w:val="auto"/>
        </w:rPr>
        <w:t>Debt Financing Agreements</w:t>
      </w:r>
      <w:r>
        <w:rPr>
          <w:rFonts w:ascii="Arial" w:cs="Arial" w:eastAsia="Arial" w:hAnsi="Arial"/>
          <w:sz w:val="16"/>
          <w:szCs w:val="16"/>
          <w:color w:val="auto"/>
        </w:rPr>
        <w:t>”) entered into with the lender party to the Debt Financing Agreements (the “</w:t>
      </w:r>
      <w:r>
        <w:rPr>
          <w:rFonts w:ascii="Arial" w:cs="Arial" w:eastAsia="Arial" w:hAnsi="Arial"/>
          <w:sz w:val="16"/>
          <w:szCs w:val="16"/>
          <w:u w:val="single" w:color="auto"/>
          <w:color w:val="auto"/>
        </w:rPr>
        <w:t>Lender</w:t>
      </w:r>
      <w:r>
        <w:rPr>
          <w:rFonts w:ascii="Arial" w:cs="Arial" w:eastAsia="Arial" w:hAnsi="Arial"/>
          <w:sz w:val="16"/>
          <w:szCs w:val="16"/>
          <w:color w:val="auto"/>
        </w:rPr>
        <w:t>”) relating to the commitment of the Lender to provide the full amount of the Initial Purchase Price and all related fees and expenses, collectively referred to in this Agreement as the “</w:t>
      </w:r>
      <w:r>
        <w:rPr>
          <w:rFonts w:ascii="Arial" w:cs="Arial" w:eastAsia="Arial" w:hAnsi="Arial"/>
          <w:sz w:val="16"/>
          <w:szCs w:val="16"/>
          <w:u w:val="single" w:color="auto"/>
          <w:color w:val="auto"/>
        </w:rPr>
        <w:t>Debt Financing</w:t>
      </w:r>
      <w:r>
        <w:rPr>
          <w:rFonts w:ascii="Arial" w:cs="Arial" w:eastAsia="Arial" w:hAnsi="Arial"/>
          <w:sz w:val="16"/>
          <w:szCs w:val="16"/>
          <w:color w:val="auto"/>
        </w:rPr>
        <w:t>”. At Closing, Purchasers will fully pay or cause to be fully paid any and all commitment fees and other fees required to be paid pursuant to the terms of the Debt Financing Agreements.</w:t>
      </w:r>
    </w:p>
    <w:p>
      <w:pPr>
        <w:spacing w:after="0" w:line="158" w:lineRule="exact"/>
        <w:rPr>
          <w:rFonts w:ascii="Arial" w:cs="Arial" w:eastAsia="Arial" w:hAnsi="Arial"/>
          <w:sz w:val="16"/>
          <w:szCs w:val="16"/>
          <w:color w:val="auto"/>
        </w:rPr>
      </w:pPr>
    </w:p>
    <w:p>
      <w:pPr>
        <w:ind w:right="180" w:firstLine="1305"/>
        <w:spacing w:after="0" w:line="342" w:lineRule="auto"/>
        <w:tabs>
          <w:tab w:leader="none" w:pos="1952"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Except as set forth in the Debt Financing Agreements, there are no conditions precedent or other contingencies to the obligations of the Lender to provide the Debt Financing or any contingencies that would permit the Lender to reduce the total amount of the Debt Financing.</w:t>
      </w:r>
    </w:p>
    <w:p>
      <w:pPr>
        <w:spacing w:after="0" w:line="123" w:lineRule="exact"/>
        <w:rPr>
          <w:rFonts w:ascii="Arial" w:cs="Arial" w:eastAsia="Arial" w:hAnsi="Arial"/>
          <w:sz w:val="16"/>
          <w:szCs w:val="16"/>
          <w:color w:val="auto"/>
        </w:rPr>
      </w:pPr>
    </w:p>
    <w:p>
      <w:pPr>
        <w:ind w:right="120" w:firstLine="1305"/>
        <w:spacing w:after="0" w:line="277" w:lineRule="auto"/>
        <w:tabs>
          <w:tab w:leader="none" w:pos="19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Debt Financing, when funded in accordance with the terms of the Debt Financing Agreements, shall provide Purchasers with acquisition financing on the Closing Date sufficient to pay the Initial Purchase Price and to pay related fees and expenses.</w:t>
      </w:r>
    </w:p>
    <w:p>
      <w:pPr>
        <w:spacing w:after="0" w:line="170" w:lineRule="exact"/>
        <w:rPr>
          <w:rFonts w:ascii="Arial" w:cs="Arial" w:eastAsia="Arial" w:hAnsi="Arial"/>
          <w:sz w:val="18"/>
          <w:szCs w:val="18"/>
          <w:color w:val="auto"/>
        </w:rPr>
      </w:pPr>
    </w:p>
    <w:p>
      <w:pPr>
        <w:ind w:right="400" w:firstLine="1305"/>
        <w:spacing w:after="0" w:line="277" w:lineRule="auto"/>
        <w:tabs>
          <w:tab w:leader="none" w:pos="19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Debt Financing Agreements are valid, binding and in full force and effect and no event has occurred that, with or without notice, lapse of time, or both, would reasonably be expected to constitute a default or breach or a failure to satisfy a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precedent on the part of Purchasers under the terms and conditions of the Debt Financing Agreements, other than any such default, breach or failure that has been waived by the Lender or otherwise cured in a timely manner by Purchasers to the satisfaction of the Lender and Purchasers do not have any reason to believe that they will be unable to satisfy on a timely basis any term or condition to closing to be satisfied by it in the Debt Financing Agreements on or prior to the Closing Date.</w:t>
      </w:r>
    </w:p>
    <w:p>
      <w:pPr>
        <w:spacing w:after="0" w:line="187" w:lineRule="exact"/>
        <w:rPr>
          <w:sz w:val="20"/>
          <w:szCs w:val="20"/>
          <w:color w:val="auto"/>
        </w:rPr>
      </w:pPr>
    </w:p>
    <w:p>
      <w:pPr>
        <w:ind w:left="1960" w:hanging="655"/>
        <w:spacing w:after="0"/>
        <w:tabs>
          <w:tab w:leader="none" w:pos="19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As of the Closing, and after giving effect to all of the transactions contemplated by this Agreement, Purchasers will be Solvent.</w:t>
      </w:r>
    </w:p>
    <w:p>
      <w:pPr>
        <w:spacing w:after="0" w:line="24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Regulatory Matters</w:t>
      </w:r>
      <w:r>
        <w:rPr>
          <w:rFonts w:ascii="Arial" w:cs="Arial" w:eastAsia="Arial" w:hAnsi="Arial"/>
          <w:sz w:val="17"/>
          <w:szCs w:val="17"/>
          <w:color w:val="auto"/>
        </w:rPr>
        <w:t>. Purchasers have not, nor has any Affiliate or representative of Purchasers, been convicted of any crime or engaged in any conduct for which debarment is mandated by 21 U.S.C. §335a(a) or any similar applicable Laws or authorized by 21 U.S.C. §335a(b) or any similar applicable Laws. The Purchasers have not, nor has any Affiliate or representative of Purchasers, been convicted of any crime or engaged in any conduct for which such Person could be excluded from participating in any U.S. federal health care programs and each of the Purchasers has appropriate policies and restrictions in its agreements with third parties precluding the use of any individuals convicted of any crimes or engaged in any conduct for which such Person could be excluded from participating in any U.S. federal health care programs.</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 Other Representations or Warranties</w:t>
      </w:r>
      <w:r>
        <w:rPr>
          <w:rFonts w:ascii="Arial" w:cs="Arial" w:eastAsia="Arial" w:hAnsi="Arial"/>
          <w:sz w:val="16"/>
          <w:szCs w:val="16"/>
          <w:color w:val="auto"/>
        </w:rPr>
        <w:t xml:space="preserve">. Except for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(including the Schedules and Exhibits to this Agreement), Purchasers acknowledge that (i) none of Sellers, any Transferred Entity nor any of their respective Affiliates and Representatives, nor any other Person, made or shall be deemed to have made any representation or warranty to Purchasers, express or implied, at law or in equity, on behalf of Sellers or any Transferred Entity or any Affiliate of Sellers or any Transferred Entity and (ii) Purchasers have not relied on any information, representations, warranties or financial projections contained in any document, confidential memorandum or agreement delivered to it or made available by the Sellers or their Representatives, including any information, document or materials made available or provided to Purchasers in the data room.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Access to Books and Records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312" w:lineRule="auto"/>
        <w:tabs>
          <w:tab w:leader="none" w:pos="1942"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After the date of this Agreement until the earlier of the Closing or termination of this Agreement, Sellers shall afford to Representatives of Purchasers reasonable access to the Books and Records of the Transferred Entities’ Businesses during normal business hours consistent with applicable Law and in accordance with the procedures established by Sellers;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no Seller or Transferred Entity shall be required</w:t>
      </w:r>
    </w:p>
    <w:p>
      <w:pPr>
        <w:sectPr>
          <w:pgSz w:w="11900" w:h="16952" w:orient="portrait"/>
          <w:cols w:equalWidth="0" w:num="1">
            <w:col w:w="11420"/>
          </w:cols>
          <w:pgMar w:left="240" w:top="125" w:right="239" w:bottom="0" w:gutter="0" w:footer="0" w:header="0"/>
        </w:sectPr>
      </w:pPr>
    </w:p>
    <w:bookmarkStart w:id="28" w:name="page29"/>
    <w:bookmarkEnd w:id="28"/>
    <w:p>
      <w:pPr>
        <w:spacing w:after="0" w:line="7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to violate any obligation of confidentiality to which a Seller or a Transferred Entity or any of their respective Affiliates may be subject in discharging their obligations pursuant to this </w:t>
      </w:r>
      <w:r>
        <w:rPr>
          <w:rFonts w:ascii="Arial" w:cs="Arial" w:eastAsia="Arial" w:hAnsi="Arial"/>
          <w:sz w:val="18"/>
          <w:szCs w:val="18"/>
          <w:u w:val="single" w:color="auto"/>
          <w:color w:val="auto"/>
        </w:rPr>
        <w:t>Section 5.1(a)</w:t>
      </w:r>
      <w:r>
        <w:rPr>
          <w:rFonts w:ascii="Arial" w:cs="Arial" w:eastAsia="Arial" w:hAnsi="Arial"/>
          <w:sz w:val="18"/>
          <w:szCs w:val="18"/>
          <w:color w:val="auto"/>
        </w:rPr>
        <w:t>, and (ii) Sellers shall make available, or cause the Transferred Entities to make available, Transferred Entity Employee personnel files only after the Closing Date. Any information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provided to Purchasers or their Representatives in accordance with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otherwise pursuant to this Agreement shall be held by Purchasers and their Representatives in accordance with, shall be considered under, and shall be subject to the terms of, the Confidentiality Agreement.</w:t>
      </w:r>
    </w:p>
    <w:p>
      <w:pPr>
        <w:spacing w:after="0" w:line="124" w:lineRule="exact"/>
        <w:rPr>
          <w:sz w:val="20"/>
          <w:szCs w:val="20"/>
          <w:color w:val="auto"/>
        </w:rPr>
      </w:pPr>
    </w:p>
    <w:p>
      <w:pPr>
        <w:ind w:left="1960" w:hanging="655"/>
        <w:spacing w:after="0"/>
        <w:tabs>
          <w:tab w:leader="none" w:pos="1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Purchasers agree that any permitted investigation undertaken by Purchasers pursuant to the access granted under</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shall be conducted in such a manner as not to interfere unreasonably with the operation of the Business by Sellers or the Transferred Entities, and Purchasers and their representatives shall not communicate with any of the employees of Sellers or the Transferred Entities without the prior written consent of Sellers. Notwithstanding anything to the contrary in this Agreement, neither Sellers nor the Transferred Entities shall be required to provide access to or disclose information where, upon the advice of counsel, such access or disclosure would jeopardize the attorney-client privilege of such Party or any of its Affiliates or contravene any Laws.</w:t>
      </w:r>
    </w:p>
    <w:p>
      <w:pPr>
        <w:spacing w:after="0" w:line="191" w:lineRule="exact"/>
        <w:rPr>
          <w:sz w:val="20"/>
          <w:szCs w:val="20"/>
          <w:color w:val="auto"/>
        </w:rPr>
      </w:pPr>
    </w:p>
    <w:p>
      <w:pPr>
        <w:jc w:val="both"/>
        <w:ind w:right="160" w:firstLine="1305"/>
        <w:spacing w:after="0" w:line="259" w:lineRule="auto"/>
        <w:tabs>
          <w:tab w:leader="none" w:pos="19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At and after the Closing Date, Purchasers shall, and shall cause their Affiliates to, afford Sellers and their representatives, during normal business hours, upon reasonable notice, full access to the books, records, properties and employees of each Transferred Entity to the extent that such access may be reasonably requested by Sellers, including in connection with financial statements or a proceeding before the Independent Accounting Firm under </w:t>
      </w:r>
      <w:r>
        <w:rPr>
          <w:rFonts w:ascii="Arial" w:cs="Arial" w:eastAsia="Arial" w:hAnsi="Arial"/>
          <w:sz w:val="18"/>
          <w:szCs w:val="18"/>
          <w:u w:val="single" w:color="auto"/>
          <w:color w:val="auto"/>
        </w:rPr>
        <w:t>Section 2.5(d)</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right="100" w:firstLine="1305"/>
        <w:spacing w:after="0" w:line="259" w:lineRule="auto"/>
        <w:tabs>
          <w:tab w:leader="none" w:pos="19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Purchasers agree to hold all the Books and Records of each Transferred Entity’s Business existing on the Closing Date and not to destroy or dispose of any thereof for a period of seven (7) years from the Closing Date or such longer time as may be required by Law, and thereafter, if they desire to destroy or dispose of such Books and Records, to offer first in writing at least sixty (60) days prior to such destruction or disposition to surrender them to Sellers.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Efforts</w:t>
      </w:r>
      <w:r>
        <w:rPr>
          <w:rFonts w:ascii="Arial" w:cs="Arial" w:eastAsia="Arial" w:hAnsi="Arial"/>
          <w:sz w:val="17"/>
          <w:szCs w:val="17"/>
          <w:color w:val="auto"/>
        </w:rPr>
        <w:t>.</w:t>
      </w:r>
    </w:p>
    <w:p>
      <w:pPr>
        <w:spacing w:after="0" w:line="225" w:lineRule="exact"/>
        <w:rPr>
          <w:sz w:val="20"/>
          <w:szCs w:val="20"/>
          <w:color w:val="auto"/>
        </w:rPr>
      </w:pPr>
    </w:p>
    <w:p>
      <w:pPr>
        <w:ind w:right="60" w:firstLine="1305"/>
        <w:spacing w:after="0" w:line="284" w:lineRule="auto"/>
        <w:tabs>
          <w:tab w:leader="none" w:pos="1942" w:val="left"/>
        </w:tabs>
        <w:numPr>
          <w:ilvl w:val="1"/>
          <w:numId w:val="71"/>
        </w:numPr>
        <w:rPr>
          <w:rFonts w:ascii="Arial" w:cs="Arial" w:eastAsia="Arial" w:hAnsi="Arial"/>
          <w:sz w:val="16"/>
          <w:szCs w:val="16"/>
          <w:color w:val="auto"/>
        </w:rPr>
      </w:pPr>
      <w:r>
        <w:rPr>
          <w:rFonts w:ascii="Arial" w:cs="Arial" w:eastAsia="Arial" w:hAnsi="Arial"/>
          <w:sz w:val="16"/>
          <w:szCs w:val="16"/>
          <w:color w:val="auto"/>
        </w:rPr>
        <w:t>Subject to the terms and conditions herein provided, each of Purchasers and Sellers shall use reasonable best efforts to promptly take, or cause to be taken, all actions and to do, or cause to be done, all things necessary, proper or advisable under this Agreement and applicable Laws to consummate and make effective as promptly as practicable after the date hereof the transactions contemplated by this Agreement, including (i) preparing as promptly as practicable all necessary applications, notices, petitions, filings, ruling requests, and other documents and to obtain as promptly as practicable all consents, waivers, licenses, orders, registrations, approvals, permits, rulings, authorizations and clearances necessary or advisable to be obtained from any Governmental Entity in order to consummate the transactions contemplated by this Agreement (collectively, the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and (ii) as promptly as practicable taking all steps as may be necessary to obtain all such Governmental Approvals. In furtherance and not in limitation of the foregoing, each Party agrees to (A) within ten (10) Business Days of the date of this Agreement, make all necessary filings and submissions under the HSR Act,</w:t>
      </w:r>
    </w:p>
    <w:p>
      <w:pPr>
        <w:spacing w:after="0" w:line="1" w:lineRule="exact"/>
        <w:rPr>
          <w:rFonts w:ascii="Arial" w:cs="Arial" w:eastAsia="Arial" w:hAnsi="Arial"/>
          <w:sz w:val="16"/>
          <w:szCs w:val="16"/>
          <w:color w:val="auto"/>
        </w:rPr>
      </w:pPr>
    </w:p>
    <w:p>
      <w:pPr>
        <w:ind w:right="580" w:firstLine="8"/>
        <w:spacing w:after="0" w:line="261" w:lineRule="auto"/>
        <w:tabs>
          <w:tab w:leader="none" w:pos="2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make all other required filings pursuant to other antitrust or competition Laws with respect to the transactions contemplated hereby as promptly as practicable, and (C) not extend any waiting period under the HSR Act or any other antitrust Law, nor enter into 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agreement with the United States Federal Trade Commission (the “</w:t>
      </w:r>
      <w:r>
        <w:rPr>
          <w:rFonts w:ascii="Arial" w:cs="Arial" w:eastAsia="Arial" w:hAnsi="Arial"/>
          <w:sz w:val="18"/>
          <w:szCs w:val="18"/>
          <w:u w:val="single" w:color="auto"/>
          <w:color w:val="auto"/>
        </w:rPr>
        <w:t>FTC</w:t>
      </w:r>
      <w:r>
        <w:rPr>
          <w:rFonts w:ascii="Arial" w:cs="Arial" w:eastAsia="Arial" w:hAnsi="Arial"/>
          <w:sz w:val="18"/>
          <w:szCs w:val="18"/>
          <w:color w:val="auto"/>
        </w:rPr>
        <w:t>”) or the United States Department of Justice (the “</w:t>
      </w:r>
      <w:r>
        <w:rPr>
          <w:rFonts w:ascii="Arial" w:cs="Arial" w:eastAsia="Arial" w:hAnsi="Arial"/>
          <w:sz w:val="18"/>
          <w:szCs w:val="18"/>
          <w:u w:val="single" w:color="auto"/>
          <w:color w:val="auto"/>
        </w:rPr>
        <w:t>DOJ</w:t>
      </w:r>
      <w:r>
        <w:rPr>
          <w:rFonts w:ascii="Arial" w:cs="Arial" w:eastAsia="Arial" w:hAnsi="Arial"/>
          <w:sz w:val="18"/>
          <w:szCs w:val="18"/>
          <w:color w:val="auto"/>
        </w:rPr>
        <w:t>”) or any other Governmental Entity not to consummate the transactions contemplated by this Agreement, except with the prior written consent of the other Parties (which shall not be unreasonably withheld, conditioned or delayed). Each Party shall supply as promptly as practicable any additional information or documentation that may be requested pursuant to the HSR Act or any other antitrust or competition Law and use its reasonable best efforts to take all other actions necessary, proper or advisable to cause the expiration or termination of the applicable waiting periods under the HSR Act and any other antitrust Law as soon as possible. The Parties agree to request early termination with respect to the waiting period prescribed by the HSR Act together with the initial filings and submissions under the HSR Act.</w:t>
      </w:r>
    </w:p>
    <w:p>
      <w:pPr>
        <w:spacing w:after="0" w:line="189" w:lineRule="exact"/>
        <w:rPr>
          <w:sz w:val="20"/>
          <w:szCs w:val="20"/>
          <w:color w:val="auto"/>
        </w:rPr>
      </w:pPr>
    </w:p>
    <w:p>
      <w:pPr>
        <w:ind w:firstLine="1305"/>
        <w:spacing w:after="0" w:line="286" w:lineRule="auto"/>
        <w:tabs>
          <w:tab w:leader="none" w:pos="1952"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Each of Purchasers and Sellers shall, in connection with the actions referenced in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to obtain all Governmental Approvals for the transactions contemplated by this Agreement under the HSR Act or any other antitrust or competition Law, (i) cooperate in all respects with each other in connection with any communication, filing or submission and in connection with any investigation or other inquiry, including any proceeding initiated by a private party; (ii) keep the other Party and/or its counsel informed of any communication received by such Party from, or given by such Party to, the FTC, the DOJ or any other U.S. or other Governmental Entity and of any communication received or given in connection with any proceeding by a private party, in each case regarding any of the transactions contemplated hereby; (iii) consult with each other in advance of any meeting or conference with the FTC, the DOJ or any other Governmental Entity or, in connection with any proceeding by a private party, with any other Person, and to the extent permitted by the FTC, the DOJ or such other Governmental Entity or other Person, give the other Parties and/or their counsel the opportunity to attend and participate in such meetings and conferences; and (iv) permit the other Parties and/or their counsel to review in advance any submission, filing or communication (and documents submitted therewith) intended to be given by it to the FTC, the DOJ or any other Governmental Entity;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materials may be redacted to remove references concerning the valuation of the businesses of Sellers, to the extent permitted by Law. Purchasers and Sellers, as each deems advisable and necessary, may reasonably designate any competitively sensitive material to be provided to the other under this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as “Antitrust Counsel Only Material.” Such materials and the information contained therein shall be given only to the outside antitrust counsel of the recipient and will not be disclosed by such outside counsel to employees, officers or directors of the recipient unless express permission is obtained in advance from the source of the materials (Purchasers or Sellers, as the case may be) or its legal counsel.</w:t>
      </w:r>
    </w:p>
    <w:p>
      <w:pPr>
        <w:spacing w:after="0" w:line="168" w:lineRule="exact"/>
        <w:rPr>
          <w:rFonts w:ascii="Arial" w:cs="Arial" w:eastAsia="Arial" w:hAnsi="Arial"/>
          <w:sz w:val="16"/>
          <w:szCs w:val="16"/>
          <w:color w:val="auto"/>
        </w:rPr>
      </w:pPr>
    </w:p>
    <w:p>
      <w:pPr>
        <w:ind w:right="140" w:firstLine="1305"/>
        <w:spacing w:after="0" w:line="255" w:lineRule="auto"/>
        <w:tabs>
          <w:tab w:leader="none" w:pos="19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In furtherance and not in limitation of the covenants of the Parties contained in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each of Purchasers and Sellers shall use their reasonable best efforts to avoid the entry of, or to have vacated, lifted, reversed or overturned, any decree, judgment, injunction or other order, whether temporary, preliminary or permanent, that would restrain, prevent or delay the Closing on or before the Outside Date. It shall not be deemed a failure to satisfy the conditions specified in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if, as a result of any suit brought by any Person or Governmental Entity challenging the transactions contemplated by this Agreement as violating any antitrust Law, a court enters or the applicable Governmental Entity makes an order or decree permitting the transactions contemplated by this Agreement, but requiring that any of the businesses, product lines or assets of Purchasers or their Affiliates</w:t>
      </w:r>
    </w:p>
    <w:p>
      <w:pPr>
        <w:sectPr>
          <w:pgSz w:w="11900" w:h="16910" w:orient="portrait"/>
          <w:cols w:equalWidth="0" w:num="1">
            <w:col w:w="11400"/>
          </w:cols>
          <w:pgMar w:left="240" w:top="125" w:right="259" w:bottom="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(collectively, the “</w:t>
      </w:r>
      <w:r>
        <w:rPr>
          <w:rFonts w:ascii="Arial" w:cs="Arial" w:eastAsia="Arial" w:hAnsi="Arial"/>
          <w:sz w:val="18"/>
          <w:szCs w:val="18"/>
          <w:u w:val="single" w:color="auto"/>
          <w:color w:val="auto"/>
        </w:rPr>
        <w:t>Subject Assets</w:t>
      </w:r>
      <w:r>
        <w:rPr>
          <w:rFonts w:ascii="Arial" w:cs="Arial" w:eastAsia="Arial" w:hAnsi="Arial"/>
          <w:sz w:val="18"/>
          <w:szCs w:val="18"/>
          <w:color w:val="auto"/>
        </w:rPr>
        <w:t>”) be divested or held separate by Purchasers, or that would otherwise limit Purchasers’ freedom of action with respect to, or their ability to operate and retain, the Subject Assets.</w:t>
      </w:r>
    </w:p>
    <w:p>
      <w:pPr>
        <w:spacing w:after="0" w:line="170" w:lineRule="exact"/>
        <w:rPr>
          <w:sz w:val="20"/>
          <w:szCs w:val="20"/>
          <w:color w:val="auto"/>
        </w:rPr>
      </w:pPr>
    </w:p>
    <w:p>
      <w:pPr>
        <w:jc w:val="both"/>
        <w:ind w:right="80" w:firstLine="1305"/>
        <w:spacing w:after="0" w:line="259" w:lineRule="auto"/>
        <w:tabs>
          <w:tab w:leader="none" w:pos="19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Without limiting any other obligation under this Agreement, during the period from the date of this Agreement until the Closing Date, each of Purchasers and Sellers shall not, and shall cause its Subsidiaries not to, take or agree to take any action that would reasonably be expected to prevent or delay the Parties from obtaining any Governmental Approval in connection with the transactions contemplated by this Agreement, or to prevent or materially delay or impede the consummation of the transactions contemplated herein.</w:t>
      </w:r>
    </w:p>
    <w:p>
      <w:pPr>
        <w:spacing w:after="0" w:line="186" w:lineRule="exact"/>
        <w:rPr>
          <w:rFonts w:ascii="Arial" w:cs="Arial" w:eastAsia="Arial" w:hAnsi="Arial"/>
          <w:sz w:val="18"/>
          <w:szCs w:val="18"/>
          <w:color w:val="auto"/>
        </w:rPr>
      </w:pPr>
    </w:p>
    <w:p>
      <w:pPr>
        <w:ind w:right="160" w:firstLine="1305"/>
        <w:spacing w:after="0" w:line="259" w:lineRule="auto"/>
        <w:tabs>
          <w:tab w:leader="none" w:pos="19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Purchasers agree to provide such security and assurances as to financial capability, resources and creditworthiness as may be reasonably requested by any Governmental Entity or other third party whose consent or approval is sought in connection with the transactions contemplated hereby. Whether or not the Sale is consummated, Purchasers and Sellers shall each be responsible for 50% of all filing fees and payments to any Governmental Entity in order to obtain any consents, approvals or waivers pursuant to this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Further Assurances</w:t>
      </w:r>
      <w:r>
        <w:rPr>
          <w:rFonts w:ascii="Arial" w:cs="Arial" w:eastAsia="Arial" w:hAnsi="Arial"/>
          <w:sz w:val="18"/>
          <w:szCs w:val="18"/>
          <w:color w:val="auto"/>
        </w:rPr>
        <w:t>. Sellers and Purchasers agree that, from time to time, whether before, at or after the Closing Date, each of them will execute and deliver such further instruments of conveyance and transfer and take such other action as may be necessary to carry out the purposes and intents of this Agreement. Without limiting the generality of the foregoing:</w:t>
      </w:r>
    </w:p>
    <w:p>
      <w:pPr>
        <w:spacing w:after="0" w:line="181" w:lineRule="exact"/>
        <w:rPr>
          <w:sz w:val="20"/>
          <w:szCs w:val="20"/>
          <w:color w:val="auto"/>
        </w:rPr>
      </w:pPr>
    </w:p>
    <w:p>
      <w:pPr>
        <w:ind w:firstLine="1305"/>
        <w:spacing w:after="0" w:line="290" w:lineRule="auto"/>
        <w:tabs>
          <w:tab w:leader="none" w:pos="1942"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Between the date hereof and the Closing, Sellers shall, and shall cause their Affiliates to, (A) effect the Reorganization as described in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including transferring all of the assets and liabilities of Daravita, other than those listed on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of the Sellers Disclosure Letter, to Newco, or as otherwise mutually and reasonably agreed upon by Sellers and Purchasers, and (B) use commercially reasonable efforts to ensure that, as of the Closing, Newco and Alkermes Gainesville hold no other assets or liabilities (including assets or liabilities relating to Excluded Assets) other than those of the Business. Sellers shall make available to Purchasers in a timely manner for review and comment all drafts of the agreements relating to the Reorganization (collectively, the “</w:t>
      </w:r>
      <w:r>
        <w:rPr>
          <w:rFonts w:ascii="Arial" w:cs="Arial" w:eastAsia="Arial" w:hAnsi="Arial"/>
          <w:sz w:val="16"/>
          <w:szCs w:val="16"/>
          <w:u w:val="single" w:color="auto"/>
          <w:color w:val="auto"/>
        </w:rPr>
        <w:t>Reorganization Transfer Agreements</w:t>
      </w:r>
      <w:r>
        <w:rPr>
          <w:rFonts w:ascii="Arial" w:cs="Arial" w:eastAsia="Arial" w:hAnsi="Arial"/>
          <w:sz w:val="16"/>
          <w:szCs w:val="16"/>
          <w:color w:val="auto"/>
        </w:rPr>
        <w:t>”) or other instruments or documentation relating to the Reorganization, and Sellers shall not, and shall cause its Affiliates not to, execute any such Reorganization Transfer Agreements or other instruments or documentation, or to take any actions or consummate any steps or transactions contemplated thereby, in each case, that is not reasonably satisfactory to Purchasers.</w:t>
      </w:r>
    </w:p>
    <w:p>
      <w:pPr>
        <w:spacing w:after="0" w:line="166" w:lineRule="exact"/>
        <w:rPr>
          <w:rFonts w:ascii="Arial" w:cs="Arial" w:eastAsia="Arial" w:hAnsi="Arial"/>
          <w:sz w:val="16"/>
          <w:szCs w:val="16"/>
          <w:color w:val="auto"/>
        </w:rPr>
      </w:pPr>
    </w:p>
    <w:p>
      <w:pPr>
        <w:ind w:right="20" w:firstLine="1305"/>
        <w:spacing w:after="0" w:line="279" w:lineRule="auto"/>
        <w:tabs>
          <w:tab w:leader="none" w:pos="1952"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connection with the Reorganization, APIL and Newco will enter into a license agreement (the “</w:t>
      </w:r>
      <w:r>
        <w:rPr>
          <w:rFonts w:ascii="Arial" w:cs="Arial" w:eastAsia="Arial" w:hAnsi="Arial"/>
          <w:sz w:val="17"/>
          <w:szCs w:val="17"/>
          <w:u w:val="single" w:color="auto"/>
          <w:color w:val="auto"/>
        </w:rPr>
        <w:t>IP License Agreement</w:t>
      </w:r>
      <w:r>
        <w:rPr>
          <w:rFonts w:ascii="Arial" w:cs="Arial" w:eastAsia="Arial" w:hAnsi="Arial"/>
          <w:sz w:val="17"/>
          <w:szCs w:val="17"/>
          <w:color w:val="auto"/>
        </w:rPr>
        <w:t xml:space="preserve">”), in form reasonably acceptable to the Parties, granting to Newco licenses in substantially similar form and scope as those granted to Daravita pursuant to the Intellectual Property Transfer and License Agreement. The Parties hereto agree to amend the provisions regarding Earn-Out Consideration set forth on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hereto as may be reasonably necessary in order to effect the intent of the Parties upon entry into the IP License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77" w:lineRule="auto"/>
        <w:tabs>
          <w:tab w:leader="none" w:pos="19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After the consummation of the Reorganization, to the extent that Daravita receives any payments for accounts receivable owned by Newco, Daravita will transfer such payments to an account designated by Newco.</w:t>
      </w:r>
    </w:p>
    <w:p>
      <w:pPr>
        <w:spacing w:after="0" w:line="170" w:lineRule="exact"/>
        <w:rPr>
          <w:rFonts w:ascii="Arial" w:cs="Arial" w:eastAsia="Arial" w:hAnsi="Arial"/>
          <w:sz w:val="18"/>
          <w:szCs w:val="18"/>
          <w:color w:val="auto"/>
        </w:rPr>
      </w:pPr>
    </w:p>
    <w:p>
      <w:pPr>
        <w:ind w:right="80" w:firstLine="1305"/>
        <w:spacing w:after="0" w:line="342" w:lineRule="auto"/>
        <w:tabs>
          <w:tab w:leader="none" w:pos="1952" w:val="left"/>
        </w:tabs>
        <w:numPr>
          <w:ilvl w:val="0"/>
          <w:numId w:val="76"/>
        </w:numPr>
        <w:rPr>
          <w:rFonts w:ascii="Arial" w:cs="Arial" w:eastAsia="Arial" w:hAnsi="Arial"/>
          <w:sz w:val="16"/>
          <w:szCs w:val="16"/>
          <w:color w:val="auto"/>
        </w:rPr>
      </w:pPr>
      <w:r>
        <w:rPr>
          <w:rFonts w:ascii="Arial" w:cs="Arial" w:eastAsia="Arial" w:hAnsi="Arial"/>
          <w:sz w:val="16"/>
          <w:szCs w:val="16"/>
          <w:color w:val="auto"/>
        </w:rPr>
        <w:t>After the Closing, Purchasers will, and will cause their Affiliates to, upon the discovery of any Excluded Assets in the Transferred Entities’ properties, offices, plants, storage spaces or similar locations, use reasonable efforts to return such Excluded Assets to Sellers at Sellers’ expense.</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Conduct of Business</w:t>
      </w:r>
      <w:r>
        <w:rPr>
          <w:rFonts w:ascii="Arial" w:cs="Arial" w:eastAsia="Arial" w:hAnsi="Arial"/>
          <w:sz w:val="16"/>
          <w:szCs w:val="16"/>
          <w:color w:val="auto"/>
        </w:rPr>
        <w:t>.</w:t>
      </w:r>
    </w:p>
    <w:p>
      <w:pPr>
        <w:spacing w:after="0" w:line="225" w:lineRule="exact"/>
        <w:rPr>
          <w:sz w:val="20"/>
          <w:szCs w:val="20"/>
          <w:color w:val="auto"/>
        </w:rPr>
      </w:pPr>
    </w:p>
    <w:p>
      <w:pPr>
        <w:ind w:right="220" w:firstLine="1305"/>
        <w:spacing w:after="0" w:line="257" w:lineRule="auto"/>
        <w:tabs>
          <w:tab w:leader="none" w:pos="1942"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From the date of this Agreement through the earlier of the Closing or the termination of this Agreement, except as otherwise contemplated by this Agreement (including transactions required by the Reorganization), as required by Law, as disclosed in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of the Sellers Disclosure Letter, or with Purchasers’ written consent (which shall not be unreasonably withheld, conditioned or delayed;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Purchasers shall be deemed to have consented in writing to any written request by Sellers to which Purchasers fail to respond within five (5) Business Days following receipt), Sellers shall cause each Transferred Entity to:</w:t>
      </w:r>
    </w:p>
    <w:p>
      <w:pPr>
        <w:spacing w:after="0" w:line="188" w:lineRule="exact"/>
        <w:rPr>
          <w:rFonts w:ascii="Arial" w:cs="Arial" w:eastAsia="Arial" w:hAnsi="Arial"/>
          <w:sz w:val="18"/>
          <w:szCs w:val="18"/>
          <w:color w:val="auto"/>
        </w:rPr>
      </w:pPr>
    </w:p>
    <w:p>
      <w:pPr>
        <w:ind w:left="2620" w:hanging="667"/>
        <w:spacing w:after="0"/>
        <w:tabs>
          <w:tab w:leader="none" w:pos="26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conduct the Business in the ordinary course of business; and</w:t>
      </w:r>
    </w:p>
    <w:p>
      <w:pPr>
        <w:spacing w:after="0" w:line="225" w:lineRule="exact"/>
        <w:rPr>
          <w:rFonts w:ascii="Arial" w:cs="Arial" w:eastAsia="Arial" w:hAnsi="Arial"/>
          <w:sz w:val="18"/>
          <w:szCs w:val="18"/>
          <w:color w:val="auto"/>
        </w:rPr>
      </w:pPr>
    </w:p>
    <w:p>
      <w:pPr>
        <w:ind w:left="1300" w:right="100" w:firstLine="653"/>
        <w:spacing w:after="0" w:line="264" w:lineRule="auto"/>
        <w:tabs>
          <w:tab w:leader="none" w:pos="2627" w:val="left"/>
        </w:tabs>
        <w:numPr>
          <w:ilvl w:val="1"/>
          <w:numId w:val="77"/>
        </w:numPr>
        <w:rPr>
          <w:rFonts w:ascii="Arial" w:cs="Arial" w:eastAsia="Arial" w:hAnsi="Arial"/>
          <w:sz w:val="18"/>
          <w:szCs w:val="18"/>
          <w:color w:val="auto"/>
        </w:rPr>
      </w:pPr>
      <w:r>
        <w:rPr>
          <w:rFonts w:ascii="Arial" w:cs="Arial" w:eastAsia="Arial" w:hAnsi="Arial"/>
          <w:sz w:val="18"/>
          <w:szCs w:val="18"/>
          <w:color w:val="auto"/>
        </w:rPr>
        <w:t>use reasonable best efforts to preserve intact their respective business organizations and goodwill, keep available the services of their respective present senior officers and key employees, and preserve the goodwill and business relationships with customers and others having business relationships with them.</w:t>
      </w:r>
    </w:p>
    <w:p>
      <w:pPr>
        <w:spacing w:after="0" w:line="181" w:lineRule="exact"/>
        <w:rPr>
          <w:rFonts w:ascii="Arial" w:cs="Arial" w:eastAsia="Arial" w:hAnsi="Arial"/>
          <w:sz w:val="18"/>
          <w:szCs w:val="18"/>
          <w:color w:val="auto"/>
        </w:rPr>
      </w:pPr>
    </w:p>
    <w:p>
      <w:pPr>
        <w:ind w:right="20" w:firstLine="1305"/>
        <w:spacing w:after="0" w:line="255" w:lineRule="auto"/>
        <w:tabs>
          <w:tab w:leader="none" w:pos="19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5.4(a)</w:t>
      </w:r>
      <w:r>
        <w:rPr>
          <w:rFonts w:ascii="Arial" w:cs="Arial" w:eastAsia="Arial" w:hAnsi="Arial"/>
          <w:sz w:val="18"/>
          <w:szCs w:val="18"/>
          <w:color w:val="auto"/>
        </w:rPr>
        <w:t xml:space="preserve">, from the date of this Agreement through the earlier of the Closing or the termination of this Agreement, except as otherwise contemplated by this Agreement (including transactions required by the Reorganization, including without limitation the accession of Newco to the Credit Agreement), as required by Law, as disclosed in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of the Sellers Disclosure Letter or with Purchasers’ consent (which shall not be unreasonably withheld, conditioned or delayed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Purchasers shall be deemed to have consented in writing to any written request by Sellers to which Purchasers fail to respond within five (5) Business Days following receipt)), Sellers shall cause the Transferred Entities not to take any of the following actions with respect to the Business:</w:t>
      </w:r>
    </w:p>
    <w:p>
      <w:pPr>
        <w:spacing w:after="0" w:line="193" w:lineRule="exact"/>
        <w:rPr>
          <w:rFonts w:ascii="Arial" w:cs="Arial" w:eastAsia="Arial" w:hAnsi="Arial"/>
          <w:sz w:val="18"/>
          <w:szCs w:val="18"/>
          <w:color w:val="auto"/>
        </w:rPr>
      </w:pPr>
    </w:p>
    <w:p>
      <w:pPr>
        <w:ind w:left="1300" w:right="120" w:firstLine="653"/>
        <w:spacing w:after="0" w:line="264" w:lineRule="auto"/>
        <w:tabs>
          <w:tab w:leader="none" w:pos="2618"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amend or propose to amend their respective certificates of incorporation or by-laws or equivalent organizational documents, (B) adjust, split, combine or reclassify their outstanding capital stock, or (C) declare, set aside or pay any non-cash dividend or non-cash distribution;</w:t>
      </w:r>
    </w:p>
    <w:p>
      <w:pPr>
        <w:spacing w:after="0" w:line="181" w:lineRule="exact"/>
        <w:rPr>
          <w:rFonts w:ascii="Arial" w:cs="Arial" w:eastAsia="Arial" w:hAnsi="Arial"/>
          <w:sz w:val="18"/>
          <w:szCs w:val="18"/>
          <w:color w:val="auto"/>
        </w:rPr>
      </w:pPr>
    </w:p>
    <w:p>
      <w:pPr>
        <w:ind w:left="2640" w:hanging="687"/>
        <w:spacing w:after="0"/>
        <w:tabs>
          <w:tab w:leader="none" w:pos="2640" w:val="left"/>
        </w:tabs>
        <w:numPr>
          <w:ilvl w:val="1"/>
          <w:numId w:val="77"/>
        </w:numPr>
        <w:rPr>
          <w:rFonts w:ascii="Arial" w:cs="Arial" w:eastAsia="Arial" w:hAnsi="Arial"/>
          <w:sz w:val="17"/>
          <w:szCs w:val="17"/>
          <w:color w:val="auto"/>
        </w:rPr>
      </w:pPr>
      <w:r>
        <w:rPr>
          <w:rFonts w:ascii="Arial" w:cs="Arial" w:eastAsia="Arial" w:hAnsi="Arial"/>
          <w:sz w:val="17"/>
          <w:szCs w:val="17"/>
          <w:color w:val="auto"/>
        </w:rPr>
        <w:t>merge or consolidate itself with any other Person, or restructure, reorganize or completely or partially liquidate itself;</w:t>
      </w:r>
    </w:p>
    <w:p>
      <w:pPr>
        <w:spacing w:after="0" w:line="236" w:lineRule="exact"/>
        <w:rPr>
          <w:rFonts w:ascii="Arial" w:cs="Arial" w:eastAsia="Arial" w:hAnsi="Arial"/>
          <w:sz w:val="17"/>
          <w:szCs w:val="17"/>
          <w:color w:val="auto"/>
        </w:rPr>
      </w:pPr>
    </w:p>
    <w:p>
      <w:pPr>
        <w:ind w:left="1300" w:right="180" w:firstLine="653"/>
        <w:spacing w:after="0" w:line="277" w:lineRule="auto"/>
        <w:tabs>
          <w:tab w:leader="none" w:pos="2637" w:val="left"/>
        </w:tabs>
        <w:numPr>
          <w:ilvl w:val="1"/>
          <w:numId w:val="77"/>
        </w:numPr>
        <w:rPr>
          <w:rFonts w:ascii="Arial" w:cs="Arial" w:eastAsia="Arial" w:hAnsi="Arial"/>
          <w:sz w:val="18"/>
          <w:szCs w:val="18"/>
          <w:color w:val="auto"/>
        </w:rPr>
      </w:pPr>
      <w:r>
        <w:rPr>
          <w:rFonts w:ascii="Arial" w:cs="Arial" w:eastAsia="Arial" w:hAnsi="Arial"/>
          <w:sz w:val="18"/>
          <w:szCs w:val="18"/>
          <w:color w:val="auto"/>
        </w:rPr>
        <w:t>issue, sell, pledge, encumber or dispose of, or agree to issue, sell, pledge, encumber or dispose of, any additional shares of, or any options, warrants</w:t>
      </w:r>
    </w:p>
    <w:p>
      <w:pPr>
        <w:sectPr>
          <w:pgSz w:w="11900" w:h="16838" w:orient="portrait"/>
          <w:cols w:equalWidth="0" w:num="1">
            <w:col w:w="11420"/>
          </w:cols>
          <w:pgMar w:left="240" w:top="341" w:right="239" w:bottom="0" w:gutter="0" w:footer="0" w:header="0"/>
        </w:sectPr>
      </w:pPr>
    </w:p>
    <w:bookmarkStart w:id="30" w:name="page31"/>
    <w:bookmarkEnd w:id="30"/>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or rights of any kind to acquire any shares of their capital stock of any class or any debt or equity securities which are convertible into or exchangeable for such capital stock;</w:t>
      </w:r>
    </w:p>
    <w:p>
      <w:pPr>
        <w:spacing w:after="0" w:line="170" w:lineRule="exact"/>
        <w:rPr>
          <w:sz w:val="20"/>
          <w:szCs w:val="20"/>
          <w:color w:val="auto"/>
        </w:rPr>
      </w:pPr>
    </w:p>
    <w:p>
      <w:pPr>
        <w:ind w:left="1300" w:right="260" w:firstLine="653"/>
        <w:spacing w:after="0" w:line="286" w:lineRule="auto"/>
        <w:tabs>
          <w:tab w:leader="none" w:pos="2613" w:val="left"/>
        </w:tabs>
        <w:numPr>
          <w:ilvl w:val="1"/>
          <w:numId w:val="78"/>
        </w:numPr>
        <w:rPr>
          <w:rFonts w:ascii="Arial" w:cs="Arial" w:eastAsia="Arial" w:hAnsi="Arial"/>
          <w:sz w:val="17"/>
          <w:szCs w:val="17"/>
          <w:color w:val="auto"/>
        </w:rPr>
      </w:pPr>
      <w:r>
        <w:rPr>
          <w:rFonts w:ascii="Arial" w:cs="Arial" w:eastAsia="Arial" w:hAnsi="Arial"/>
          <w:sz w:val="17"/>
          <w:szCs w:val="17"/>
          <w:color w:val="auto"/>
        </w:rPr>
        <w:t>except for transactions among the Transferred Entities in the ordinary course, (A) make any acquisition of any assets other than acquisitions made in response to a force majeure event or emergency or (B) sell, pledge, dispose of or encumber any material assets or businesses other than sales or dispositions of assets in the ordinary course of business;</w:t>
      </w:r>
    </w:p>
    <w:p>
      <w:pPr>
        <w:spacing w:after="0" w:line="165" w:lineRule="exact"/>
        <w:rPr>
          <w:rFonts w:ascii="Arial" w:cs="Arial" w:eastAsia="Arial" w:hAnsi="Arial"/>
          <w:sz w:val="17"/>
          <w:szCs w:val="17"/>
          <w:color w:val="auto"/>
        </w:rPr>
      </w:pPr>
    </w:p>
    <w:p>
      <w:pPr>
        <w:jc w:val="both"/>
        <w:ind w:left="1300" w:right="60" w:firstLine="653"/>
        <w:spacing w:after="0" w:line="259" w:lineRule="auto"/>
        <w:tabs>
          <w:tab w:leader="none" w:pos="2604" w:val="left"/>
        </w:tabs>
        <w:numPr>
          <w:ilvl w:val="1"/>
          <w:numId w:val="78"/>
        </w:numPr>
        <w:rPr>
          <w:rFonts w:ascii="Arial" w:cs="Arial" w:eastAsia="Arial" w:hAnsi="Arial"/>
          <w:sz w:val="18"/>
          <w:szCs w:val="18"/>
          <w:color w:val="auto"/>
        </w:rPr>
      </w:pPr>
      <w:r>
        <w:rPr>
          <w:rFonts w:ascii="Arial" w:cs="Arial" w:eastAsia="Arial" w:hAnsi="Arial"/>
          <w:sz w:val="18"/>
          <w:szCs w:val="18"/>
          <w:color w:val="auto"/>
        </w:rPr>
        <w:t>enter into or amend any employment, severance, special pay arrangement or other similar arrangements or agreements with any directors, officers or other employees of the Transferred Entities, so as to increase or accelerate benefits, except (A) pursuant to applicable Law, (B) pursuant to contractual arrangements or policies in effect as of the date of this Agreement, (C) 401(k) plan loans in the ordinary course of business, or (D) the Retention Bonuses;</w:t>
      </w:r>
    </w:p>
    <w:p>
      <w:pPr>
        <w:spacing w:after="0" w:line="186" w:lineRule="exact"/>
        <w:rPr>
          <w:rFonts w:ascii="Arial" w:cs="Arial" w:eastAsia="Arial" w:hAnsi="Arial"/>
          <w:sz w:val="18"/>
          <w:szCs w:val="18"/>
          <w:color w:val="auto"/>
        </w:rPr>
      </w:pPr>
    </w:p>
    <w:p>
      <w:pPr>
        <w:ind w:left="1300" w:right="100" w:firstLine="653"/>
        <w:spacing w:after="0" w:line="264" w:lineRule="auto"/>
        <w:tabs>
          <w:tab w:leader="none" w:pos="2613"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increase the cash compensation of any senior officer or key employee of the Transferred Entities, except for increases in the ordinary course of business or except pursuant to contractual or incentive compensation arrangements in effect as of the date of this Agreement;</w:t>
      </w:r>
    </w:p>
    <w:p>
      <w:pPr>
        <w:spacing w:after="0" w:line="181" w:lineRule="exact"/>
        <w:rPr>
          <w:rFonts w:ascii="Arial" w:cs="Arial" w:eastAsia="Arial" w:hAnsi="Arial"/>
          <w:sz w:val="18"/>
          <w:szCs w:val="18"/>
          <w:color w:val="auto"/>
        </w:rPr>
      </w:pPr>
    </w:p>
    <w:p>
      <w:pPr>
        <w:ind w:left="1300" w:right="100" w:firstLine="653"/>
        <w:spacing w:after="0" w:line="291" w:lineRule="auto"/>
        <w:tabs>
          <w:tab w:leader="none" w:pos="2623" w:val="left"/>
        </w:tabs>
        <w:numPr>
          <w:ilvl w:val="1"/>
          <w:numId w:val="78"/>
        </w:numPr>
        <w:rPr>
          <w:rFonts w:ascii="Arial" w:cs="Arial" w:eastAsia="Arial" w:hAnsi="Arial"/>
          <w:sz w:val="16"/>
          <w:szCs w:val="16"/>
          <w:color w:val="auto"/>
        </w:rPr>
      </w:pPr>
      <w:r>
        <w:rPr>
          <w:rFonts w:ascii="Arial" w:cs="Arial" w:eastAsia="Arial" w:hAnsi="Arial"/>
          <w:sz w:val="16"/>
          <w:szCs w:val="16"/>
          <w:color w:val="auto"/>
        </w:rPr>
        <w:t>enter into, modify, amend or terminate any Business Material Contract, or waive, release, compromise or assign any material rights or claims under any Business Material Contract or any material lease (other than (A) in the ordinary course of business and</w:t>
      </w:r>
    </w:p>
    <w:p>
      <w:pPr>
        <w:ind w:left="1580" w:hanging="275"/>
        <w:spacing w:after="0"/>
        <w:tabs>
          <w:tab w:leader="none" w:pos="1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terminations of contracts and leases as a result of the expiration of the term of such contracts or leases);</w:t>
      </w:r>
    </w:p>
    <w:p>
      <w:pPr>
        <w:spacing w:after="0" w:line="210" w:lineRule="exact"/>
        <w:rPr>
          <w:rFonts w:ascii="Arial" w:cs="Arial" w:eastAsia="Arial" w:hAnsi="Arial"/>
          <w:sz w:val="18"/>
          <w:szCs w:val="18"/>
          <w:color w:val="auto"/>
        </w:rPr>
      </w:pPr>
    </w:p>
    <w:p>
      <w:pPr>
        <w:ind w:left="1300" w:right="120" w:firstLine="653"/>
        <w:spacing w:after="0" w:line="308" w:lineRule="auto"/>
        <w:tabs>
          <w:tab w:leader="none" w:pos="2632" w:val="left"/>
        </w:tabs>
        <w:numPr>
          <w:ilvl w:val="1"/>
          <w:numId w:val="79"/>
        </w:numPr>
        <w:rPr>
          <w:rFonts w:ascii="Arial" w:cs="Arial" w:eastAsia="Arial" w:hAnsi="Arial"/>
          <w:sz w:val="17"/>
          <w:szCs w:val="17"/>
          <w:color w:val="auto"/>
        </w:rPr>
      </w:pPr>
      <w:r>
        <w:rPr>
          <w:rFonts w:ascii="Arial" w:cs="Arial" w:eastAsia="Arial" w:hAnsi="Arial"/>
          <w:sz w:val="17"/>
          <w:szCs w:val="17"/>
          <w:color w:val="auto"/>
        </w:rPr>
        <w:t>purchase all or substantially all of the assets of, any securities of or make any investment in, either by purchase of stock or other securities or by contributions to capital, any Person, or acquire direct or indirect control over any Person;</w:t>
      </w:r>
    </w:p>
    <w:p>
      <w:pPr>
        <w:spacing w:after="0" w:line="146" w:lineRule="exact"/>
        <w:rPr>
          <w:rFonts w:ascii="Arial" w:cs="Arial" w:eastAsia="Arial" w:hAnsi="Arial"/>
          <w:sz w:val="17"/>
          <w:szCs w:val="17"/>
          <w:color w:val="auto"/>
        </w:rPr>
      </w:pPr>
    </w:p>
    <w:p>
      <w:pPr>
        <w:ind w:left="1300" w:firstLine="653"/>
        <w:spacing w:after="0" w:line="297" w:lineRule="auto"/>
        <w:tabs>
          <w:tab w:leader="none" w:pos="2613" w:val="left"/>
        </w:tabs>
        <w:numPr>
          <w:ilvl w:val="1"/>
          <w:numId w:val="79"/>
        </w:numPr>
        <w:rPr>
          <w:rFonts w:ascii="Arial" w:cs="Arial" w:eastAsia="Arial" w:hAnsi="Arial"/>
          <w:sz w:val="16"/>
          <w:szCs w:val="16"/>
          <w:color w:val="auto"/>
        </w:rPr>
      </w:pPr>
      <w:r>
        <w:rPr>
          <w:rFonts w:ascii="Arial" w:cs="Arial" w:eastAsia="Arial" w:hAnsi="Arial"/>
          <w:sz w:val="16"/>
          <w:szCs w:val="16"/>
          <w:color w:val="auto"/>
        </w:rPr>
        <w:t>make any new Tax election or modify or revoke any existing Tax election, change any Tax or accounting methods or systems of internal accounting controls of Newco or Alkermes Gainesville (except as may be required to conform to Laws relating to Taxes or regulatory accounting requirements or GAAP), file any amended Tax Return, enter into any Tax indemnity, sharing or allocation agreement, surrender any right to claim a refund, offset or other reduction of Taxes, consent to any extension or waiver of the limitations period applicable to any Tax claim or assessment relating to Newco or Alkermes Gainesville, or settle or compromise any Tax claim;</w:t>
      </w:r>
    </w:p>
    <w:p>
      <w:pPr>
        <w:spacing w:after="0" w:line="158" w:lineRule="exact"/>
        <w:rPr>
          <w:rFonts w:ascii="Arial" w:cs="Arial" w:eastAsia="Arial" w:hAnsi="Arial"/>
          <w:sz w:val="16"/>
          <w:szCs w:val="16"/>
          <w:color w:val="auto"/>
        </w:rPr>
      </w:pPr>
    </w:p>
    <w:p>
      <w:pPr>
        <w:ind w:left="2600" w:hanging="647"/>
        <w:spacing w:after="0"/>
        <w:tabs>
          <w:tab w:leader="none" w:pos="26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commence any Action other than in accordance with past practice;</w:t>
      </w:r>
    </w:p>
    <w:p>
      <w:pPr>
        <w:spacing w:after="0" w:line="225" w:lineRule="exact"/>
        <w:rPr>
          <w:rFonts w:ascii="Arial" w:cs="Arial" w:eastAsia="Arial" w:hAnsi="Arial"/>
          <w:sz w:val="18"/>
          <w:szCs w:val="18"/>
          <w:color w:val="auto"/>
        </w:rPr>
      </w:pPr>
    </w:p>
    <w:p>
      <w:pPr>
        <w:ind w:left="1300" w:right="380" w:firstLine="653"/>
        <w:spacing w:after="0" w:line="277" w:lineRule="auto"/>
        <w:tabs>
          <w:tab w:leader="none" w:pos="2613" w:val="left"/>
        </w:tabs>
        <w:numPr>
          <w:ilvl w:val="1"/>
          <w:numId w:val="79"/>
        </w:numPr>
        <w:rPr>
          <w:rFonts w:ascii="Arial" w:cs="Arial" w:eastAsia="Arial" w:hAnsi="Arial"/>
          <w:sz w:val="18"/>
          <w:szCs w:val="18"/>
          <w:color w:val="auto"/>
        </w:rPr>
      </w:pPr>
      <w:r>
        <w:rPr>
          <w:rFonts w:ascii="Arial" w:cs="Arial" w:eastAsia="Arial" w:hAnsi="Arial"/>
          <w:sz w:val="18"/>
          <w:szCs w:val="18"/>
          <w:color w:val="auto"/>
        </w:rPr>
        <w:t>settle any Action involving any Liability of any Transferred Entity for money damages where the settlement amount exceeds Two Hundred Fifty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Thousand Dollars ($250,000) or where the settlement would include any restriction upon the operations of any Transferred Entity;</w:t>
      </w:r>
    </w:p>
    <w:p>
      <w:pPr>
        <w:spacing w:after="0" w:line="237" w:lineRule="exact"/>
        <w:rPr>
          <w:sz w:val="20"/>
          <w:szCs w:val="20"/>
          <w:color w:val="auto"/>
        </w:rPr>
      </w:pPr>
    </w:p>
    <w:p>
      <w:pPr>
        <w:ind w:left="2620" w:hanging="667"/>
        <w:spacing w:after="0"/>
        <w:tabs>
          <w:tab w:leader="none" w:pos="2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enter into any line of business in which the Transferred Entities do not participate or engage as of the date hereof;</w:t>
      </w:r>
    </w:p>
    <w:p>
      <w:pPr>
        <w:spacing w:after="0" w:line="236" w:lineRule="exact"/>
        <w:rPr>
          <w:rFonts w:ascii="Arial" w:cs="Arial" w:eastAsia="Arial" w:hAnsi="Arial"/>
          <w:sz w:val="17"/>
          <w:szCs w:val="17"/>
          <w:color w:val="auto"/>
        </w:rPr>
      </w:pPr>
    </w:p>
    <w:p>
      <w:pPr>
        <w:ind w:left="1300" w:right="20" w:firstLine="653"/>
        <w:spacing w:after="0" w:line="259" w:lineRule="auto"/>
        <w:tabs>
          <w:tab w:leader="none" w:pos="2632"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divest, sell, lease, license, transfer or otherwise dispose or permit the cancellation, abandonment, or dedication to the public domain of any Business Intellectual Property, other than: (i) in the ordinary course of business and, in the case of patents included in the Business Intellectual Property, pursuant to the expiration of their statutory term; and (ii) transfers of Intellectual Property Rights from one Transferred Entity to another Transferred Entity;</w:t>
      </w:r>
    </w:p>
    <w:p>
      <w:pPr>
        <w:spacing w:after="0" w:line="186" w:lineRule="exact"/>
        <w:rPr>
          <w:rFonts w:ascii="Arial" w:cs="Arial" w:eastAsia="Arial" w:hAnsi="Arial"/>
          <w:sz w:val="18"/>
          <w:szCs w:val="18"/>
          <w:color w:val="auto"/>
        </w:rPr>
      </w:pPr>
    </w:p>
    <w:p>
      <w:pPr>
        <w:ind w:left="1300" w:right="60" w:firstLine="653"/>
        <w:spacing w:after="0" w:line="277" w:lineRule="auto"/>
        <w:tabs>
          <w:tab w:leader="none" w:pos="2609"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sell, assign, transfer, convey, pledge or otherwise dispose of or encumber any accounts receivable, except in the ordinary course of business;</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fail to pay its accounts payable and similar debts in the ordinary course of business;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fail to maintain the assets of the Transferred Entities in substantially their current state of repair, excepting normal wear</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 tear; or</w:t>
      </w:r>
    </w:p>
    <w:p>
      <w:pPr>
        <w:spacing w:after="0" w:line="210" w:lineRule="exact"/>
        <w:rPr>
          <w:rFonts w:ascii="Arial" w:cs="Arial" w:eastAsia="Arial" w:hAnsi="Arial"/>
          <w:sz w:val="16"/>
          <w:szCs w:val="16"/>
          <w:color w:val="auto"/>
        </w:rPr>
      </w:pPr>
    </w:p>
    <w:p>
      <w:pPr>
        <w:ind w:left="2620" w:hanging="667"/>
        <w:spacing w:after="0"/>
        <w:tabs>
          <w:tab w:leader="none" w:pos="2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authorize or enter into any agreement or otherwise make any commitment to do any of the foregoing.</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Notwithstanding anything to the contrary in this Agreement, including this </w:t>
      </w:r>
      <w:r>
        <w:rPr>
          <w:rFonts w:ascii="Arial" w:cs="Arial" w:eastAsia="Arial" w:hAnsi="Arial"/>
          <w:sz w:val="18"/>
          <w:szCs w:val="18"/>
          <w:u w:val="single" w:color="auto"/>
          <w:color w:val="auto"/>
        </w:rPr>
        <w:t>Section 5.4</w:t>
      </w:r>
      <w:r>
        <w:rPr>
          <w:rFonts w:ascii="Arial" w:cs="Arial" w:eastAsia="Arial" w:hAnsi="Arial"/>
          <w:sz w:val="18"/>
          <w:szCs w:val="18"/>
          <w:color w:val="auto"/>
        </w:rPr>
        <w:t>, the Sellers and the Transferred Entities may divest any and all Excluded Assets prior to Closing.</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Consents</w:t>
      </w:r>
      <w:r>
        <w:rPr>
          <w:rFonts w:ascii="Arial" w:cs="Arial" w:eastAsia="Arial" w:hAnsi="Arial"/>
          <w:sz w:val="18"/>
          <w:szCs w:val="18"/>
          <w:color w:val="auto"/>
        </w:rPr>
        <w:t>. Seller shall use commercially reasonably efforts to obtain any consents required from third parties in connection with the consummation of the transactions contemplated by this Agreement pursuant to the Business Material Contracts.</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Except as otherwise required by Law, each of Sellers and Purchasers will consult with the other and obtain the consent of the other (which consent shall not be unreasonably withheld, conditioned or delayed) before issuing any press releases or any public statements with respect to this Agreement and the transactions contemplated by this Agreement, except as may be required by Law or stock exchange rules, in which case the Party required to publish such press release or public announcement or make such other communication shall use reasonable efforts to provide the other Parties a reasonable opportunity to comment on such press release or public announcement in advance of the time of disclosure of such publication or such other communication.</w:t>
      </w:r>
    </w:p>
    <w:p>
      <w:pPr>
        <w:spacing w:after="0" w:line="193"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Intercompany Accounts</w:t>
      </w:r>
      <w:r>
        <w:rPr>
          <w:rFonts w:ascii="Arial" w:cs="Arial" w:eastAsia="Arial" w:hAnsi="Arial"/>
          <w:sz w:val="16"/>
          <w:szCs w:val="16"/>
          <w:color w:val="auto"/>
        </w:rPr>
        <w:t>. At or prior to the Closing, all intercompany accounts between each Seller and/or any of its Affiliates (other than any Transferred Entity), on the one hand, and each Transferred Entity, on the other hand, shall be settled or otherwise eliminated. This provision shall not</w:t>
      </w:r>
    </w:p>
    <w:p>
      <w:pPr>
        <w:sectPr>
          <w:pgSz w:w="11900" w:h="16975" w:orient="portrait"/>
          <w:cols w:equalWidth="0" w:num="1">
            <w:col w:w="11360"/>
          </w:cols>
          <w:pgMar w:left="240" w:top="125" w:right="299" w:bottom="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apply to intercompany accounts between and among the Transferred Entities.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Termination of Intercompany Agreements</w:t>
      </w:r>
      <w:r>
        <w:rPr>
          <w:rFonts w:ascii="Arial" w:cs="Arial" w:eastAsia="Arial" w:hAnsi="Arial"/>
          <w:sz w:val="16"/>
          <w:szCs w:val="16"/>
          <w:color w:val="auto"/>
        </w:rPr>
        <w:t xml:space="preserve">. Effective at the Closing, all Related Party Agreements shall be terminated, except for (i) this Agreement, (ii) the Transition Services Agreement, (iii) the Supply Agreements and (iv) the Contracts listed in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of the Sellers Disclosure Letter.</w:t>
      </w:r>
    </w:p>
    <w:p>
      <w:pPr>
        <w:spacing w:after="0" w:line="12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From and after the Closing Date, the Transferred Entities shall cease to be insured by Parent or its respective Affiliates’ (other than the Transferred Entities’) insurance policies or by any of their self-insured programs, and shall have no access to any such insurance policies other than as set forth in this Agreement and the Transition Services Agreement. Each Seller or any of its respective Affiliates may, to be effective as of the Closing, amend any insurance policies in the manner it deems appropriate to give effect to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From and after the Closing, Purchasers shall be responsible for securing all insurance it considers appropriate for its operation of the Transferred Entities and the Business. At the Closing Date, Sellers agree to take over and assume all the known and incurred claims of the Transferred Entities and the Business set forth on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of the Sellers Disclosure Letter, which have been incurred as of the Closing Date, and Sellers agrees to be responsible to pay such claims until they are finally settled. Purchasers further covenant and agree not to seek to assert or to exercise any rights or claims of the Transferred Entities or the Business under or in respect of any past or current insurance policy under which any member of the Transferred Entities or any Affiliate thereof or the Business is a named insured.</w:t>
      </w:r>
    </w:p>
    <w:p>
      <w:pPr>
        <w:spacing w:after="0" w:line="167" w:lineRule="exact"/>
        <w:rPr>
          <w:sz w:val="20"/>
          <w:szCs w:val="20"/>
          <w:color w:val="auto"/>
        </w:rPr>
      </w:pPr>
    </w:p>
    <w:p>
      <w:pPr>
        <w:ind w:right="300" w:firstLine="648"/>
        <w:spacing w:after="0" w:line="270"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Litigation Support</w:t>
      </w:r>
      <w:r>
        <w:rPr>
          <w:rFonts w:ascii="Arial" w:cs="Arial" w:eastAsia="Arial" w:hAnsi="Arial"/>
          <w:sz w:val="17"/>
          <w:szCs w:val="17"/>
          <w:color w:val="auto"/>
        </w:rPr>
        <w:t xml:space="preserve">. In the event and for so long as Sellers actively are prosecuting, contesting or defending any Action by a Person in connection with (a) any transactions contemplated under this Agreement or (b) any fact, situation, circumstance, status, condition, activity, practice, plan, occurrence, event, incident, action, failure to act, or transaction involving the Business or the Transferred Entities, Purchasers shall, and shall cause their Affiliates to, cooperate with Sellers and their respective counsel in the prosecution, contest or defense, make available its personnel, and provide such testimony and access to its Books and Records and such other files, documents and records as shall be reasonably necessary in connection with the prosecution, contest or defense;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access and cooperation shall not unreasonably interfere with the ongoing operations of Purchasers, the Transferred Entities and their Affiliates;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Seller shall promptly, upon request by Purchasers, the Transferred Entities or their Affiliates, reimburse Purchasers, the Transferred Entities or their Affiliates for all reasonable and documented out-of-pocket costs incurred by them in connection with such cooperation and access.</w:t>
      </w:r>
    </w:p>
    <w:p>
      <w:pPr>
        <w:spacing w:after="0" w:line="18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Payments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64" w:lineRule="auto"/>
        <w:tabs>
          <w:tab w:leader="none" w:pos="1942"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Sellers shall promptly pay or deliver to Purchasers any monies or checks which have been sent to Sellers or their respective Affiliates after the Closing Date by customers, suppliers or other contracting parties of the Transferred Entities and the Business and which should have been sent to Purchasers.</w:t>
      </w:r>
    </w:p>
    <w:p>
      <w:pPr>
        <w:spacing w:after="0" w:line="181" w:lineRule="exact"/>
        <w:rPr>
          <w:rFonts w:ascii="Arial" w:cs="Arial" w:eastAsia="Arial" w:hAnsi="Arial"/>
          <w:sz w:val="18"/>
          <w:szCs w:val="18"/>
          <w:color w:val="auto"/>
        </w:rPr>
      </w:pPr>
    </w:p>
    <w:p>
      <w:pPr>
        <w:ind w:right="820" w:firstLine="1305"/>
        <w:spacing w:after="0" w:line="342" w:lineRule="auto"/>
        <w:tabs>
          <w:tab w:leader="none" w:pos="1952" w:val="left"/>
        </w:tabs>
        <w:numPr>
          <w:ilvl w:val="0"/>
          <w:numId w:val="81"/>
        </w:numPr>
        <w:rPr>
          <w:rFonts w:ascii="Arial" w:cs="Arial" w:eastAsia="Arial" w:hAnsi="Arial"/>
          <w:sz w:val="16"/>
          <w:szCs w:val="16"/>
          <w:color w:val="auto"/>
        </w:rPr>
      </w:pPr>
      <w:r>
        <w:rPr>
          <w:rFonts w:ascii="Arial" w:cs="Arial" w:eastAsia="Arial" w:hAnsi="Arial"/>
          <w:sz w:val="16"/>
          <w:szCs w:val="16"/>
          <w:color w:val="auto"/>
        </w:rPr>
        <w:t>Purchasers shall promptly pay or deliver to Sellers any monies or checks which have been sent after the Closing Date to Purchasers to the extent they are not due to the Business or the Transferred Entities or should have otherwise been sent to any Seller or any 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their respective Affiliates, other than the Transferred Entities (including promptly forwarding invoices or similar documentation to Sellers).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u w:val="single" w:color="auto"/>
          <w:color w:val="auto"/>
        </w:rPr>
        <w:t>Debt Financing</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7" w:lineRule="auto"/>
        <w:tabs>
          <w:tab w:leader="none" w:pos="1942"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u w:val="single" w:color="auto"/>
          <w:color w:val="auto"/>
        </w:rPr>
        <w:t>Section 5.2</w:t>
      </w:r>
      <w:r>
        <w:rPr>
          <w:rFonts w:ascii="Arial" w:cs="Arial" w:eastAsia="Arial" w:hAnsi="Arial"/>
          <w:sz w:val="16"/>
          <w:szCs w:val="16"/>
          <w:color w:val="auto"/>
        </w:rPr>
        <w:t>, Purchasers shall use their reasonable best efforts to take, or cause to be taken, all actions and to do, or cause to be done, all things necessary, proper or advisable to obtain the proceeds of the Debt Financing on the terms and conditions described in the Debt Financing Agreements. Purchasers shall use their reasonable best efforts to comply with its obligations under the Debt Financing Agreements, and shall use its reasonable best efforts to cause the Debt Financing to be fully funded on the Closing Date, including by enforcing its rights under the Debt Financing Agreements and drawing on any interim or bridge financing in the event that other elements of the Debt Financing are not available. Purchasers shall give Sellers prompt notice of any material breach by any party to the Debt Financing Agreements of which Purchasers have become aware or any termination of the Debt Financing Agreements. In the event that any portion of the Debt Financing becomes unavailable, regardless of the reason therefor, Purchasers will (x) use their reasonable best efforts to obtain alternative debt financing (in an amount sufficient to pay the Initial Purchase Price and Closing Adjustment) on terms not materially less favorable, taken as a whole, to Purchasers from other sources and which do not include any conditions to the consummation of such alternative debt financing that are materially more onerous than the conditions set forth in the Debt Financing (such financing, “</w:t>
      </w:r>
      <w:r>
        <w:rPr>
          <w:rFonts w:ascii="Arial" w:cs="Arial" w:eastAsia="Arial" w:hAnsi="Arial"/>
          <w:sz w:val="16"/>
          <w:szCs w:val="16"/>
          <w:u w:val="single" w:color="auto"/>
          <w:color w:val="auto"/>
        </w:rPr>
        <w:t>Alternative Financing</w:t>
      </w:r>
      <w:r>
        <w:rPr>
          <w:rFonts w:ascii="Arial" w:cs="Arial" w:eastAsia="Arial" w:hAnsi="Arial"/>
          <w:sz w:val="16"/>
          <w:szCs w:val="16"/>
          <w:color w:val="auto"/>
        </w:rPr>
        <w:t>”), and (y) promptly notify Sellers of such unavailability and the reason therefor.</w:t>
      </w:r>
    </w:p>
    <w:p>
      <w:pPr>
        <w:spacing w:after="0" w:line="172" w:lineRule="exact"/>
        <w:rPr>
          <w:rFonts w:ascii="Arial" w:cs="Arial" w:eastAsia="Arial" w:hAnsi="Arial"/>
          <w:sz w:val="16"/>
          <w:szCs w:val="16"/>
          <w:color w:val="auto"/>
        </w:rPr>
      </w:pPr>
    </w:p>
    <w:p>
      <w:pPr>
        <w:ind w:left="1960" w:hanging="655"/>
        <w:spacing w:after="0"/>
        <w:tabs>
          <w:tab w:leader="none" w:pos="1960" w:val="left"/>
        </w:tabs>
        <w:numPr>
          <w:ilvl w:val="1"/>
          <w:numId w:val="82"/>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Purchasers shall not, without the prior written consent of Sellers,</w:t>
      </w:r>
    </w:p>
    <w:p>
      <w:pPr>
        <w:spacing w:after="0" w:line="34" w:lineRule="exact"/>
        <w:rPr>
          <w:rFonts w:ascii="Arial" w:cs="Arial" w:eastAsia="Arial" w:hAnsi="Arial"/>
          <w:sz w:val="17"/>
          <w:szCs w:val="17"/>
          <w:color w:val="auto"/>
        </w:rPr>
      </w:pPr>
    </w:p>
    <w:p>
      <w:pPr>
        <w:ind w:right="80" w:firstLine="8"/>
        <w:spacing w:after="0" w:line="252" w:lineRule="auto"/>
        <w:tabs>
          <w:tab w:leader="none" w:pos="2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amend, modify, supplement or waive any of the conditions to funding contained in the Debt Financing Agreements or any other provision thereof or remedies thereunder, in each case to the extent such amendment, modification, supplement or waiver would reasonably be expected to adversely affect the ability of Purchasers to timely consummate the transactions contemplated by this Agreement (including by making the conditions herein less likely to be satisfied or unreasonably delaying the Closing); (ii) undertake any merger, acquisition, joint venture, disposition, lease, contract or debt or equity financing that would reasonably be expected to impair, delay or prevent consummation of the Debt Financing contemplated by the Debt Financing Agreements or any Alternative Financing contemplated by any new debt commitment letter; or (iii) amend or alter, or agree to amend or alter, the Debt Financing Agreements in any manner that would reasonably be expected to prevent, impair or delay the consummation of the Debt Financing or the transactions contemplated by this Agreement.</w:t>
      </w:r>
    </w:p>
    <w:p>
      <w:pPr>
        <w:spacing w:after="0" w:line="191" w:lineRule="exact"/>
        <w:rPr>
          <w:rFonts w:ascii="Arial" w:cs="Arial" w:eastAsia="Arial" w:hAnsi="Arial"/>
          <w:sz w:val="18"/>
          <w:szCs w:val="18"/>
          <w:color w:val="auto"/>
        </w:rPr>
      </w:pPr>
    </w:p>
    <w:p>
      <w:pPr>
        <w:ind w:right="80" w:firstLine="1305"/>
        <w:spacing w:after="0" w:line="297" w:lineRule="auto"/>
        <w:tabs>
          <w:tab w:leader="none" w:pos="1955" w:val="left"/>
        </w:tabs>
        <w:numPr>
          <w:ilvl w:val="1"/>
          <w:numId w:val="83"/>
        </w:numPr>
        <w:rPr>
          <w:rFonts w:ascii="Arial" w:cs="Arial" w:eastAsia="Arial" w:hAnsi="Arial"/>
          <w:sz w:val="16"/>
          <w:szCs w:val="16"/>
          <w:color w:val="auto"/>
        </w:rPr>
      </w:pPr>
      <w:r>
        <w:rPr>
          <w:rFonts w:ascii="Arial" w:cs="Arial" w:eastAsia="Arial" w:hAnsi="Arial"/>
          <w:sz w:val="16"/>
          <w:szCs w:val="16"/>
          <w:color w:val="auto"/>
        </w:rPr>
        <w:t>Prior to the Closing, Sellers shall use commercially reasonable efforts to, and to cause the Transferred Entities and their respective officers, employees and advisors, including legal, financial and accounting advisors, of Sellers and the Transferred Entities to, provide to Purchasers such cooperation as is reasonably requested by Purchasers and the Lenders in connection with the Debt Financing (provided that such requested cooperation does not unreasonably interfere with the ongoing operations of Sellers and their Affiliates), including (i) furnishing Purchasers and the Lender with financial and other pertinent information; (ii) in each case, upon reasonable notice, making management of the Transferred Entities (including some</w:t>
      </w:r>
    </w:p>
    <w:p>
      <w:pPr>
        <w:sectPr>
          <w:pgSz w:w="11900" w:h="16838" w:orient="portrait"/>
          <w:cols w:equalWidth="0" w:num="1">
            <w:col w:w="11420"/>
          </w:cols>
          <w:pgMar w:left="240" w:top="125" w:right="239" w:bottom="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2" w:name="page33"/>
    <w:bookmarkEnd w:id="32"/>
    <w:p>
      <w:pPr>
        <w:ind w:right="20"/>
        <w:spacing w:after="0" w:line="267" w:lineRule="auto"/>
        <w:rPr>
          <w:sz w:val="20"/>
          <w:szCs w:val="20"/>
          <w:color w:val="auto"/>
        </w:rPr>
      </w:pPr>
      <w:r>
        <w:rPr>
          <w:rFonts w:ascii="Arial" w:cs="Arial" w:eastAsia="Arial" w:hAnsi="Arial"/>
          <w:sz w:val="17"/>
          <w:szCs w:val="17"/>
          <w:color w:val="auto"/>
        </w:rPr>
        <w:t xml:space="preserve">members of the financial staff) available to participate in a reasonable number of meetings (including customary one-on-one meetings with parties acting as lead arrangers or agents for, and prospective lenders and purchasers of, any such financing), presentations and due diligence sessions in connection with such financing; (iii) assisting Purchasers and the Lender in the preparation of (A) a customary offering document, private placement memorandum and/or bank information memorandum and similar marketing documents for any of the Debt Financing; and (B) materials for rating agency presentations; (iv) using commercially reasonable efforts to cause its independent auditors to cooperate with the Debt Financing; (v) taking all actions reasonably necessary that are consistent with the terms of this Agreement or otherwise facilitating the pledging of collateral of the Transferred Entities in respect of the Business from and after the Closing as may be reasonably requested by Purchasers; (vi) promptly furnishing all documentation and other information about the Transferred Entities required by Governmental Entities with respect to the financing under applicable “know your customer” and anti-money laundering rules and regulations including without limitation the USA Patriot Act; and (vii) taking all corporate or limited liability company actions, subject to the occurrence of the Closing, reasonably requested to permit the consummation of any such financing and to permit the proceeds thereof to be made available to the Transferred Entities, including entering into one or more credit agreements, indentures or other instruments on terms reasonably satisfactory to Purchasers in connection therewith; provided that neither Sellers nor any of their Affiliates shall be required to pay any commitment or other similar fee, provide any security or incur any other liability in connection with the Debt Financing;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the effectiveness of any documentation executed by any Seller with respect thereto shall be subject to the consummation of the Closing;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Purchasers shall promptly, upon request by Sellers, reimburse Sellers for all reasonable and documented out-of-pocket costs incurred by Sellers or any of their Affiliates in connection with such cooperation. Any information provided to Purchasers, or on behalf of or at the request of Purchasers, pursuant to this </w:t>
      </w:r>
      <w:r>
        <w:rPr>
          <w:rFonts w:ascii="Arial" w:cs="Arial" w:eastAsia="Arial" w:hAnsi="Arial"/>
          <w:sz w:val="17"/>
          <w:szCs w:val="17"/>
          <w:u w:val="single" w:color="auto"/>
          <w:color w:val="auto"/>
        </w:rPr>
        <w:t>Section 5.12(c)</w:t>
      </w:r>
      <w:r>
        <w:rPr>
          <w:rFonts w:ascii="Arial" w:cs="Arial" w:eastAsia="Arial" w:hAnsi="Arial"/>
          <w:sz w:val="17"/>
          <w:szCs w:val="17"/>
          <w:color w:val="auto"/>
        </w:rPr>
        <w:t xml:space="preserve"> shall be subject to the Confidentiality Agreement and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93"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Directors and Officers Indemnification</w:t>
      </w:r>
      <w:r>
        <w:rPr>
          <w:rFonts w:ascii="Arial" w:cs="Arial" w:eastAsia="Arial" w:hAnsi="Arial"/>
          <w:sz w:val="17"/>
          <w:szCs w:val="17"/>
          <w:color w:val="auto"/>
        </w:rPr>
        <w:t>. The Parties agree that all rights to exculpation, indemnification and advancement of expenses for acts or omissions occurring at or prior to the Closing, whether asserted or claimed prior to, at or after the Closing, now existing in favor of the current or former directors, officers or employees, as the case may be, of the Transferred Entities (whether provided in the respective Governing Documents of such entity or in any agreement as in effect on the date of this Agreement) shall survive the Closing and remain in full force and effect.</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7"/>
          <w:szCs w:val="17"/>
          <w:u w:val="single" w:color="auto"/>
          <w:color w:val="auto"/>
        </w:rPr>
        <w:t>Non-Competition; Non- Solicitation</w:t>
      </w:r>
      <w:r>
        <w:rPr>
          <w:rFonts w:ascii="Arial" w:cs="Arial" w:eastAsia="Arial" w:hAnsi="Arial"/>
          <w:sz w:val="17"/>
          <w:szCs w:val="17"/>
          <w:color w:val="auto"/>
        </w:rPr>
        <w:t>.</w:t>
      </w:r>
    </w:p>
    <w:p>
      <w:pPr>
        <w:spacing w:after="0" w:line="225" w:lineRule="exact"/>
        <w:rPr>
          <w:sz w:val="20"/>
          <w:szCs w:val="20"/>
          <w:color w:val="auto"/>
        </w:rPr>
      </w:pPr>
    </w:p>
    <w:p>
      <w:pPr>
        <w:ind w:right="40" w:firstLine="1305"/>
        <w:spacing w:after="0" w:line="257" w:lineRule="auto"/>
        <w:tabs>
          <w:tab w:leader="none" w:pos="1942"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Until the second (2nd) anniversary of the Closing, Sellers shall not, directly or indirectly, (i) solicit for employment or any similar arrangement any Transferred Entity Employee or (ii) hire any Transferred Entity Employee;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5.14(a)</w:t>
      </w:r>
      <w:r>
        <w:rPr>
          <w:rFonts w:ascii="Arial" w:cs="Arial" w:eastAsia="Arial" w:hAnsi="Arial"/>
          <w:sz w:val="18"/>
          <w:szCs w:val="18"/>
          <w:color w:val="auto"/>
        </w:rPr>
        <w:t xml:space="preserve"> shall (a) not apply to Transferred Entity Employees whose employment has been terminated by Purchasers, (b) not prohibit general solicitations for employment through advertisements or other means not targeted specifically to Transferred Entity Employees; and (c) shall not prevent the hiring of Transferred Entity Employees that respond to general solicitations such as those specified in (b) above.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89" w:lineRule="auto"/>
        <w:tabs>
          <w:tab w:leader="none" w:pos="1952" w:val="left"/>
        </w:tabs>
        <w:numPr>
          <w:ilvl w:val="0"/>
          <w:numId w:val="85"/>
        </w:numPr>
        <w:rPr>
          <w:rFonts w:ascii="Arial" w:cs="Arial" w:eastAsia="Arial" w:hAnsi="Arial"/>
          <w:sz w:val="16"/>
          <w:szCs w:val="16"/>
          <w:color w:val="auto"/>
        </w:rPr>
      </w:pPr>
      <w:r>
        <w:rPr>
          <w:rFonts w:ascii="Arial" w:cs="Arial" w:eastAsia="Arial" w:hAnsi="Arial"/>
          <w:sz w:val="16"/>
          <w:szCs w:val="16"/>
          <w:color w:val="auto"/>
        </w:rPr>
        <w:t>During the period beginning on the Closing Date and ending on the third (3rd) anniversary of the Closing Date (the “</w:t>
      </w:r>
      <w:r>
        <w:rPr>
          <w:rFonts w:ascii="Arial" w:cs="Arial" w:eastAsia="Arial" w:hAnsi="Arial"/>
          <w:sz w:val="16"/>
          <w:szCs w:val="16"/>
          <w:u w:val="single" w:color="auto"/>
          <w:color w:val="auto"/>
        </w:rPr>
        <w:t>Non-Compete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except for ownership of the equity in Recro issued pursuant to the Warrant, Sellers and their Affiliates agree not to directly or indirectly engage in, or have an ownership interest in, any business or enterprise (or subsidiary or division thereof) that engages in the development, license, manufacture, testing, packaging, storage, sale and shipment of the Products (</w:t>
      </w:r>
      <w:r>
        <w:rPr>
          <w:rFonts w:ascii="Arial" w:cs="Arial" w:eastAsia="Arial" w:hAnsi="Arial"/>
          <w:sz w:val="16"/>
          <w:szCs w:val="16"/>
          <w:b w:val="1"/>
          <w:bCs w:val="1"/>
          <w:color w:val="auto"/>
        </w:rPr>
        <w:t>other than Meloxicam</w:t>
      </w:r>
      <w:r>
        <w:rPr>
          <w:rFonts w:ascii="Arial" w:cs="Arial" w:eastAsia="Arial" w:hAnsi="Arial"/>
          <w:sz w:val="16"/>
          <w:szCs w:val="16"/>
          <w:color w:val="auto"/>
        </w:rPr>
        <w:t xml:space="preserve">) or the underlying molecules or salts thereof </w:t>
      </w:r>
      <w:r>
        <w:rPr>
          <w:rFonts w:ascii="Arial" w:cs="Arial" w:eastAsia="Arial" w:hAnsi="Arial"/>
          <w:sz w:val="16"/>
          <w:szCs w:val="16"/>
          <w:b w:val="1"/>
          <w:bCs w:val="1"/>
          <w:color w:val="auto"/>
        </w:rPr>
        <w:t>in combination with</w:t>
      </w:r>
      <w:r>
        <w:rPr>
          <w:rFonts w:ascii="Arial" w:cs="Arial" w:eastAsia="Arial" w:hAnsi="Arial"/>
          <w:sz w:val="16"/>
          <w:szCs w:val="16"/>
          <w:color w:val="auto"/>
        </w:rPr>
        <w:t xml:space="preserve"> the OCR IP covering such Products (a “</w:t>
      </w:r>
      <w:r>
        <w:rPr>
          <w:rFonts w:ascii="Arial" w:cs="Arial" w:eastAsia="Arial" w:hAnsi="Arial"/>
          <w:sz w:val="16"/>
          <w:szCs w:val="16"/>
          <w:u w:val="single" w:color="auto"/>
          <w:color w:val="auto"/>
        </w:rPr>
        <w:t>Competing Business</w:t>
      </w:r>
      <w:r>
        <w:rPr>
          <w:rFonts w:ascii="Arial" w:cs="Arial" w:eastAsia="Arial" w:hAnsi="Arial"/>
          <w:sz w:val="16"/>
          <w:szCs w:val="16"/>
          <w:color w:val="auto"/>
        </w:rPr>
        <w:t xml:space="preserve">”). If Sellers and/or their Affiliates are directly or indirectly acquired by (whether by merger, acquisition of assets or equity, or otherwise), or directly or indirectly acquire (whether by merger, acquisition of assets or equity, or otherwise), a third party which engages in a Competing Business, such third party and its Affiliates (other than Sellers and/or their Affiliates existing prior to the date of such acquisition) shall not be restricted from continuing to engage in such Competing Business pursuant to this </w:t>
      </w:r>
      <w:r>
        <w:rPr>
          <w:rFonts w:ascii="Arial" w:cs="Arial" w:eastAsia="Arial" w:hAnsi="Arial"/>
          <w:sz w:val="16"/>
          <w:szCs w:val="16"/>
          <w:u w:val="single" w:color="auto"/>
          <w:color w:val="auto"/>
        </w:rPr>
        <w:t>Section 5.14(b)</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rights of such third party and its Affiliates to utilize the OCR IP in such Competing Business existed prior to the date of such acquisition.</w:t>
      </w:r>
    </w:p>
    <w:p>
      <w:pPr>
        <w:spacing w:after="0" w:line="166" w:lineRule="exact"/>
        <w:rPr>
          <w:rFonts w:ascii="Arial" w:cs="Arial" w:eastAsia="Arial" w:hAnsi="Arial"/>
          <w:sz w:val="16"/>
          <w:szCs w:val="16"/>
          <w:color w:val="auto"/>
        </w:rPr>
      </w:pPr>
    </w:p>
    <w:p>
      <w:pPr>
        <w:ind w:firstLine="1305"/>
        <w:spacing w:after="0" w:line="269" w:lineRule="auto"/>
        <w:tabs>
          <w:tab w:leader="none" w:pos="1955"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Each Party acknowledges and agrees that the provisions of this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are reasonable and necessary to protect the legitimate business interests of the other Party, including without limitation such Party’s confidential information and goodwill. Each Party agrees, and shall not contest, that the other Party’s remedies at law for any breach or threat of breach by such Party or its Affiliates of the provisions of this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will be inadequate, and that the other Party shall be entitled to an injunction or injunctions to prevent breaches of the provisions of this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and to enforce specifically such terms and provisions, in addition to any other remedy to which the other Party may be entitled at law or in equity. The restrictive covenants contained in this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are covenants independent of any other provision of this Agreement or other agreement between the Parties and the existence of any claim which a Party may allege against another Party under any provision of this Agreement, any other Agreement, or otherwise will not prevent the enforcement of the covenants in this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If any of the provisions contained in this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shall for any reason be held to be excessively broad as to duration, scope, activity or subject, then such provision shall be construed by limited and reducing it, so as to be valid and enforceable to the extent compatible with applicable Law or the determination by a court of competent jurisdiction. The Parties agree and intent that a Party’s obligations under this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will be tolled during any period that such party is found to be in breach of any of the obligations under this </w:t>
      </w:r>
      <w:r>
        <w:rPr>
          <w:rFonts w:ascii="Arial" w:cs="Arial" w:eastAsia="Arial" w:hAnsi="Arial"/>
          <w:sz w:val="17"/>
          <w:szCs w:val="17"/>
          <w:u w:val="single" w:color="auto"/>
          <w:color w:val="auto"/>
        </w:rPr>
        <w:t>Section 5.14</w:t>
      </w:r>
      <w:r>
        <w:rPr>
          <w:rFonts w:ascii="Arial" w:cs="Arial" w:eastAsia="Arial" w:hAnsi="Arial"/>
          <w:sz w:val="17"/>
          <w:szCs w:val="17"/>
          <w:color w:val="auto"/>
        </w:rPr>
        <w:t>, so that the other Party is provided with the full benefit of the restrictive periods set forth herein.</w:t>
      </w:r>
    </w:p>
    <w:p>
      <w:pPr>
        <w:spacing w:after="0" w:line="18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Indebtedness/Lien Release</w:t>
      </w:r>
      <w:r>
        <w:rPr>
          <w:rFonts w:ascii="Arial" w:cs="Arial" w:eastAsia="Arial" w:hAnsi="Arial"/>
          <w:sz w:val="18"/>
          <w:szCs w:val="18"/>
          <w:color w:val="auto"/>
        </w:rPr>
        <w:t>. Sellers shall cause the Transferred Entities to have no Indebtedness. Simultaneously with Closing, Sellers shall cause any lender or representative thereof and any lienholder to release any and all Liens on the assets and properties of either of the Transferred Entities, other than Permitted Liens, it being understood that filings (including mortgage filings and UCC terminations) to terminate Liens as a matter of record will be filed after Closing.</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Additional Financial Statements</w:t>
      </w:r>
      <w:r>
        <w:rPr>
          <w:rFonts w:ascii="Arial" w:cs="Arial" w:eastAsia="Arial" w:hAnsi="Arial"/>
          <w:sz w:val="18"/>
          <w:szCs w:val="18"/>
          <w:color w:val="auto"/>
        </w:rPr>
        <w:t>. Sellers shall use commercially reasonable efforts to, within 60 days of Closing, provide to Purchasers audited consolidated statements of income, balance sheets and statements of cash flows of the Business (i) as of December 31, 2013 and for the nine-month period then ended and (ii) as of December 31, 2014 and for the twelve-month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period then ended. If the Closing Date is after March 31, 2015, Sellers shall use commercially reasonable efforts to also provide to Purchasers unaudited consolidated statements of income, balance sheets and statements of cash flows of the Business (i) as of March 31, 2015 and for the three-month period then</w:t>
      </w:r>
    </w:p>
    <w:p>
      <w:pPr>
        <w:sectPr>
          <w:pgSz w:w="11900" w:h="16838" w:orient="portrait"/>
          <w:cols w:equalWidth="0" w:num="1">
            <w:col w:w="11400"/>
          </w:cols>
          <w:pgMar w:left="240" w:top="584" w:right="259" w:bottom="0" w:gutter="0" w:footer="0" w:header="0"/>
        </w:sectPr>
      </w:pPr>
    </w:p>
    <w:bookmarkStart w:id="33" w:name="page34"/>
    <w:bookmarkEnd w:id="33"/>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ended and (ii) as of March 31, 2014 and for the three-month period then ended.</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Change of Name of Transferred Entities</w:t>
      </w:r>
      <w:r>
        <w:rPr>
          <w:rFonts w:ascii="Arial" w:cs="Arial" w:eastAsia="Arial" w:hAnsi="Arial"/>
          <w:sz w:val="18"/>
          <w:szCs w:val="18"/>
          <w:color w:val="auto"/>
        </w:rPr>
        <w:t>. As soon as possible following the Closing Date, Purchasers shall eliminate the use of all of the trademarks, tradenames, service marks and service names related to “ALKERMES”, in any of their forms or spellings, in the names of the Transferred Entities and on all advertising, purchase orders and acknowledgements, customer agreements and other Contracts retained by Purchasers following the Closing.</w:t>
      </w:r>
    </w:p>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Transition Services Agreement and Supply Agreements</w:t>
      </w:r>
      <w:r>
        <w:rPr>
          <w:rFonts w:ascii="Arial" w:cs="Arial" w:eastAsia="Arial" w:hAnsi="Arial"/>
          <w:sz w:val="18"/>
          <w:szCs w:val="18"/>
          <w:color w:val="auto"/>
        </w:rPr>
        <w:t xml:space="preserve">. The Parties shall, and shall cause their Affiliates to, negotiate in good faith to finalize (i) the Transition Services Agreement, on terms and conditions consistent with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(ii) the Supply Agreements, on terms and conditions consistent with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81"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 xml:space="preserve">5.19 </w:t>
      </w:r>
      <w:r>
        <w:rPr>
          <w:rFonts w:ascii="Arial" w:cs="Arial" w:eastAsia="Arial" w:hAnsi="Arial"/>
          <w:sz w:val="16"/>
          <w:szCs w:val="16"/>
          <w:u w:val="single" w:color="auto"/>
          <w:color w:val="auto"/>
        </w:rPr>
        <w:t>Exclusivity</w:t>
      </w:r>
      <w:r>
        <w:rPr>
          <w:rFonts w:ascii="Arial" w:cs="Arial" w:eastAsia="Arial" w:hAnsi="Arial"/>
          <w:sz w:val="16"/>
          <w:szCs w:val="16"/>
          <w:color w:val="auto"/>
        </w:rPr>
        <w:t>. The Sellers agree that between the date of this Agreement and the earlier of the Closing and the termination of this Agreement pursuant to its terms, the Sellers shall not, and shall take all action necessary to ensure that none of the Sellers’ Affiliates or any of their respective Representatives shall, (a) directly or indirectly, solicit, initiate, encourage or accept any proposal or offer that constitutes an Acquisition Proposal,</w:t>
      </w:r>
    </w:p>
    <w:p>
      <w:pPr>
        <w:jc w:val="both"/>
        <w:ind w:right="140" w:firstLine="8"/>
        <w:spacing w:after="0" w:line="281" w:lineRule="auto"/>
        <w:tabs>
          <w:tab w:leader="none" w:pos="255" w:val="left"/>
        </w:tabs>
        <w:numPr>
          <w:ilvl w:val="0"/>
          <w:numId w:val="86"/>
        </w:numPr>
        <w:rPr>
          <w:rFonts w:ascii="Arial" w:cs="Arial" w:eastAsia="Arial" w:hAnsi="Arial"/>
          <w:sz w:val="16"/>
          <w:szCs w:val="16"/>
          <w:color w:val="auto"/>
        </w:rPr>
      </w:pPr>
      <w:r>
        <w:rPr>
          <w:rFonts w:ascii="Arial" w:cs="Arial" w:eastAsia="Arial" w:hAnsi="Arial"/>
          <w:sz w:val="16"/>
          <w:szCs w:val="16"/>
          <w:color w:val="auto"/>
        </w:rPr>
        <w:t>participate in any discussions, conversations, negotiations or other communications regarding, or otherwise cooperate in any way, assist or participate in, or facilitate or knowingly encourage the submission of, any proposal that constitutes, or would reasonably be expected to lead to, an Acquisition Proposal or</w:t>
      </w:r>
    </w:p>
    <w:p>
      <w:pPr>
        <w:spacing w:after="0" w:line="1" w:lineRule="exact"/>
        <w:rPr>
          <w:rFonts w:ascii="Arial" w:cs="Arial" w:eastAsia="Arial" w:hAnsi="Arial"/>
          <w:sz w:val="16"/>
          <w:szCs w:val="16"/>
          <w:color w:val="auto"/>
        </w:rPr>
      </w:pPr>
    </w:p>
    <w:p>
      <w:pPr>
        <w:ind w:right="120" w:firstLine="8"/>
        <w:spacing w:after="0" w:line="302" w:lineRule="auto"/>
        <w:tabs>
          <w:tab w:leader="none" w:pos="245" w:val="left"/>
        </w:tabs>
        <w:numPr>
          <w:ilvl w:val="0"/>
          <w:numId w:val="86"/>
        </w:numPr>
        <w:rPr>
          <w:rFonts w:ascii="Arial" w:cs="Arial" w:eastAsia="Arial" w:hAnsi="Arial"/>
          <w:sz w:val="16"/>
          <w:szCs w:val="16"/>
          <w:color w:val="auto"/>
        </w:rPr>
      </w:pPr>
      <w:r>
        <w:rPr>
          <w:rFonts w:ascii="Arial" w:cs="Arial" w:eastAsia="Arial" w:hAnsi="Arial"/>
          <w:sz w:val="16"/>
          <w:szCs w:val="16"/>
          <w:color w:val="auto"/>
        </w:rPr>
        <w:t>furnish to any Person other than Purchasers any information regarding the Transferred Entities in response to an Acquisition Proposal or an inquiry or indication of interest for the purpose of making or pursuing an Acquisition Proposal. The Sellers immediately shall cease and cause to be terminated all existing discussions, conversations, negotiations and other communications with any Persons conducted heretofore with respect to any Acquisition Proposal.</w:t>
      </w:r>
    </w:p>
    <w:p>
      <w:pPr>
        <w:spacing w:after="0" w:line="15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Solvency</w:t>
      </w:r>
      <w:r>
        <w:rPr>
          <w:rFonts w:ascii="Arial" w:cs="Arial" w:eastAsia="Arial" w:hAnsi="Arial"/>
          <w:sz w:val="18"/>
          <w:szCs w:val="18"/>
          <w:color w:val="auto"/>
        </w:rPr>
        <w:t>. For a period of two years following the Closing Date, Recro and its Subsidiaries, taken as a whole, will maintain sufficient capital to operate the Business in the ordinary course of business and to pay its debts and perform obligations (including under the Agreement and Ancillary Agreements) as they come due.</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Data Room</w:t>
      </w:r>
      <w:r>
        <w:rPr>
          <w:rFonts w:ascii="Arial" w:cs="Arial" w:eastAsia="Arial" w:hAnsi="Arial"/>
          <w:sz w:val="18"/>
          <w:szCs w:val="18"/>
          <w:color w:val="auto"/>
        </w:rPr>
        <w:t>. Within ten (10) days of the date hereof, Sellers shall deliver to Purchasers a disk containing copies of all documents contained in the virtual data room maintained by Sellers as of the date hereof in connection with the sale of the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EMPLOYEE MATTERS COVENANTS</w:t>
      </w:r>
    </w:p>
    <w:p>
      <w:pPr>
        <w:spacing w:after="0" w:line="225"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Benefit Continuation</w:t>
      </w:r>
      <w:r>
        <w:rPr>
          <w:rFonts w:ascii="Arial" w:cs="Arial" w:eastAsia="Arial" w:hAnsi="Arial"/>
          <w:sz w:val="17"/>
          <w:szCs w:val="17"/>
          <w:color w:val="auto"/>
        </w:rPr>
        <w:t>. For a period of one (1) year from the Closing Date (or for such longer period as and to the extent required by applicable Law), Purchasers shall, or shall cause its Affiliates to, provide to each Transferred Entity Employee, (a) base salary or wages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target bonus opportunities (excluding, without limitation, any retention, change in control or equity incentive compensation) that are, in each case, no less favorable than those provided to such Transferred Entity Employee immediately prior to the Closing Date, (b) equity or long-term incentive compensation opportunities that are substantially similar to those provided to similarly-situated employees of entities similarly-situated to Purchasers, and (c) other employee benefits and terms and conditions of employment that are no less favorable than those provided to similarly situated employees of Purchasers or their applicable Affiliate. No later than the Closing Date, Purchasers and/or their applicable Affiliates shall establish Purchaser Plans (as defined below) to the extent necessary to comply with their obligations under this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9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Service Credit</w:t>
      </w:r>
      <w:r>
        <w:rPr>
          <w:rFonts w:ascii="Arial" w:cs="Arial" w:eastAsia="Arial" w:hAnsi="Arial"/>
          <w:sz w:val="18"/>
          <w:szCs w:val="18"/>
          <w:color w:val="auto"/>
        </w:rPr>
        <w:t>. From and after the Closing Date, Purchasers and their Affiliates shall (a) recognize, for all purposes under all plans, programs and arrangements established or maintained by Purchasers or any of their Affiliates for the benefit of each Transferred Entity Employee (each, a “</w:t>
      </w:r>
      <w:r>
        <w:rPr>
          <w:rFonts w:ascii="Arial" w:cs="Arial" w:eastAsia="Arial" w:hAnsi="Arial"/>
          <w:sz w:val="18"/>
          <w:szCs w:val="18"/>
          <w:u w:val="single" w:color="auto"/>
          <w:color w:val="auto"/>
        </w:rPr>
        <w:t>Purchaser Plan</w:t>
      </w:r>
      <w:r>
        <w:rPr>
          <w:rFonts w:ascii="Arial" w:cs="Arial" w:eastAsia="Arial" w:hAnsi="Arial"/>
          <w:sz w:val="18"/>
          <w:szCs w:val="18"/>
          <w:color w:val="auto"/>
        </w:rPr>
        <w:t>”) service with Sellers and their Affiliates and predecessors prior to the Closing Date to the extent such service was recognized under the corresponding Benefit Plan of Sellers or their Affiliates covering such Transferred Entity Employee as of immediately prior to the Closing Date, including, for purposes of eligibility, vesting and benefit levels and accruals, including, without limitation, for purposes of vacation accruals, (b) waive any pre-existing condition exclusion, actively-at-work requirement or waiting period under all applicable Purchaser Plans except to the extent such pre-existing condition, exclusion, requirement or waiting period would have applied to such Transferred Entity Employee under the corresponding Benefit Plan of Sellers or their Affiliates covering such Transferred Entity Employee as of immediately prior to the Closing Date, and (c) provide full credit for any co-payments, deductibles or similar payments made or incurred with respect to each Transferred Entity Employee prior to the date of this Agreement for the plan year in which the Closing Date occurs.</w:t>
      </w:r>
    </w:p>
    <w:p>
      <w:pPr>
        <w:spacing w:after="0" w:line="19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Employment Continuation</w:t>
      </w:r>
      <w:r>
        <w:rPr>
          <w:rFonts w:ascii="Arial" w:cs="Arial" w:eastAsia="Arial" w:hAnsi="Arial"/>
          <w:sz w:val="16"/>
          <w:szCs w:val="16"/>
          <w:color w:val="auto"/>
        </w:rPr>
        <w:t xml:space="preserve">. Notwithstanding the covenants of Purchasers and their Affiliates set forth in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nothing contained in this </w:t>
      </w:r>
      <w:r>
        <w:rPr>
          <w:rFonts w:ascii="Arial" w:cs="Arial" w:eastAsia="Arial" w:hAnsi="Arial"/>
          <w:sz w:val="16"/>
          <w:szCs w:val="16"/>
          <w:u w:val="single" w:color="auto"/>
          <w:color w:val="auto"/>
        </w:rPr>
        <w:t>Article VI</w:t>
      </w:r>
      <w:r>
        <w:rPr>
          <w:rFonts w:ascii="Arial" w:cs="Arial" w:eastAsia="Arial" w:hAnsi="Arial"/>
          <w:sz w:val="16"/>
          <w:szCs w:val="16"/>
          <w:color w:val="auto"/>
        </w:rPr>
        <w:t>: (i) shall limit or condition the ability of Purchasers, the Transferred Entities, or any of their respective Affiliates to terminate, either with or without “cause,” the employment of any Transferred Entity Employees at any time; (ii) shall alter or limit the ability of Purchasers, the Transferred Entities, or any of their respective Affiliates to amend, modify or terminate any benefit plan, program, agreement or arrangement at any time assumed, established, sponsored or maintained by any of them; or (iii) is intended to confer upon any current or former employee or any Person any right to employment or continued employment for any period of time by reason of this Agreement, or any right to a particular term or condition of employment.</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Retention Bonuses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64" w:lineRule="auto"/>
        <w:tabs>
          <w:tab w:leader="none" w:pos="1942"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On or prior to the Closing Date, Sellers shall pay to each Transferred Entity Employee listed on </w:t>
      </w:r>
      <w:r>
        <w:rPr>
          <w:rFonts w:ascii="Arial" w:cs="Arial" w:eastAsia="Arial" w:hAnsi="Arial"/>
          <w:sz w:val="18"/>
          <w:szCs w:val="18"/>
          <w:u w:val="single" w:color="auto"/>
          <w:color w:val="auto"/>
        </w:rPr>
        <w:t>Schedule 6.4(a)</w:t>
      </w:r>
      <w:r>
        <w:rPr>
          <w:rFonts w:ascii="Arial" w:cs="Arial" w:eastAsia="Arial" w:hAnsi="Arial"/>
          <w:sz w:val="18"/>
          <w:szCs w:val="18"/>
          <w:color w:val="auto"/>
        </w:rPr>
        <w:t xml:space="preserve"> of the Sellers Disclosure Letter the bonus amounts listed opposite such Transferred Entity Employee’s name (collectively, the “</w:t>
      </w:r>
      <w:r>
        <w:rPr>
          <w:rFonts w:ascii="Arial" w:cs="Arial" w:eastAsia="Arial" w:hAnsi="Arial"/>
          <w:sz w:val="18"/>
          <w:szCs w:val="18"/>
          <w:u w:val="single" w:color="auto"/>
          <w:color w:val="auto"/>
        </w:rPr>
        <w:t>Initial Retention Bonuses</w:t>
      </w:r>
      <w:r>
        <w:rPr>
          <w:rFonts w:ascii="Arial" w:cs="Arial" w:eastAsia="Arial" w:hAnsi="Arial"/>
          <w:sz w:val="18"/>
          <w:szCs w:val="18"/>
          <w:color w:val="auto"/>
        </w:rPr>
        <w:t>”). The Retention Bonuses, once paid, will not be included in the calculation of Working Capital.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312" w:lineRule="auto"/>
        <w:tabs>
          <w:tab w:leader="none" w:pos="19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Sellers shall pay directly to each Transferred Entity Employee listed on </w:t>
      </w:r>
      <w:r>
        <w:rPr>
          <w:rFonts w:ascii="Arial" w:cs="Arial" w:eastAsia="Arial" w:hAnsi="Arial"/>
          <w:sz w:val="16"/>
          <w:szCs w:val="16"/>
          <w:u w:val="single" w:color="auto"/>
          <w:color w:val="auto"/>
        </w:rPr>
        <w:t>Schedule 6.4(b)</w:t>
      </w:r>
      <w:r>
        <w:rPr>
          <w:rFonts w:ascii="Arial" w:cs="Arial" w:eastAsia="Arial" w:hAnsi="Arial"/>
          <w:sz w:val="16"/>
          <w:szCs w:val="16"/>
          <w:color w:val="auto"/>
        </w:rPr>
        <w:t xml:space="preserve"> of the Sellers Disclosure Letter, and be responsible for the employer portion of any payroll and employment taxes relating thereto and all related withholding (and Purchasers shall provide to Sellers such information and documentation as Sellers shall reasonably request related thereto), so long as such Transferred Entity Employee (i) is employed by a</w:t>
      </w:r>
    </w:p>
    <w:p>
      <w:pPr>
        <w:sectPr>
          <w:pgSz w:w="11900" w:h="16952" w:orient="portrait"/>
          <w:cols w:equalWidth="0" w:num="1">
            <w:col w:w="11420"/>
          </w:cols>
          <w:pgMar w:left="240" w:top="125" w:right="239" w:bottom="0" w:gutter="0" w:footer="0" w:header="0"/>
        </w:sectPr>
      </w:pPr>
    </w:p>
    <w:bookmarkStart w:id="34" w:name="page35"/>
    <w:bookmarkEnd w:id="34"/>
    <w:p>
      <w:pPr>
        <w:spacing w:after="0" w:line="11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Transferred Entity or an Affiliate of Purchasers as of the Additional Retention Bonus Date (as defined below) and (ii) waives and releases any and all claims against Sellers and their Affiliates (not including Newco and Alkermes Gainesville), the bonus amounts listed opposite such Transferred Entity Employee’s name (collectively, the “</w:t>
      </w:r>
      <w:r>
        <w:rPr>
          <w:rFonts w:ascii="Arial" w:cs="Arial" w:eastAsia="Arial" w:hAnsi="Arial"/>
          <w:sz w:val="17"/>
          <w:szCs w:val="17"/>
          <w:u w:val="single" w:color="auto"/>
          <w:color w:val="auto"/>
        </w:rPr>
        <w:t>Additional Retention Bonuses</w:t>
      </w:r>
      <w:r>
        <w:rPr>
          <w:rFonts w:ascii="Arial" w:cs="Arial" w:eastAsia="Arial" w:hAnsi="Arial"/>
          <w:sz w:val="17"/>
          <w:szCs w:val="17"/>
          <w:color w:val="auto"/>
        </w:rPr>
        <w:t>” and together with the Initial Retention Bonuses, the “</w:t>
      </w:r>
      <w:r>
        <w:rPr>
          <w:rFonts w:ascii="Arial" w:cs="Arial" w:eastAsia="Arial" w:hAnsi="Arial"/>
          <w:sz w:val="17"/>
          <w:szCs w:val="17"/>
          <w:u w:val="single" w:color="auto"/>
          <w:color w:val="auto"/>
        </w:rPr>
        <w:t>Retention Bonuses</w:t>
      </w:r>
      <w:r>
        <w:rPr>
          <w:rFonts w:ascii="Arial" w:cs="Arial" w:eastAsia="Arial" w:hAnsi="Arial"/>
          <w:sz w:val="17"/>
          <w:szCs w:val="17"/>
          <w:color w:val="auto"/>
        </w:rPr>
        <w:t>”), which Additional Retention Bonuses shall be paid on December 15, 2015 or such other date prior to December 25, 2015 as Sellers may determine (the “</w:t>
      </w:r>
      <w:r>
        <w:rPr>
          <w:rFonts w:ascii="Arial" w:cs="Arial" w:eastAsia="Arial" w:hAnsi="Arial"/>
          <w:sz w:val="17"/>
          <w:szCs w:val="17"/>
          <w:u w:val="single" w:color="auto"/>
          <w:color w:val="auto"/>
        </w:rPr>
        <w:t>Additional Retention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Bonus Date</w:t>
      </w:r>
      <w:r>
        <w:rPr>
          <w:rFonts w:ascii="Arial" w:cs="Arial" w:eastAsia="Arial" w:hAnsi="Arial"/>
          <w:sz w:val="17"/>
          <w:szCs w:val="17"/>
          <w:color w:val="auto"/>
        </w:rPr>
        <w:t>”). Purchasers shall provide Sellers a list of Transferred Entity Employees employed by either a Transferred Entity or an Affiliate of Purchasers as of December 1, 2015 and shall be obligated to notify Sellers of any resignation or expected resignation of a Transferred Entity Employee prior to December 15, 2015. The Additional Retention Bonuses will not be included in the calculation of Working Capital.</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Accrued Vacation Payment</w:t>
      </w:r>
      <w:r>
        <w:rPr>
          <w:rFonts w:ascii="Arial" w:cs="Arial" w:eastAsia="Arial" w:hAnsi="Arial"/>
          <w:sz w:val="18"/>
          <w:szCs w:val="18"/>
          <w:color w:val="auto"/>
        </w:rPr>
        <w:t>. Upon and subject to the Closing, Seller shall pay to each Transferred Entity Employee a cash amount in respect of any unused vacation accrued through December 31, 2014 under the applicable plan of Seller. Such amount, once paid, will not be included in the calculation of Working Capital.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 MATTERS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Generally</w:t>
      </w:r>
      <w:r>
        <w:rPr>
          <w:rFonts w:ascii="Arial" w:cs="Arial" w:eastAsia="Arial" w:hAnsi="Arial"/>
          <w:sz w:val="18"/>
          <w:szCs w:val="18"/>
          <w:color w:val="auto"/>
        </w:rPr>
        <w:t>. The following provisions shall govern the allocation of responsibility as between Purchasers and Sellers for certain Tax matters following the Closing Date.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Tax Indemnification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8" w:lineRule="auto"/>
        <w:tabs>
          <w:tab w:leader="none" w:pos="1942" w:val="left"/>
        </w:tabs>
        <w:numPr>
          <w:ilvl w:val="0"/>
          <w:numId w:val="89"/>
        </w:numPr>
        <w:rPr>
          <w:rFonts w:ascii="Arial" w:cs="Arial" w:eastAsia="Arial" w:hAnsi="Arial"/>
          <w:sz w:val="16"/>
          <w:szCs w:val="16"/>
          <w:color w:val="auto"/>
        </w:rPr>
      </w:pPr>
      <w:r>
        <w:rPr>
          <w:rFonts w:ascii="Arial" w:cs="Arial" w:eastAsia="Arial" w:hAnsi="Arial"/>
          <w:sz w:val="16"/>
          <w:szCs w:val="16"/>
          <w:color w:val="auto"/>
        </w:rPr>
        <w:t>Each Seller shall jointly and severally indemnify the Transferred Entities, Purchasers and each of Purchasers’ Affiliates and hold them harmless from and against any loss, claim, liability, expense or other damage attributable to: (i) all Taxes (or the non-payment thereof) of the Transferred Entities that relate to all Pre-Closing Tax Periods; (ii) all Taxes of any member of an affiliated, consolidated, combined, VAT or unitary group of which the Transferred Entities (or any predecessor of any of the foregoing) is or was a member on or prior to the Closing Date, including pursuant to Treasury Regulation §1.1502-6 or any analogous or similar state, local, or non-U.S. Law or regulation; (iii) any and all Taxes of any person (other than the Transferred Entities) imposed on the Transferred Entities as a transferee or successor, by contract or pursuant to any law, rule, or regulation, which Taxes relate to an event or transaction occurring before the Closing (including any Transferred Entity being a member of a VAT grouping); (iv) any Taxes of another party that a Transferred Entity was required to withhold in any Pre-Closing Tax Period, (v) a breach of Section 3.12(k) of this Agreement, and (vi) any Irish stamp duty arising under Section 79(7)(b) of the Stamp Duties Consolidation Act 1999 or Irish corporation tax on chargeable gains arising under Section 623(4) of the Taxes Consolidation Act 1997 arising or imposed on a Transferred Entity as a direct consequence of the Transferred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Entity ceasing on Closing to be associated for stamp duty purposes or a member of a group for Irish corporation tax on chargeable gains;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Sellers shall (x) have no obligation to indemnify Purchasers against any Taxes or other expenses incurred by the Transferred Entities resulting from, consisting of, or related to any transaction entered into or action taken by Purchasers occurring on or after the Closing Date after the Closing (including, without limitation, any Divestiture by Purchasers) and (y) be liable only to the extent that such Taxes exceed the amount, if any, reserved specifically for such Taxes in Working Capital and taken into account in </w:t>
      </w:r>
      <w:r>
        <w:rPr>
          <w:rFonts w:ascii="Arial" w:cs="Arial" w:eastAsia="Arial" w:hAnsi="Arial"/>
          <w:sz w:val="17"/>
          <w:szCs w:val="17"/>
          <w:u w:val="single" w:color="auto"/>
          <w:color w:val="auto"/>
        </w:rPr>
        <w:t>Sections 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2.5</w:t>
      </w:r>
      <w:r>
        <w:rPr>
          <w:rFonts w:ascii="Arial" w:cs="Arial" w:eastAsia="Arial" w:hAnsi="Arial"/>
          <w:sz w:val="17"/>
          <w:szCs w:val="17"/>
          <w:color w:val="auto"/>
        </w:rPr>
        <w:t xml:space="preserve"> of this Agreement.</w:t>
      </w:r>
    </w:p>
    <w:p>
      <w:pPr>
        <w:spacing w:after="0" w:line="173" w:lineRule="exact"/>
        <w:rPr>
          <w:sz w:val="20"/>
          <w:szCs w:val="20"/>
          <w:color w:val="auto"/>
        </w:rPr>
      </w:pPr>
    </w:p>
    <w:p>
      <w:pPr>
        <w:ind w:right="20" w:firstLine="1305"/>
        <w:spacing w:after="0" w:line="290" w:lineRule="auto"/>
        <w:tabs>
          <w:tab w:leader="none" w:pos="1952"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Purchasers and their Affiliates shall pay or cause to be paid and shall indemnify Sellers and their Affiliates and protect, save and hold them harmless from and against any loss, claim, liability, expense or other damage attributable to any Taxes imposed on Sellers and their Affiliates (including, prior to Closing, the Transferred Entities) caused by, resulting from, consisting of, or related to (i) Purchasers’ failure to comply with their obligations under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with respect to the allocation and reporting of the Purchase Price for the Transferred Interests or failure to treat any portion of the Initial Purchase Price, the Warrant or the Earn-Out Consideration paid to APIL (other than by reason of APIL failing to meet its obligations under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to provide Purchasers with valid withholding certificates as set forth therein) as exempt from United States federal Income Tax under the Code and/or Article 12 or Article 13 of the U.S.-Ireland Tax Treaty or for exemption from FATCA Taxes, and (ii) any transaction entered into or action taken by Purchasers occurring on or after the Closing Date after the Closing (including, without limitation, any Divestiture by Purchasers).</w:t>
      </w:r>
    </w:p>
    <w:p>
      <w:pPr>
        <w:spacing w:after="0" w:line="166" w:lineRule="exact"/>
        <w:rPr>
          <w:rFonts w:ascii="Arial" w:cs="Arial" w:eastAsia="Arial" w:hAnsi="Arial"/>
          <w:sz w:val="16"/>
          <w:szCs w:val="16"/>
          <w:color w:val="auto"/>
        </w:rPr>
      </w:pPr>
    </w:p>
    <w:p>
      <w:pPr>
        <w:ind w:left="1960" w:hanging="655"/>
        <w:spacing w:after="0"/>
        <w:tabs>
          <w:tab w:leader="none" w:pos="19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The provisions of </w:t>
      </w:r>
      <w:r>
        <w:rPr>
          <w:rFonts w:ascii="Arial" w:cs="Arial" w:eastAsia="Arial" w:hAnsi="Arial"/>
          <w:sz w:val="17"/>
          <w:szCs w:val="17"/>
          <w:u w:val="single" w:color="auto"/>
          <w:color w:val="auto"/>
        </w:rPr>
        <w:t>Section 10.6(c)</w:t>
      </w:r>
      <w:r>
        <w:rPr>
          <w:rFonts w:ascii="Arial" w:cs="Arial" w:eastAsia="Arial" w:hAnsi="Arial"/>
          <w:sz w:val="17"/>
          <w:szCs w:val="17"/>
          <w:color w:val="auto"/>
        </w:rPr>
        <w:t xml:space="preserve"> shall apply with respect to Tax indemnity payments required to be made pursuant to this</w:t>
      </w:r>
    </w:p>
    <w:p>
      <w:pPr>
        <w:spacing w:after="0" w:line="35" w:lineRule="exact"/>
        <w:rPr>
          <w:sz w:val="20"/>
          <w:szCs w:val="20"/>
          <w:color w:val="auto"/>
        </w:rPr>
      </w:pPr>
    </w:p>
    <w:p>
      <w:pPr>
        <w:jc w:val="both"/>
        <w:ind w:right="140"/>
        <w:spacing w:after="0" w:line="277" w:lineRule="auto"/>
        <w:rPr>
          <w:sz w:val="20"/>
          <w:szCs w:val="20"/>
          <w:color w:val="auto"/>
        </w:rPr>
      </w:pP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Payment of any Tax indemnity payment required to be made under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shall be made to the party entitled to indemnification at least two (2) Business Days before the date payment of the Taxes to which such payment relates is due by such indemnitee and, if payment has not been made at such time, within two (2) Business Days after receipt of a written demand from the indemnitee.</w:t>
      </w:r>
    </w:p>
    <w:p>
      <w:pPr>
        <w:spacing w:after="0" w:line="173"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Straddle Period</w:t>
      </w:r>
      <w:r>
        <w:rPr>
          <w:rFonts w:ascii="Arial" w:cs="Arial" w:eastAsia="Arial" w:hAnsi="Arial"/>
          <w:sz w:val="17"/>
          <w:szCs w:val="17"/>
          <w:color w:val="auto"/>
        </w:rPr>
        <w:t>. In the case of a Straddle Period, the amount of any Taxes based on or measured by income, receipts, or payroll of the Transferred Entities for the Pre-Closing Tax Period shall be determined based on a deemed interim closing of the books as of the close of business on the Closing Date, and the amount of other Taxes of the Transferred Entities for a Straddle Period that relates to the Pre-Closing Tax Period shall be deemed to be the amount of such Tax for the entire taxable period multiplied by a fraction the numerator of which is the number of days in the taxable period ending on the Closing Date and the denominator of which is the number of days in such Straddle Period.</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u w:val="single" w:color="auto"/>
          <w:color w:val="auto"/>
        </w:rPr>
        <w:t>Tax Proceedings</w:t>
      </w:r>
      <w:r>
        <w:rPr>
          <w:rFonts w:ascii="Arial" w:cs="Arial" w:eastAsia="Arial" w:hAnsi="Arial"/>
          <w:sz w:val="15"/>
          <w:szCs w:val="15"/>
          <w:color w:val="auto"/>
        </w:rPr>
        <w:t>.</w:t>
      </w:r>
    </w:p>
    <w:p>
      <w:pPr>
        <w:spacing w:after="0" w:line="225" w:lineRule="exact"/>
        <w:rPr>
          <w:sz w:val="20"/>
          <w:szCs w:val="20"/>
          <w:color w:val="auto"/>
        </w:rPr>
      </w:pPr>
    </w:p>
    <w:p>
      <w:pPr>
        <w:ind w:right="20" w:firstLine="1305"/>
        <w:spacing w:after="0" w:line="259" w:lineRule="auto"/>
        <w:tabs>
          <w:tab w:leader="none" w:pos="1942"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Purchasers shall promptly notify Sellers in writing upon receipt by Purchasers, the Transferred Entities or any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of notice of any Tax Proceeding in respect of the Transferred Entities relating to any Pre-Closing Tax Period or Straddle Period for which Sellers could be liable for Taxes under Law or this Agreement. Such notification shall specify in reasonable detail the basis for such Tax Proceeding and shall include a copy of the relevant portion of any correspondence received from the Governmental Entity.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1305"/>
        <w:spacing w:after="0" w:line="312" w:lineRule="auto"/>
        <w:tabs>
          <w:tab w:leader="none" w:pos="1952"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Pre-Closing Tax Periods</w:t>
      </w:r>
      <w:r>
        <w:rPr>
          <w:rFonts w:ascii="Arial" w:cs="Arial" w:eastAsia="Arial" w:hAnsi="Arial"/>
          <w:sz w:val="16"/>
          <w:szCs w:val="16"/>
          <w:color w:val="auto"/>
        </w:rPr>
        <w:t>. Sellers shall have the right, at their expense, to control any Tax Proceeding in respect of the Transferred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Entities for any Pre-Closing Tax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Sellers shall provide Purchasers with a timely and reasonably detailed account of each stage of such Tax Proceeding and shall permit Purchasers to participate in the Tax Proceeding at its expense, through counsel or accountants reasonably acceptable</w:t>
      </w:r>
    </w:p>
    <w:p>
      <w:pPr>
        <w:sectPr>
          <w:pgSz w:w="11900" w:h="16952" w:orient="portrait"/>
          <w:cols w:equalWidth="0" w:num="1">
            <w:col w:w="11420"/>
          </w:cols>
          <w:pgMar w:left="240" w:top="125" w:right="239" w:bottom="0" w:gutter="0" w:footer="0" w:header="0"/>
        </w:sectPr>
      </w:pPr>
    </w:p>
    <w:bookmarkStart w:id="35" w:name="page36"/>
    <w:bookmarkEnd w:id="35"/>
    <w:p>
      <w:pPr>
        <w:spacing w:after="0" w:line="9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to Sellers, and Sellers shall not settle, compromise, or conclude any such Tax Proceeding without the prior written consent of the applicable Purchaser, which consent shall not be unreasonably withheld or conditioned. Purchasers, at Sellers’ expense, may control and contest any Tax Proceeding which Sellers would otherwise have the right to control under this </w:t>
      </w:r>
      <w:r>
        <w:rPr>
          <w:rFonts w:ascii="Arial" w:cs="Arial" w:eastAsia="Arial" w:hAnsi="Arial"/>
          <w:sz w:val="16"/>
          <w:szCs w:val="16"/>
          <w:u w:val="single" w:color="auto"/>
          <w:color w:val="auto"/>
        </w:rPr>
        <w:t>Section 7.4(b)</w:t>
      </w:r>
      <w:r>
        <w:rPr>
          <w:rFonts w:ascii="Arial" w:cs="Arial" w:eastAsia="Arial" w:hAnsi="Arial"/>
          <w:sz w:val="16"/>
          <w:szCs w:val="16"/>
          <w:color w:val="auto"/>
        </w:rPr>
        <w:t xml:space="preserve"> if Sellers (i) decline or fail to contest such Tax Proceeding or (ii) do not substantially comply with the provisions of the preceding sentence;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applicable Purchaser exercises its right to control and contest any Tax Proceeding under the preceding clause, such Purchaser shall (i) provide Sellers with a timely and reasonably detailed account of each stage of such Tax Proceeding,</w:t>
      </w:r>
    </w:p>
    <w:p>
      <w:pPr>
        <w:spacing w:after="0" w:line="2" w:lineRule="exact"/>
        <w:rPr>
          <w:sz w:val="20"/>
          <w:szCs w:val="20"/>
          <w:color w:val="auto"/>
        </w:rPr>
      </w:pPr>
    </w:p>
    <w:p>
      <w:pPr>
        <w:ind w:right="960" w:firstLine="8"/>
        <w:spacing w:after="0" w:line="323" w:lineRule="auto"/>
        <w:tabs>
          <w:tab w:leader="none" w:pos="265" w:val="left"/>
        </w:tabs>
        <w:numPr>
          <w:ilvl w:val="0"/>
          <w:numId w:val="93"/>
        </w:numPr>
        <w:rPr>
          <w:rFonts w:ascii="Arial" w:cs="Arial" w:eastAsia="Arial" w:hAnsi="Arial"/>
          <w:sz w:val="16"/>
          <w:szCs w:val="16"/>
          <w:color w:val="auto"/>
        </w:rPr>
      </w:pPr>
      <w:r>
        <w:rPr>
          <w:rFonts w:ascii="Arial" w:cs="Arial" w:eastAsia="Arial" w:hAnsi="Arial"/>
          <w:sz w:val="16"/>
          <w:szCs w:val="16"/>
          <w:color w:val="auto"/>
        </w:rPr>
        <w:t>not settle, compromise or abandon any such Tax Proceeding without obtaining the prior written consent of Sellers, which consent shall not be unreasonably withheld or delayed, and (iii) consult with Sellers concerning the appropriate strategy for contesting such Tax Proceeding.</w:t>
      </w:r>
    </w:p>
    <w:p>
      <w:pPr>
        <w:spacing w:after="0" w:line="138" w:lineRule="exact"/>
        <w:rPr>
          <w:rFonts w:ascii="Arial" w:cs="Arial" w:eastAsia="Arial" w:hAnsi="Arial"/>
          <w:sz w:val="16"/>
          <w:szCs w:val="16"/>
          <w:color w:val="auto"/>
        </w:rPr>
      </w:pPr>
    </w:p>
    <w:p>
      <w:pPr>
        <w:jc w:val="both"/>
        <w:ind w:right="60" w:firstLine="1305"/>
        <w:spacing w:after="0" w:line="342" w:lineRule="auto"/>
        <w:tabs>
          <w:tab w:leader="none" w:pos="1955" w:val="left"/>
        </w:tabs>
        <w:numPr>
          <w:ilvl w:val="1"/>
          <w:numId w:val="93"/>
        </w:numPr>
        <w:rPr>
          <w:rFonts w:ascii="Arial" w:cs="Arial" w:eastAsia="Arial" w:hAnsi="Arial"/>
          <w:sz w:val="16"/>
          <w:szCs w:val="16"/>
          <w:color w:val="auto"/>
        </w:rPr>
      </w:pPr>
      <w:r>
        <w:rPr>
          <w:rFonts w:ascii="Arial" w:cs="Arial" w:eastAsia="Arial" w:hAnsi="Arial"/>
          <w:sz w:val="16"/>
          <w:szCs w:val="16"/>
          <w:i w:val="1"/>
          <w:iCs w:val="1"/>
          <w:color w:val="auto"/>
        </w:rPr>
        <w:t>Straddle Periods</w:t>
      </w:r>
      <w:r>
        <w:rPr>
          <w:rFonts w:ascii="Arial" w:cs="Arial" w:eastAsia="Arial" w:hAnsi="Arial"/>
          <w:sz w:val="16"/>
          <w:szCs w:val="16"/>
          <w:color w:val="auto"/>
        </w:rPr>
        <w:t>. Purchasers shall control, at their own expense, any Tax Proceeding in respect of the Transferred Entities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Straddle Period; provided, however, that Purchasers shall provide Sellers with a timely and reasonably detailed account of each stage of such Tax Proceeding.</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Cooperation on Tax Matters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86" w:lineRule="auto"/>
        <w:tabs>
          <w:tab w:leader="none" w:pos="1942"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Purchasers, the Transferred Entities, and Sellers shall cooperate fully, as and to the extent reasonably requested by the other Party, in connection with the filing of Tax Returns pursuant to 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and any Tax Proceeding. Such cooperation shall include the retention and (upon the other Party’s request) the provision of records and information that are reasonably relevant to any such Tax Proceeding and making employees available on a mutually convenient basis to provide additional information and explanation of any material provided hereunder. The Transferred Entities and Sellers agree</w:t>
      </w:r>
    </w:p>
    <w:p>
      <w:pPr>
        <w:spacing w:after="0" w:line="1" w:lineRule="exact"/>
        <w:rPr>
          <w:rFonts w:ascii="Arial" w:cs="Arial" w:eastAsia="Arial" w:hAnsi="Arial"/>
          <w:sz w:val="16"/>
          <w:szCs w:val="16"/>
          <w:color w:val="auto"/>
        </w:rPr>
      </w:pPr>
    </w:p>
    <w:p>
      <w:pPr>
        <w:ind w:right="40" w:firstLine="8"/>
        <w:spacing w:after="0" w:line="253" w:lineRule="auto"/>
        <w:tabs>
          <w:tab w:leader="none" w:pos="2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retain all books and records with respect to Tax matters pertinent to the Transferred Entities relating to any taxable period beginning before the Closing Date until the expiration of the statute of limitations (and, to the extent notified by Purchasers or Sellers, any extensions thereof) of the respective taxable periods, and to abide by all record retention agreements entered into with any taxing authority, and (B) to give the other Party reasonable written notice prior to transferring, destroying or discarding any such books and records and, if the other Party so requests, the Transferred Entities or Sellers, as the case may be, shall allow the other Party to take possession of such books and records.</w:t>
      </w:r>
    </w:p>
    <w:p>
      <w:pPr>
        <w:spacing w:after="0" w:line="191" w:lineRule="exact"/>
        <w:rPr>
          <w:rFonts w:ascii="Arial" w:cs="Arial" w:eastAsia="Arial" w:hAnsi="Arial"/>
          <w:sz w:val="18"/>
          <w:szCs w:val="18"/>
          <w:color w:val="auto"/>
        </w:rPr>
      </w:pPr>
    </w:p>
    <w:p>
      <w:pPr>
        <w:ind w:right="220" w:firstLine="1305"/>
        <w:spacing w:after="0" w:line="264" w:lineRule="auto"/>
        <w:tabs>
          <w:tab w:leader="none" w:pos="1952" w:val="left"/>
        </w:tabs>
        <w:numPr>
          <w:ilvl w:val="1"/>
          <w:numId w:val="95"/>
        </w:numPr>
        <w:rPr>
          <w:rFonts w:ascii="Arial" w:cs="Arial" w:eastAsia="Arial" w:hAnsi="Arial"/>
          <w:sz w:val="18"/>
          <w:szCs w:val="18"/>
          <w:color w:val="auto"/>
        </w:rPr>
      </w:pPr>
      <w:r>
        <w:rPr>
          <w:rFonts w:ascii="Arial" w:cs="Arial" w:eastAsia="Arial" w:hAnsi="Arial"/>
          <w:sz w:val="18"/>
          <w:szCs w:val="18"/>
          <w:color w:val="auto"/>
        </w:rPr>
        <w:t>Purchasers and Sellers further agree, upon request, to use their best efforts to obtain any certificate or other document from any Governmental Entity or any other Person as may be necessary to mitigate, reduce or eliminate any Tax that could be imposed (including, but not limited to, with respect to the transactions contemplated hereby).</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Certain Taxes and Fees</w:t>
      </w:r>
      <w:r>
        <w:rPr>
          <w:rFonts w:ascii="Arial" w:cs="Arial" w:eastAsia="Arial" w:hAnsi="Arial"/>
          <w:sz w:val="18"/>
          <w:szCs w:val="18"/>
          <w:color w:val="auto"/>
        </w:rPr>
        <w:t xml:space="preserve">. Except as otherwise provided in this Agreement, and in particular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of this Agreement, all transfer, documentary, sales, use, stamp,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registration and other such Taxes (including any penalties and interest) incurred in connection with the purchase of the Transferred Interests shall be borne by the Party that bears liability therefor under applicable Law.</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representations and warranties in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shall survive the Closing Date until sixty (60) days following the expiration of the applicable statute of limitations.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TO OBLIGATIONS TO CLOSE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Conditions to Obligation of Each Party to Close</w:t>
      </w:r>
      <w:r>
        <w:rPr>
          <w:rFonts w:ascii="Arial" w:cs="Arial" w:eastAsia="Arial" w:hAnsi="Arial"/>
          <w:sz w:val="16"/>
          <w:szCs w:val="16"/>
          <w:color w:val="auto"/>
        </w:rPr>
        <w:t>. The respective obligations of each Party to effect the transactions contemplated by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shall be subject to the satisfaction or waiver at or prior to the Closing of the following conditions:</w:t>
      </w:r>
    </w:p>
    <w:p>
      <w:pPr>
        <w:spacing w:after="0" w:line="211" w:lineRule="exact"/>
        <w:rPr>
          <w:sz w:val="20"/>
          <w:szCs w:val="20"/>
          <w:color w:val="auto"/>
        </w:rPr>
      </w:pPr>
    </w:p>
    <w:p>
      <w:pPr>
        <w:ind w:firstLine="1305"/>
        <w:spacing w:after="0" w:line="277" w:lineRule="auto"/>
        <w:tabs>
          <w:tab w:leader="none" w:pos="1942"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HSR Act</w:t>
      </w:r>
      <w:r>
        <w:rPr>
          <w:rFonts w:ascii="Arial" w:cs="Arial" w:eastAsia="Arial" w:hAnsi="Arial"/>
          <w:sz w:val="18"/>
          <w:szCs w:val="18"/>
          <w:color w:val="auto"/>
        </w:rPr>
        <w:t>. Any waiting period (and any extension thereof) applicable to the consummation of the Sale under the HSR Act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expired or been terminated.</w:t>
      </w:r>
    </w:p>
    <w:p>
      <w:pPr>
        <w:spacing w:after="0" w:line="170" w:lineRule="exact"/>
        <w:rPr>
          <w:rFonts w:ascii="Arial" w:cs="Arial" w:eastAsia="Arial" w:hAnsi="Arial"/>
          <w:sz w:val="18"/>
          <w:szCs w:val="18"/>
          <w:color w:val="auto"/>
        </w:rPr>
      </w:pPr>
    </w:p>
    <w:p>
      <w:pPr>
        <w:ind w:right="580" w:firstLine="1305"/>
        <w:spacing w:after="0" w:line="264" w:lineRule="auto"/>
        <w:tabs>
          <w:tab w:leader="none" w:pos="1952"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No Injunctions or Illegality</w:t>
      </w:r>
      <w:r>
        <w:rPr>
          <w:rFonts w:ascii="Arial" w:cs="Arial" w:eastAsia="Arial" w:hAnsi="Arial"/>
          <w:sz w:val="18"/>
          <w:szCs w:val="18"/>
          <w:color w:val="auto"/>
        </w:rPr>
        <w:t>. No court or other Governmental Entity of competent jurisdiction shall have enacted, issued,</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enforced or entered any Law (whether temporary, preliminary or permanent) that is in effect and prevents, restrains, enjoins or otherwise prohibits the consummation of the Sale (a “</w:t>
      </w:r>
      <w:r>
        <w:rPr>
          <w:rFonts w:ascii="Arial" w:cs="Arial" w:eastAsia="Arial" w:hAnsi="Arial"/>
          <w:sz w:val="18"/>
          <w:szCs w:val="18"/>
          <w:u w:val="single" w:color="auto"/>
          <w:color w:val="auto"/>
        </w:rPr>
        <w:t>Prohibitive Order</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right="280" w:firstLine="1305"/>
        <w:spacing w:after="0" w:line="286" w:lineRule="auto"/>
        <w:tabs>
          <w:tab w:leader="none" w:pos="1955"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Governmental and Regulatory Approvals</w:t>
      </w:r>
      <w:r>
        <w:rPr>
          <w:rFonts w:ascii="Arial" w:cs="Arial" w:eastAsia="Arial" w:hAnsi="Arial"/>
          <w:sz w:val="17"/>
          <w:szCs w:val="17"/>
          <w:color w:val="auto"/>
        </w:rPr>
        <w:t>. Other than the filings pursuant to the HSR Act and any other required antitrust Laws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after the date hereof, all consents, approvals and actions of, filings with and notices to any Governmental Entity that are material to the Business and required of Purchasers or Sellers to consummate the transactions contemplated hereby shall have been obtained or made.</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Consents</w:t>
      </w:r>
      <w:r>
        <w:rPr>
          <w:rFonts w:ascii="Arial" w:cs="Arial" w:eastAsia="Arial" w:hAnsi="Arial"/>
          <w:sz w:val="18"/>
          <w:szCs w:val="18"/>
          <w:color w:val="auto"/>
        </w:rPr>
        <w:t>. All Consents listed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3.3(a)</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Sellers Disclosure Letter except for those Consents listed 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8.1(d)</w:t>
      </w:r>
      <w:r>
        <w:rPr>
          <w:rFonts w:ascii="Arial" w:cs="Arial" w:eastAsia="Arial" w:hAnsi="Arial"/>
          <w:sz w:val="18"/>
          <w:szCs w:val="18"/>
          <w:color w:val="auto"/>
        </w:rPr>
        <w:t xml:space="preserve"> of the Sellers Disclosure Letter shall have been obtained.</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Conditions to Purchasers’ Obligation to Close</w:t>
      </w:r>
      <w:r>
        <w:rPr>
          <w:rFonts w:ascii="Arial" w:cs="Arial" w:eastAsia="Arial" w:hAnsi="Arial"/>
          <w:sz w:val="18"/>
          <w:szCs w:val="18"/>
          <w:color w:val="auto"/>
        </w:rPr>
        <w:t>. Purchasers’ obligation to effect the transactions contemplated by this Agreement shall be subject to the satisfaction or waiver on or prior to the Closing of all of the following conditions:</w:t>
      </w:r>
    </w:p>
    <w:p>
      <w:pPr>
        <w:spacing w:after="0" w:line="170" w:lineRule="exact"/>
        <w:rPr>
          <w:sz w:val="20"/>
          <w:szCs w:val="20"/>
          <w:color w:val="auto"/>
        </w:rPr>
      </w:pPr>
    </w:p>
    <w:p>
      <w:pPr>
        <w:ind w:right="240" w:firstLine="1305"/>
        <w:spacing w:after="0" w:line="288" w:lineRule="auto"/>
        <w:tabs>
          <w:tab w:leader="none" w:pos="1942" w:val="left"/>
        </w:tabs>
        <w:numPr>
          <w:ilvl w:val="1"/>
          <w:numId w:val="97"/>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(i) The representations and warranties made by Sellers in this Agreement that are qualified by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Adverse Effect shall be true and correct, and (ii) the representations and warranties made by the Sellers in this Agreement that are not so qualified shall be true and correct in all material respects (determined without regard to any “materiality” qualifications); in the case of each of clauses (i) and</w:t>
      </w:r>
    </w:p>
    <w:p>
      <w:pPr>
        <w:ind w:right="500" w:firstLine="8"/>
        <w:spacing w:after="0" w:line="261" w:lineRule="auto"/>
        <w:tabs>
          <w:tab w:leader="none" w:pos="26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above, as of the Closing Date as if made on and as of the Closing Date (except to the extent that any such representation or warranty, by its terms, is expressly limited to a specific date, in which case, as of such specific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77" w:lineRule="auto"/>
        <w:tabs>
          <w:tab w:leader="none" w:pos="1952"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Covenants and Agreements</w:t>
      </w:r>
      <w:r>
        <w:rPr>
          <w:rFonts w:ascii="Arial" w:cs="Arial" w:eastAsia="Arial" w:hAnsi="Arial"/>
          <w:sz w:val="18"/>
          <w:szCs w:val="18"/>
          <w:color w:val="auto"/>
        </w:rPr>
        <w:t>. The covenants and agreements of Sellers to be performed on or before the Closing Date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this Agreement shall have been duly performed in all material respects.</w:t>
      </w:r>
    </w:p>
    <w:p>
      <w:pPr>
        <w:sectPr>
          <w:pgSz w:w="11900" w:h="16929" w:orient="portrait"/>
          <w:cols w:equalWidth="0" w:num="1">
            <w:col w:w="11420"/>
          </w:cols>
          <w:pgMar w:left="240" w:top="125" w:right="239" w:bottom="0" w:gutter="0" w:footer="0" w:header="0"/>
        </w:sectPr>
      </w:pPr>
    </w:p>
    <w:bookmarkStart w:id="36" w:name="page37"/>
    <w:bookmarkEnd w:id="36"/>
    <w:p>
      <w:pPr>
        <w:ind w:right="140" w:firstLine="1305"/>
        <w:spacing w:after="0" w:line="308" w:lineRule="auto"/>
        <w:tabs>
          <w:tab w:leader="none" w:pos="1955"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Officer’s Certificate</w:t>
      </w:r>
      <w:r>
        <w:rPr>
          <w:rFonts w:ascii="Arial" w:cs="Arial" w:eastAsia="Arial" w:hAnsi="Arial"/>
          <w:sz w:val="17"/>
          <w:szCs w:val="17"/>
          <w:color w:val="auto"/>
        </w:rPr>
        <w:t>. Purchasers shall have received a certificate, dated as of the Closing Date and signed on behalf of each Seller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an executive officer of each Seller, stating that the conditions specified in </w:t>
      </w:r>
      <w:r>
        <w:rPr>
          <w:rFonts w:ascii="Arial" w:cs="Arial" w:eastAsia="Arial" w:hAnsi="Arial"/>
          <w:sz w:val="17"/>
          <w:szCs w:val="17"/>
          <w:u w:val="single" w:color="auto"/>
          <w:color w:val="auto"/>
        </w:rPr>
        <w:t>Section 8.2(a)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8.2(b)</w:t>
      </w:r>
      <w:r>
        <w:rPr>
          <w:rFonts w:ascii="Arial" w:cs="Arial" w:eastAsia="Arial" w:hAnsi="Arial"/>
          <w:sz w:val="17"/>
          <w:szCs w:val="17"/>
          <w:color w:val="auto"/>
        </w:rPr>
        <w:t xml:space="preserve"> have been satisfied.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Closing Deliverables</w:t>
      </w:r>
      <w:r>
        <w:rPr>
          <w:rFonts w:ascii="Arial" w:cs="Arial" w:eastAsia="Arial" w:hAnsi="Arial"/>
          <w:sz w:val="18"/>
          <w:szCs w:val="18"/>
          <w:color w:val="auto"/>
        </w:rPr>
        <w:t>. Purchasers shall have received from Sellers the deliverables listed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Sections 2.3(b)(i)(A)-(I)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Financing</w:t>
      </w:r>
      <w:r>
        <w:rPr>
          <w:rFonts w:ascii="Arial" w:cs="Arial" w:eastAsia="Arial" w:hAnsi="Arial"/>
          <w:sz w:val="16"/>
          <w:szCs w:val="16"/>
          <w:color w:val="auto"/>
        </w:rPr>
        <w:t>. The Debt Financing (or Alternative Financing in accordance with</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w:t>
      </w:r>
      <w:r>
        <w:rPr>
          <w:rFonts w:ascii="Arial" w:cs="Arial" w:eastAsia="Arial" w:hAnsi="Arial"/>
          <w:sz w:val="16"/>
          <w:szCs w:val="16"/>
          <w:color w:val="auto"/>
        </w:rPr>
        <w:t>) has been funded or will be available to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funded at Closing.</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Conditions to Sellers’ Obligation to Close</w:t>
      </w:r>
      <w:r>
        <w:rPr>
          <w:rFonts w:ascii="Arial" w:cs="Arial" w:eastAsia="Arial" w:hAnsi="Arial"/>
          <w:sz w:val="18"/>
          <w:szCs w:val="18"/>
          <w:color w:val="auto"/>
        </w:rPr>
        <w:t>. The obligations of Sellers to effect the transactions contemplated by this Agreement shall be subject to the satisfaction or waiver on or prior to the Closing of all of the following conditions:</w:t>
      </w:r>
    </w:p>
    <w:p>
      <w:pPr>
        <w:spacing w:after="0" w:line="170" w:lineRule="exact"/>
        <w:rPr>
          <w:sz w:val="20"/>
          <w:szCs w:val="20"/>
          <w:color w:val="auto"/>
        </w:rPr>
      </w:pPr>
    </w:p>
    <w:p>
      <w:pPr>
        <w:ind w:right="100" w:firstLine="1305"/>
        <w:spacing w:after="0" w:line="259" w:lineRule="auto"/>
        <w:tabs>
          <w:tab w:leader="none" w:pos="1942"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representations and warranties made by Purchasers in this Agreement and the Warrant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true and correct in all material respects (determined without regard to any “materiality” or “material adverse effect” qualifications), as of the Closing Date as if made on and as of the Closing Date (except to the extent that any such representation or warranty, by its terms, is expressly limited to a specific date, in which case, as of such specific date).</w:t>
      </w:r>
    </w:p>
    <w:p>
      <w:pPr>
        <w:spacing w:after="0" w:line="186" w:lineRule="exact"/>
        <w:rPr>
          <w:rFonts w:ascii="Arial" w:cs="Arial" w:eastAsia="Arial" w:hAnsi="Arial"/>
          <w:sz w:val="18"/>
          <w:szCs w:val="18"/>
          <w:color w:val="auto"/>
        </w:rPr>
      </w:pPr>
    </w:p>
    <w:p>
      <w:pPr>
        <w:ind w:right="620" w:firstLine="1305"/>
        <w:spacing w:after="0" w:line="277" w:lineRule="auto"/>
        <w:tabs>
          <w:tab w:leader="none" w:pos="1952"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Covenants and Agreements</w:t>
      </w:r>
      <w:r>
        <w:rPr>
          <w:rFonts w:ascii="Arial" w:cs="Arial" w:eastAsia="Arial" w:hAnsi="Arial"/>
          <w:sz w:val="18"/>
          <w:szCs w:val="18"/>
          <w:color w:val="auto"/>
        </w:rPr>
        <w:t>. The covenants and agreements of Purchasers to be performed on or before the Closing Date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this Agreement shall have been duly performed in all material respects.</w:t>
      </w:r>
    </w:p>
    <w:p>
      <w:pPr>
        <w:spacing w:after="0" w:line="170" w:lineRule="exact"/>
        <w:rPr>
          <w:rFonts w:ascii="Arial" w:cs="Arial" w:eastAsia="Arial" w:hAnsi="Arial"/>
          <w:sz w:val="18"/>
          <w:szCs w:val="18"/>
          <w:color w:val="auto"/>
        </w:rPr>
      </w:pPr>
    </w:p>
    <w:p>
      <w:pPr>
        <w:ind w:firstLine="1305"/>
        <w:spacing w:after="0" w:line="308" w:lineRule="auto"/>
        <w:tabs>
          <w:tab w:leader="none" w:pos="1955"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Officer’s Certificate</w:t>
      </w:r>
      <w:r>
        <w:rPr>
          <w:rFonts w:ascii="Arial" w:cs="Arial" w:eastAsia="Arial" w:hAnsi="Arial"/>
          <w:sz w:val="17"/>
          <w:szCs w:val="17"/>
          <w:color w:val="auto"/>
        </w:rPr>
        <w:t>. Sellers shall have received a certificate, dated as of the Closing Date and signed on behalf of Purchasers by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executive officer of each Purchaser, stating that the conditions specified in </w:t>
      </w:r>
      <w:r>
        <w:rPr>
          <w:rFonts w:ascii="Arial" w:cs="Arial" w:eastAsia="Arial" w:hAnsi="Arial"/>
          <w:sz w:val="17"/>
          <w:szCs w:val="17"/>
          <w:u w:val="single" w:color="auto"/>
          <w:color w:val="auto"/>
        </w:rPr>
        <w:t>Section 8.3(a)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have been satisfied.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Closing Deliverables</w:t>
      </w:r>
      <w:r>
        <w:rPr>
          <w:rFonts w:ascii="Arial" w:cs="Arial" w:eastAsia="Arial" w:hAnsi="Arial"/>
          <w:sz w:val="18"/>
          <w:szCs w:val="18"/>
          <w:color w:val="auto"/>
        </w:rPr>
        <w:t>. Sellers shall have received from Purchasers the deliverables listed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Sections 2.3(b)(ii)(A)-(D)</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at any time prior to the Closing:</w:t>
      </w:r>
    </w:p>
    <w:p>
      <w:pPr>
        <w:spacing w:after="0" w:line="225" w:lineRule="exact"/>
        <w:rPr>
          <w:sz w:val="20"/>
          <w:szCs w:val="20"/>
          <w:color w:val="auto"/>
        </w:rPr>
      </w:pPr>
    </w:p>
    <w:p>
      <w:pPr>
        <w:ind w:left="1940" w:hanging="635"/>
        <w:spacing w:after="0"/>
        <w:tabs>
          <w:tab w:leader="none" w:pos="19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mutual written consent of Sellers and Purchasers;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either Sellers or Purchasers, if:</w:t>
      </w:r>
    </w:p>
    <w:p>
      <w:pPr>
        <w:spacing w:after="0" w:line="225" w:lineRule="exact"/>
        <w:rPr>
          <w:rFonts w:ascii="Arial" w:cs="Arial" w:eastAsia="Arial" w:hAnsi="Arial"/>
          <w:sz w:val="18"/>
          <w:szCs w:val="18"/>
          <w:color w:val="auto"/>
        </w:rPr>
      </w:pPr>
    </w:p>
    <w:p>
      <w:pPr>
        <w:ind w:left="1300" w:right="220" w:firstLine="653"/>
        <w:spacing w:after="0" w:line="277" w:lineRule="auto"/>
        <w:tabs>
          <w:tab w:leader="none" w:pos="261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Closing shall not have occurred on or before May 8, 2015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 to terminate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20"/>
        <w:spacing w:after="0" w:line="264" w:lineRule="auto"/>
        <w:rPr>
          <w:sz w:val="20"/>
          <w:szCs w:val="20"/>
          <w:color w:val="auto"/>
        </w:rPr>
      </w:pPr>
      <w:r>
        <w:rPr>
          <w:rFonts w:ascii="Arial" w:cs="Arial" w:eastAsia="Arial" w:hAnsi="Arial"/>
          <w:sz w:val="18"/>
          <w:szCs w:val="18"/>
          <w:color w:val="auto"/>
        </w:rPr>
        <w:t xml:space="preserve">under this </w:t>
      </w:r>
      <w:r>
        <w:rPr>
          <w:rFonts w:ascii="Arial" w:cs="Arial" w:eastAsia="Arial" w:hAnsi="Arial"/>
          <w:sz w:val="18"/>
          <w:szCs w:val="18"/>
          <w:u w:val="single" w:color="auto"/>
          <w:color w:val="auto"/>
        </w:rPr>
        <w:t>Section 9.1(b)(i)</w:t>
      </w:r>
      <w:r>
        <w:rPr>
          <w:rFonts w:ascii="Arial" w:cs="Arial" w:eastAsia="Arial" w:hAnsi="Arial"/>
          <w:sz w:val="18"/>
          <w:szCs w:val="18"/>
          <w:color w:val="auto"/>
        </w:rPr>
        <w:t xml:space="preserve"> shall not be available to any Party to this Agreement whose failure or whose Affiliate’s failure to perform any material covenant or obligation under this Agreement has been the primary cause of the failure of the transactions contemplated by this Agreement to occur on or before such date;</w:t>
      </w:r>
    </w:p>
    <w:p>
      <w:pPr>
        <w:spacing w:after="0" w:line="181" w:lineRule="exact"/>
        <w:rPr>
          <w:sz w:val="20"/>
          <w:szCs w:val="20"/>
          <w:color w:val="auto"/>
        </w:rPr>
      </w:pPr>
    </w:p>
    <w:p>
      <w:pPr>
        <w:ind w:left="1300" w:right="80" w:firstLine="653"/>
        <w:spacing w:after="0" w:line="255" w:lineRule="auto"/>
        <w:tabs>
          <w:tab w:leader="none" w:pos="262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if the other Party shall have breached or failed to perform in any material respect any of its respective representations, warranties, covenants or other agreements contained in this Agreement, and such breach or failure to perform (A) would give rise to the failure of a condition set forth in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(in the case of a breach by Sellers) or </w:t>
      </w:r>
      <w:r>
        <w:rPr>
          <w:rFonts w:ascii="Arial" w:cs="Arial" w:eastAsia="Arial" w:hAnsi="Arial"/>
          <w:sz w:val="18"/>
          <w:szCs w:val="18"/>
          <w:u w:val="single" w:color="auto"/>
          <w:color w:val="auto"/>
        </w:rPr>
        <w:t>Section 8.3(a)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8.3(b)</w:t>
      </w:r>
      <w:r>
        <w:rPr>
          <w:rFonts w:ascii="Arial" w:cs="Arial" w:eastAsia="Arial" w:hAnsi="Arial"/>
          <w:sz w:val="18"/>
          <w:szCs w:val="18"/>
          <w:color w:val="auto"/>
        </w:rPr>
        <w:t xml:space="preserve"> (in the case of a breach by Purchasers), and (B) cannot be or has not been cured prior to the earlier of (1) the Business Day prior to the Outside Date or (2) the date that is thirty (30) days from the date that Purchasers or Sellers, as applicable, is notified by the other in writing of such breach or failure to perform; or</w:t>
      </w:r>
    </w:p>
    <w:p>
      <w:pPr>
        <w:spacing w:after="0" w:line="193" w:lineRule="exact"/>
        <w:rPr>
          <w:rFonts w:ascii="Arial" w:cs="Arial" w:eastAsia="Arial" w:hAnsi="Arial"/>
          <w:sz w:val="18"/>
          <w:szCs w:val="18"/>
          <w:color w:val="auto"/>
        </w:rPr>
      </w:pPr>
    </w:p>
    <w:p>
      <w:pPr>
        <w:ind w:left="1300" w:right="300" w:firstLine="653"/>
        <w:spacing w:after="0" w:line="277" w:lineRule="auto"/>
        <w:tabs>
          <w:tab w:leader="none" w:pos="263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any Prohibitive Order permanently prevents, restrains, enjoins or otherwise prohibits the consummation of the Sale, and such Prohibitive Order becomes effective (and final and nonappealable);</w:t>
      </w:r>
    </w:p>
    <w:p>
      <w:pPr>
        <w:spacing w:after="0" w:line="170" w:lineRule="exact"/>
        <w:rPr>
          <w:rFonts w:ascii="Arial" w:cs="Arial" w:eastAsia="Arial" w:hAnsi="Arial"/>
          <w:sz w:val="18"/>
          <w:szCs w:val="18"/>
          <w:color w:val="auto"/>
        </w:rPr>
      </w:pPr>
    </w:p>
    <w:p>
      <w:pPr>
        <w:jc w:val="both"/>
        <w:ind w:right="60" w:firstLine="1305"/>
        <w:spacing w:after="0" w:line="259" w:lineRule="auto"/>
        <w:tabs>
          <w:tab w:leader="none" w:pos="19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by Sellers if Closing has not occurred by the third (3rd) Business Day following the satisfaction or waiver of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excluding the conditions set forth in </w:t>
      </w:r>
      <w:r>
        <w:rPr>
          <w:rFonts w:ascii="Arial" w:cs="Arial" w:eastAsia="Arial" w:hAnsi="Arial"/>
          <w:sz w:val="18"/>
          <w:szCs w:val="18"/>
          <w:u w:val="single" w:color="auto"/>
          <w:color w:val="auto"/>
        </w:rPr>
        <w:t>Section 8.2(e)</w:t>
      </w:r>
      <w:r>
        <w:rPr>
          <w:rFonts w:ascii="Arial" w:cs="Arial" w:eastAsia="Arial" w:hAnsi="Arial"/>
          <w:sz w:val="18"/>
          <w:szCs w:val="18"/>
          <w:color w:val="auto"/>
        </w:rPr>
        <w:t xml:space="preserve"> (other than those conditions that by their nature are to be satisfied or waived at the Closing, but subject to the satisfaction or waiver of those conditions) or by such other time and date as mutually agreed by the Parties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provided that such failure to close is not the result of any action or inaction of Sellers; and</w:t>
      </w:r>
    </w:p>
    <w:p>
      <w:pPr>
        <w:spacing w:after="0" w:line="186" w:lineRule="exact"/>
        <w:rPr>
          <w:rFonts w:ascii="Arial" w:cs="Arial" w:eastAsia="Arial" w:hAnsi="Arial"/>
          <w:sz w:val="18"/>
          <w:szCs w:val="18"/>
          <w:color w:val="auto"/>
        </w:rPr>
      </w:pPr>
    </w:p>
    <w:p>
      <w:pPr>
        <w:ind w:right="40" w:firstLine="1305"/>
        <w:spacing w:after="0" w:line="259" w:lineRule="auto"/>
        <w:tabs>
          <w:tab w:leader="none" w:pos="19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by Purchasers if Closing has not occurred by the third (3rd) Business Day following the satisfaction or waiver of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(other than those conditions that by their nature are to be satisfied or waived at the Closing, but subject to the satisfaction or waiver of those conditions) or by such other time and date as mutually agreed by the Parties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provided that such failure to close is not the result of any action or inaction of Purchasers.</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xml:space="preserve">. In the event of termination of this Agreement by either or both of Sellers and Purchasers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written notice of such termination shall be given by the terminating Party to the other Parties to this Agreement.</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In the event of termination of this Agreement by either or both of Sellers and Purchasers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this Agreement shall terminate and become void and have no effect, and the transactions contemplated by this Agreement shall be abandoned without further action by the Parties to this Agreement, except that the provisions of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shall survive the termination of this Agreement; provided, however, that such termination shall not relieve any Party to this Agreement of liability for any fraud or willful breach of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41" w:right="239" w:bottom="0" w:gutter="0" w:footer="0" w:header="0"/>
        </w:sectPr>
      </w:pPr>
    </w:p>
    <w:bookmarkStart w:id="37" w:name="page38"/>
    <w:bookmarkEnd w:id="37"/>
    <w:p>
      <w:pPr>
        <w:ind w:left="660"/>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9.4</w:t>
      </w:r>
      <w:r>
        <w:rPr>
          <w:sz w:val="20"/>
          <w:szCs w:val="20"/>
          <w:color w:val="auto"/>
        </w:rPr>
        <w:tab/>
      </w:r>
      <w:r>
        <w:rPr>
          <w:rFonts w:ascii="Arial" w:cs="Arial" w:eastAsia="Arial" w:hAnsi="Arial"/>
          <w:sz w:val="16"/>
          <w:szCs w:val="16"/>
          <w:u w:val="single" w:color="auto"/>
          <w:color w:val="auto"/>
        </w:rPr>
        <w:t>Reverse Termination Fee</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7" w:lineRule="auto"/>
        <w:tabs>
          <w:tab w:leader="none" w:pos="194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If this Agreement is validly terminated by Sellers pursuant to </w:t>
      </w:r>
      <w:r>
        <w:rPr>
          <w:rFonts w:ascii="Arial" w:cs="Arial" w:eastAsia="Arial" w:hAnsi="Arial"/>
          <w:sz w:val="18"/>
          <w:szCs w:val="18"/>
          <w:u w:val="single" w:color="auto"/>
          <w:color w:val="auto"/>
        </w:rPr>
        <w:t>Section 9.1(b)(ii)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9.1(c)</w:t>
      </w:r>
      <w:r>
        <w:rPr>
          <w:rFonts w:ascii="Arial" w:cs="Arial" w:eastAsia="Arial" w:hAnsi="Arial"/>
          <w:sz w:val="18"/>
          <w:szCs w:val="18"/>
          <w:color w:val="auto"/>
        </w:rPr>
        <w:t>, then Purchasers shall pay by wire transfer of immediately available funds, to an account designated by Sellers, within two (2) Business Days after the date on which this Agreement is so terminated, the amount of Five Million Dollars ($5,000,000) (the “</w:t>
      </w:r>
      <w:r>
        <w:rPr>
          <w:rFonts w:ascii="Arial" w:cs="Arial" w:eastAsia="Arial" w:hAnsi="Arial"/>
          <w:sz w:val="18"/>
          <w:szCs w:val="18"/>
          <w:u w:val="single" w:color="auto"/>
          <w:color w:val="auto"/>
        </w:rPr>
        <w:t>Reverse Termination Fee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Purchasers shall not be liable to Sellers for the Reverse Termination Fee solely due to a failure to satisfy the conditions of </w:t>
      </w:r>
      <w:r>
        <w:rPr>
          <w:rFonts w:ascii="Arial" w:cs="Arial" w:eastAsia="Arial" w:hAnsi="Arial"/>
          <w:sz w:val="18"/>
          <w:szCs w:val="18"/>
          <w:u w:val="single" w:color="auto"/>
          <w:color w:val="auto"/>
        </w:rPr>
        <w:t>Section 8.2(e)</w:t>
      </w:r>
      <w:r>
        <w:rPr>
          <w:rFonts w:ascii="Arial" w:cs="Arial" w:eastAsia="Arial" w:hAnsi="Arial"/>
          <w:sz w:val="18"/>
          <w:szCs w:val="18"/>
          <w:color w:val="auto"/>
        </w:rPr>
        <w:t xml:space="preserve">, provided that Purchasers have complied with its obligations under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80" w:firstLine="1305"/>
        <w:spacing w:after="0" w:line="271" w:lineRule="auto"/>
        <w:tabs>
          <w:tab w:leader="none" w:pos="195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Each Party acknowledges that the agreements contained in this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are an integral part of the transactions contemplated by this Agreement and that, without these agreements, the other Parties would not enter into this Agreement. Accordingly, if Purchasers fail promptly to pay the amounts due pursuant to this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and, in order to obtain such payments, Sellers commence a suit that results in a judgment against Purchasers for the amounts set forth in this </w:t>
      </w:r>
      <w:r>
        <w:rPr>
          <w:rFonts w:ascii="Arial" w:cs="Arial" w:eastAsia="Arial" w:hAnsi="Arial"/>
          <w:sz w:val="17"/>
          <w:szCs w:val="17"/>
          <w:u w:val="single" w:color="auto"/>
          <w:color w:val="auto"/>
        </w:rPr>
        <w:t>Section 9.4</w:t>
      </w:r>
      <w:r>
        <w:rPr>
          <w:rFonts w:ascii="Arial" w:cs="Arial" w:eastAsia="Arial" w:hAnsi="Arial"/>
          <w:sz w:val="17"/>
          <w:szCs w:val="17"/>
          <w:color w:val="auto"/>
        </w:rPr>
        <w:t>, Purchasers will pay to Sellers, Sellers’ costs and expenses (including reasonable attorney’s fees and disbursements) in connection with such suit. The Parties acknowledge that the Reverse Termination Fee shall not constitute a penalty but rather is liquidated damages, in a reasonable amount that will compensate Sellers in the circumstances in which the Reverse Termination Fee is payable for the efforts and resources expended and opportunities foregone while negotiating this Agreement and in reliance on this Agreement and on the expectation of the consummation of the Sale, which amount would otherwise be impossible to calculate with precision.</w:t>
      </w:r>
    </w:p>
    <w:p>
      <w:pPr>
        <w:spacing w:after="0" w:line="178" w:lineRule="exact"/>
        <w:rPr>
          <w:rFonts w:ascii="Arial" w:cs="Arial" w:eastAsia="Arial" w:hAnsi="Arial"/>
          <w:sz w:val="17"/>
          <w:szCs w:val="17"/>
          <w:color w:val="auto"/>
        </w:rPr>
      </w:pPr>
    </w:p>
    <w:p>
      <w:pPr>
        <w:ind w:right="80" w:firstLine="1305"/>
        <w:spacing w:after="0" w:line="287" w:lineRule="auto"/>
        <w:tabs>
          <w:tab w:leader="none" w:pos="195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9.4(b)</w:t>
      </w:r>
      <w:r>
        <w:rPr>
          <w:rFonts w:ascii="Arial" w:cs="Arial" w:eastAsia="Arial" w:hAnsi="Arial"/>
          <w:sz w:val="16"/>
          <w:szCs w:val="16"/>
          <w:color w:val="auto"/>
        </w:rPr>
        <w:t xml:space="preserve">, in any circumstance in which Sellers have the right to receive the Reverse Termination Fee pursuant to </w:t>
      </w:r>
      <w:r>
        <w:rPr>
          <w:rFonts w:ascii="Arial" w:cs="Arial" w:eastAsia="Arial" w:hAnsi="Arial"/>
          <w:sz w:val="16"/>
          <w:szCs w:val="16"/>
          <w:u w:val="single" w:color="auto"/>
          <w:color w:val="auto"/>
        </w:rPr>
        <w:t>Section 9.4(a)</w:t>
      </w:r>
      <w:r>
        <w:rPr>
          <w:rFonts w:ascii="Arial" w:cs="Arial" w:eastAsia="Arial" w:hAnsi="Arial"/>
          <w:sz w:val="16"/>
          <w:szCs w:val="16"/>
          <w:color w:val="auto"/>
        </w:rPr>
        <w:t>, Sellers’ termination of this Agreement and receipt of the Reverse Termination Fee shall be the sole and exclusive remedy of Sellers and their Affiliates against Purchasers, the financing sources of the Debt Financing and any of their respective, direct or indirect, former, current or future general or limited partners, managers, members, stockholders, officers, directors, Affiliates, employees, representatives, agents, successors and assigns (collectively, the “</w:t>
      </w:r>
      <w:r>
        <w:rPr>
          <w:rFonts w:ascii="Arial" w:cs="Arial" w:eastAsia="Arial" w:hAnsi="Arial"/>
          <w:sz w:val="16"/>
          <w:szCs w:val="16"/>
          <w:u w:val="single" w:color="auto"/>
          <w:color w:val="auto"/>
        </w:rPr>
        <w:t>Purchaser Related Parties</w:t>
      </w:r>
      <w:r>
        <w:rPr>
          <w:rFonts w:ascii="Arial" w:cs="Arial" w:eastAsia="Arial" w:hAnsi="Arial"/>
          <w:sz w:val="16"/>
          <w:szCs w:val="16"/>
          <w:color w:val="auto"/>
        </w:rPr>
        <w:t xml:space="preserve">”) for any loss suffered as a result of any breach of any representation, warranty, covenant or agreement in this Agreement, the transactions contemplated hereby, or the Debt Financing Agreements, and upon such termination by Sellers and receipt of the Reverse Termination Fee, none of the Purchasers, the financing sources of the Debt Financing, or any of their respective Purchaser Related Parties shall have any further liability or obligation relating to or arising out of this Agreement, the transactions contemplated hereby, or the Debt Financing Agreements (except that the applicable Purchaser Related Parties of the Purchasers (and not the Purchaser Related Parties of the financing sources of the Debt Financing) shall remain obligated for, and Sellers and their Subsidiaries may be entitled to remedies with respect to, any breach of the Confidentiality Agreement or the provisions of </w:t>
      </w:r>
      <w:r>
        <w:rPr>
          <w:rFonts w:ascii="Arial" w:cs="Arial" w:eastAsia="Arial" w:hAnsi="Arial"/>
          <w:sz w:val="16"/>
          <w:szCs w:val="16"/>
          <w:u w:val="single" w:color="auto"/>
          <w:color w:val="auto"/>
        </w:rPr>
        <w:t>Section 11.3</w:t>
      </w:r>
      <w:r>
        <w:rPr>
          <w:rFonts w:ascii="Arial" w:cs="Arial" w:eastAsia="Arial" w:hAnsi="Arial"/>
          <w:sz w:val="16"/>
          <w:szCs w:val="16"/>
          <w:color w:val="auto"/>
        </w:rPr>
        <w:t>, whether in equity or at law, in contract, in tort or otherwise).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SURVIVAL; INDEMNIFICATION; LIQUIDATED DAMAGES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Survival Periods</w:t>
      </w:r>
      <w:r>
        <w:rPr>
          <w:rFonts w:ascii="Arial" w:cs="Arial" w:eastAsia="Arial" w:hAnsi="Arial"/>
          <w:sz w:val="16"/>
          <w:szCs w:val="16"/>
          <w:color w:val="auto"/>
        </w:rPr>
        <w:t xml:space="preserve">. All representations and warranties contained in this Agreement, and the right to commence any claim with respect thereto under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shall survive until the fifteen (15) month anniversary of the Closing Date;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 the Fundamental Representations and the Purchasers Fundamental Representations shall survive indefinitely; and (ii) the representations and warranties set forth in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(Intellectual Property),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(Environmental Health and Safety Matters) and </w:t>
      </w:r>
      <w:r>
        <w:rPr>
          <w:rFonts w:ascii="Arial" w:cs="Arial" w:eastAsia="Arial" w:hAnsi="Arial"/>
          <w:sz w:val="16"/>
          <w:szCs w:val="16"/>
          <w:u w:val="single" w:color="auto"/>
          <w:color w:val="auto"/>
        </w:rPr>
        <w:t>Section 3.19</w:t>
      </w:r>
      <w:r>
        <w:rPr>
          <w:rFonts w:ascii="Arial" w:cs="Arial" w:eastAsia="Arial" w:hAnsi="Arial"/>
          <w:sz w:val="16"/>
          <w:szCs w:val="16"/>
          <w:color w:val="auto"/>
        </w:rPr>
        <w:t xml:space="preserve"> (Employee Benefits Plans) shall survive until the three</w:t>
      </w:r>
    </w:p>
    <w:p>
      <w:pPr>
        <w:spacing w:after="0" w:line="2" w:lineRule="exact"/>
        <w:rPr>
          <w:sz w:val="20"/>
          <w:szCs w:val="20"/>
          <w:color w:val="auto"/>
        </w:rPr>
      </w:pPr>
    </w:p>
    <w:p>
      <w:pPr>
        <w:ind w:right="140" w:firstLine="8"/>
        <w:spacing w:after="0" w:line="255" w:lineRule="auto"/>
        <w:tabs>
          <w:tab w:leader="none" w:pos="2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year anniversary of the Closing Date. Those covenants that contemplate or may involve actions to be taken or obligations in effect after the Closing shall survive in accordance with their terms. Written notice of a claim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must be given to the Indemnifying Party in accordance with the provisions hereof prior to the expiration of the survival period set forth in this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9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Indemnification by Sellers</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 from and after the Closing Date, Sellers shall indemnify and hold harmless Purchasers and its Affiliates, each of their respective directors, officers, employees and agents, and each of the heirs, executors, successors and assigns of any of the foregoing (collectively, the “</w:t>
      </w:r>
      <w:r>
        <w:rPr>
          <w:rFonts w:ascii="Arial" w:cs="Arial" w:eastAsia="Arial" w:hAnsi="Arial"/>
          <w:sz w:val="18"/>
          <w:szCs w:val="18"/>
          <w:u w:val="single" w:color="auto"/>
          <w:color w:val="auto"/>
        </w:rPr>
        <w:t>Purchasers Indemnified Parties</w:t>
      </w:r>
      <w:r>
        <w:rPr>
          <w:rFonts w:ascii="Arial" w:cs="Arial" w:eastAsia="Arial" w:hAnsi="Arial"/>
          <w:sz w:val="18"/>
          <w:szCs w:val="18"/>
          <w:color w:val="auto"/>
        </w:rPr>
        <w:t>”) from and against any and all Losses to the extent resulting from or arising out of:</w:t>
      </w:r>
    </w:p>
    <w:p>
      <w:pPr>
        <w:spacing w:after="0" w:line="187" w:lineRule="exact"/>
        <w:rPr>
          <w:sz w:val="20"/>
          <w:szCs w:val="20"/>
          <w:color w:val="auto"/>
        </w:rPr>
      </w:pPr>
    </w:p>
    <w:p>
      <w:pPr>
        <w:ind w:right="200" w:firstLine="1305"/>
        <w:spacing w:after="0" w:line="277" w:lineRule="auto"/>
        <w:tabs>
          <w:tab w:leader="none" w:pos="194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any breach of any representation or warranty of Sellers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as of the Closing Date (or with respect to representations and warranties that are made as of a specific date, as of such date);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breach of any covenant or agreement contained in this Agreement to be performed by Sellers after the Closing; and</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Initial Retention Bonuses.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Indemnification by Purchasers</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 from and after the Closing Date, Purchasers shall indemnify and hold harmless Sellers and their Affiliates, each of their respective directors, officers, employees and agents, and each of the heirs, executors, successors and assigns of any of the foregoing from and against any and all Losses resulting from or arising out of:</w:t>
      </w:r>
    </w:p>
    <w:p>
      <w:pPr>
        <w:spacing w:after="0" w:line="181" w:lineRule="exact"/>
        <w:rPr>
          <w:sz w:val="20"/>
          <w:szCs w:val="20"/>
          <w:color w:val="auto"/>
        </w:rPr>
      </w:pPr>
    </w:p>
    <w:p>
      <w:pPr>
        <w:ind w:right="260" w:firstLine="1305"/>
        <w:spacing w:after="0" w:line="277" w:lineRule="auto"/>
        <w:tabs>
          <w:tab w:leader="none" w:pos="194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any breach of any representation or warranty of Purchasers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this Agreement as of the Closing Date (or with respect to representations and warranties that are made as of a specific date, as of such date);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any breach of any covenant or agreement contained in this Agreement to be performed by Purchasers after the Closing; and</w:t>
      </w:r>
    </w:p>
    <w:p>
      <w:pPr>
        <w:spacing w:after="0" w:line="236" w:lineRule="exact"/>
        <w:rPr>
          <w:rFonts w:ascii="Arial" w:cs="Arial" w:eastAsia="Arial" w:hAnsi="Arial"/>
          <w:sz w:val="17"/>
          <w:szCs w:val="17"/>
          <w:color w:val="auto"/>
        </w:rPr>
      </w:pPr>
    </w:p>
    <w:p>
      <w:pPr>
        <w:ind w:left="5620" w:right="320" w:hanging="4315"/>
        <w:spacing w:after="0" w:line="528" w:lineRule="auto"/>
        <w:tabs>
          <w:tab w:leader="none" w:pos="1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actions taken on behalf of, or at the request of, Purchasers in connection with the Debt Financing or any Alternative Financing.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w:t>
      </w:r>
    </w:p>
    <w:p>
      <w:pPr>
        <w:sectPr>
          <w:pgSz w:w="11900" w:h="16838" w:orient="portrait"/>
          <w:cols w:equalWidth="0" w:num="1">
            <w:col w:w="11420"/>
          </w:cols>
          <w:pgMar w:left="240" w:top="733" w:right="239" w:bottom="0" w:gutter="0" w:footer="0" w:header="0"/>
        </w:sectPr>
      </w:pPr>
    </w:p>
    <w:bookmarkStart w:id="38" w:name="page39"/>
    <w:bookmarkEnd w:id="38"/>
    <w:p>
      <w:pPr>
        <w:ind w:firstLine="1305"/>
        <w:spacing w:after="0" w:line="270" w:lineRule="auto"/>
        <w:tabs>
          <w:tab w:leader="none" w:pos="194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Person that may be entitled to be indemnified under this Agreement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shall promptly notify the Party or Parties liable for such indemnification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in writing of any pending or threatened claim or demand other than a Tax Proceeding that the Indemnified Party has determined gives or would reasonably be expected to give rise to a right of indemnification under this Agreement (including a pending or threatened claim or demand asserted by a third party against the Indemnified Party, such claim being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xml:space="preserve">”), describing in reasonable detail the facts and circumstances with respect to the subject matter of such claim or demand (including copies of any summons, complaint or other pleading which may have been served on it and any written claim, demand, invoice, billing or other document evidencing or asserting the same);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failure to provide such notice shall not release the Indemnifying Party from any of its obligations under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X</w:t>
      </w:r>
      <w:r>
        <w:rPr>
          <w:rFonts w:ascii="Arial" w:cs="Arial" w:eastAsia="Arial" w:hAnsi="Arial"/>
          <w:sz w:val="17"/>
          <w:szCs w:val="17"/>
          <w:i w:val="1"/>
          <w:iCs w:val="1"/>
          <w:color w:val="auto"/>
        </w:rPr>
        <w:t xml:space="preserve"> </w:t>
      </w:r>
      <w:r>
        <w:rPr>
          <w:rFonts w:ascii="Arial" w:cs="Arial" w:eastAsia="Arial" w:hAnsi="Arial"/>
          <w:sz w:val="17"/>
          <w:szCs w:val="17"/>
          <w:color w:val="auto"/>
        </w:rPr>
        <w:t>except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extent the Indemnifying Party is materially prejudiced by such failure, it being agreed that notices for claims in respect of a breach of a representation, warranty, covenant or agreement must be delivered prior to the expiration of any applicable survival period specified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for such representation, warranty, covenant or agreement.</w:t>
      </w:r>
    </w:p>
    <w:p>
      <w:pPr>
        <w:spacing w:after="0" w:line="177" w:lineRule="exact"/>
        <w:rPr>
          <w:rFonts w:ascii="Arial" w:cs="Arial" w:eastAsia="Arial" w:hAnsi="Arial"/>
          <w:sz w:val="17"/>
          <w:szCs w:val="17"/>
          <w:color w:val="auto"/>
        </w:rPr>
      </w:pPr>
    </w:p>
    <w:p>
      <w:pPr>
        <w:ind w:firstLine="1305"/>
        <w:spacing w:after="0" w:line="285" w:lineRule="auto"/>
        <w:tabs>
          <w:tab w:leader="none" w:pos="195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Upon receipt of a notice of a Third Party Claim for indemnity from an Indemnified Party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other than a Tax Proceeding, the Indemnifying Party will be entitled, by notice to the Indemnified Party delivered within twenty (20) Business Days of the receipt of notice of such Third Party Claim, to undertake, conduct and control the settlement or defense of such Third Party Claim (at the expense of such Indemnifying Party);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Indemnifying Party shall only be entitled to undertake, conduct and control such settlement or defense if it acknowledges, in writing, to the Indemnified Party, its obligation to indemnify the Indemnified Party pursuant to the terms and subject to the limitations of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The Indemnifying Party shall allow the Indemnified Party a reasonable opportunity to participate in the defense of such Third Party Claim with its own counsel and at its own expense. If the Indemnifying Party does not assume the defense and control of any Third Party Claim pursuant to this </w:t>
      </w:r>
      <w:r>
        <w:rPr>
          <w:rFonts w:ascii="Arial" w:cs="Arial" w:eastAsia="Arial" w:hAnsi="Arial"/>
          <w:sz w:val="16"/>
          <w:szCs w:val="16"/>
          <w:u w:val="single" w:color="auto"/>
          <w:color w:val="auto"/>
        </w:rPr>
        <w:t>Section 10.4(b)</w:t>
      </w:r>
      <w:r>
        <w:rPr>
          <w:rFonts w:ascii="Arial" w:cs="Arial" w:eastAsia="Arial" w:hAnsi="Arial"/>
          <w:sz w:val="16"/>
          <w:szCs w:val="16"/>
          <w:color w:val="auto"/>
        </w:rPr>
        <w:t xml:space="preserve">, the Indemnified Party shall be entitled to assume and control such defense through counsel of its own choice, and the reasonable fees and expenses incurred in connection with such defense shall be considered Losses hereunder with respect to the subject matter of such claim, indemnifiable to the extent provided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but the Indemnifying Party may nonetheless participate in the defense of such Third Party Claim with its own counsel and at its own expense. Notwithstanding the foregoing, the Indemnifying Party shall not be entitled to assume the settlement or defense of a Third Party Claim under this </w:t>
      </w:r>
      <w:r>
        <w:rPr>
          <w:rFonts w:ascii="Arial" w:cs="Arial" w:eastAsia="Arial" w:hAnsi="Arial"/>
          <w:sz w:val="16"/>
          <w:szCs w:val="16"/>
          <w:u w:val="single" w:color="auto"/>
          <w:color w:val="auto"/>
        </w:rPr>
        <w:t>Section 10.4(b)</w:t>
      </w:r>
      <w:r>
        <w:rPr>
          <w:rFonts w:ascii="Arial" w:cs="Arial" w:eastAsia="Arial" w:hAnsi="Arial"/>
          <w:sz w:val="16"/>
          <w:szCs w:val="16"/>
          <w:color w:val="auto"/>
        </w:rPr>
        <w:t xml:space="preserve"> unless: (A) the Third Party Claim involves solely monetary damages, (B) the Indemnifying Party demonstrates to the Indemnified Party’s reasonable satisfaction that the Indemnifying Party has sufficient financial resources in order to indemnify for the full amount of such potential Losses for which the Indemnifying Party is reasonably likely to be liable pursuant to this </w:t>
      </w:r>
      <w:r>
        <w:rPr>
          <w:rFonts w:ascii="Arial" w:cs="Arial" w:eastAsia="Arial" w:hAnsi="Arial"/>
          <w:sz w:val="16"/>
          <w:szCs w:val="16"/>
          <w:u w:val="single" w:color="auto"/>
          <w:color w:val="auto"/>
        </w:rPr>
        <w:t>Article X</w:t>
      </w:r>
      <w:r>
        <w:rPr>
          <w:rFonts w:ascii="Arial" w:cs="Arial" w:eastAsia="Arial" w:hAnsi="Arial"/>
          <w:sz w:val="16"/>
          <w:szCs w:val="16"/>
          <w:color w:val="auto"/>
        </w:rPr>
        <w:t>, and (C) the amount of such potential Losses for which the Indemnifying Party is reasonably likely to be liable does not exceed the Cap. If either the Indemnifying Party or the Indemnified Party assumes the defense and control of a Third Party Claim, the Indemnifying Party or the Indemnified Party, as applicable, shall select counsel and shall use commercially reasonable efforts in the defense or settlement of such Third Party Claim. Purchasers or Sellers, as the case may be, shall, and shall cause each of their Affiliates and Representatives to, reasonably cooperate with the Indemnifying Party or Indemnified Party, as applicable, in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defense of any Third Party Claim, including by furnishing Books and Records, personnel and witnesses, as appropriate for any defense of such Third Party Claim. If the Indemnifying Party has assumed the defense and control of a Third Party Claim, it shall be authorized to consent to a settlement of, or the entry of any judgment arising from, any Third Party Claim, in its sole discretion and without the consent of the Indemnified Party; provided that such settlement or judgment shall consist solely of a recovery of monetary damages for which the Indemnifying Party shall be liable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and the Indemnifying Party shall (i) pay or cause to be paid all amounts in such settlement or judgment (other than solely with respect to the Deductible would be applicable in accordance with the applicable provisions of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and (ii) obtain, as a condition of any settlement or other resolution, a complete and unconditional release of any Indemnified Party affected by such Third Party Claim. Except as set forth in the previous sentence, no Party shall settle or compromise any Third Party Claim without the prior written consent of the other Party, which consent shall not be unreasonably withheld, conditioned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is shall not be unreasonable for an Indemnified Party to withhold its consent to any settlement that involves any injunctive relief binding on any of the Indemnified Parties or a finding or admission of any violation of Law or admission of any wrongdoing by any Indemnified Party. No Indemnified Party will consent to the entry of any judgment or enter into any settlement or compromise with respect to a Third Party Claim without the prior written consent of the Indemnifying Party. Notwithstanding the foregoing, this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shall be subject to the provisions of any Contract providing for the defense or prosecution of any Action.</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u w:val="single" w:color="auto"/>
          <w:color w:val="auto"/>
        </w:rPr>
        <w:t>Limitations</w:t>
      </w:r>
      <w:r>
        <w:rPr>
          <w:rFonts w:ascii="Arial" w:cs="Arial" w:eastAsia="Arial" w:hAnsi="Arial"/>
          <w:sz w:val="17"/>
          <w:szCs w:val="17"/>
          <w:color w:val="auto"/>
        </w:rPr>
        <w:t>.</w:t>
      </w:r>
    </w:p>
    <w:p>
      <w:pPr>
        <w:spacing w:after="0" w:line="225" w:lineRule="exact"/>
        <w:rPr>
          <w:sz w:val="20"/>
          <w:szCs w:val="20"/>
          <w:color w:val="auto"/>
        </w:rPr>
      </w:pPr>
    </w:p>
    <w:p>
      <w:pPr>
        <w:ind w:right="40" w:firstLine="1305"/>
        <w:spacing w:after="0" w:line="269" w:lineRule="auto"/>
        <w:tabs>
          <w:tab w:leader="none" w:pos="194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Sellers shall have no liability for indemnification pursuant to </w:t>
      </w:r>
      <w:r>
        <w:rPr>
          <w:rFonts w:ascii="Arial" w:cs="Arial" w:eastAsia="Arial" w:hAnsi="Arial"/>
          <w:sz w:val="17"/>
          <w:szCs w:val="17"/>
          <w:u w:val="single" w:color="auto"/>
          <w:color w:val="auto"/>
        </w:rPr>
        <w:t>Section 10.2(a)</w:t>
      </w:r>
      <w:r>
        <w:rPr>
          <w:rFonts w:ascii="Arial" w:cs="Arial" w:eastAsia="Arial" w:hAnsi="Arial"/>
          <w:sz w:val="17"/>
          <w:szCs w:val="17"/>
          <w:color w:val="auto"/>
        </w:rPr>
        <w:t xml:space="preserve"> with respect to Losses for which indemnification is provided thereunder, (i) to the extent such Losses were included in the calculation of Working Capital on the Final Post-Closing Adjustment Statement, as finally determined pursuant to </w:t>
      </w:r>
      <w:r>
        <w:rPr>
          <w:rFonts w:ascii="Arial" w:cs="Arial" w:eastAsia="Arial" w:hAnsi="Arial"/>
          <w:sz w:val="17"/>
          <w:szCs w:val="17"/>
          <w:u w:val="single" w:color="auto"/>
          <w:color w:val="auto"/>
        </w:rPr>
        <w:t>Sections 2.4</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2.7</w:t>
      </w:r>
      <w:r>
        <w:rPr>
          <w:rFonts w:ascii="Arial" w:cs="Arial" w:eastAsia="Arial" w:hAnsi="Arial"/>
          <w:sz w:val="17"/>
          <w:szCs w:val="17"/>
          <w:color w:val="auto"/>
        </w:rPr>
        <w:t xml:space="preserve">, (ii) to the extent that Purchasers received a benefit from the reflection of such matter in the calculation of the adjustment of the Initial Purchase Price, if any, as finally determined pursuant to </w:t>
      </w:r>
      <w:r>
        <w:rPr>
          <w:rFonts w:ascii="Arial" w:cs="Arial" w:eastAsia="Arial" w:hAnsi="Arial"/>
          <w:sz w:val="17"/>
          <w:szCs w:val="17"/>
          <w:u w:val="single" w:color="auto"/>
          <w:color w:val="auto"/>
        </w:rPr>
        <w:t>Sections 2.4</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2.7</w:t>
      </w:r>
      <w:r>
        <w:rPr>
          <w:rFonts w:ascii="Arial" w:cs="Arial" w:eastAsia="Arial" w:hAnsi="Arial"/>
          <w:sz w:val="17"/>
          <w:szCs w:val="17"/>
          <w:color w:val="auto"/>
        </w:rPr>
        <w:t>, (iii) that are De Minimis Damages or (iv) unless the aggregate of all Losses (other than De Minimis Damages) exceeds Five Hundred Thousand Dollars ($500,000) (the “</w:t>
      </w:r>
      <w:r>
        <w:rPr>
          <w:rFonts w:ascii="Arial" w:cs="Arial" w:eastAsia="Arial" w:hAnsi="Arial"/>
          <w:sz w:val="17"/>
          <w:szCs w:val="17"/>
          <w:u w:val="single" w:color="auto"/>
          <w:color w:val="auto"/>
        </w:rPr>
        <w:t>Deductible</w:t>
      </w:r>
      <w:r>
        <w:rPr>
          <w:rFonts w:ascii="Arial" w:cs="Arial" w:eastAsia="Arial" w:hAnsi="Arial"/>
          <w:sz w:val="17"/>
          <w:szCs w:val="17"/>
          <w:color w:val="auto"/>
        </w:rPr>
        <w:t xml:space="preserve">”) in which case Sellers shall be liable for all such Losses (other than De Minimis Damages) in excess of the amount of the Deductible. Notwithstanding the foregoing, Sellers shall have no liability for indemnification pursuant to </w:t>
      </w:r>
      <w:r>
        <w:rPr>
          <w:rFonts w:ascii="Arial" w:cs="Arial" w:eastAsia="Arial" w:hAnsi="Arial"/>
          <w:sz w:val="17"/>
          <w:szCs w:val="17"/>
          <w:u w:val="single" w:color="auto"/>
          <w:color w:val="auto"/>
        </w:rPr>
        <w:t>Section 10.2(a)</w:t>
      </w:r>
      <w:r>
        <w:rPr>
          <w:rFonts w:ascii="Arial" w:cs="Arial" w:eastAsia="Arial" w:hAnsi="Arial"/>
          <w:sz w:val="17"/>
          <w:szCs w:val="17"/>
          <w:color w:val="auto"/>
        </w:rPr>
        <w:t xml:space="preserve"> with respect to Losses of any aggregate amount that exceeds the Cap, it being understood that in the event any Purchasers Indemnified Party seeks indemnification for Losses in excess of the Cap and the Cap subsequently increases to a greater value as a result of the payment of Development Milestone Earn-Out Consideration and/or Commercial Milestone Earn-Out Consideration to APIL, such Purchasers Indemnified Party shall be entitled to seek indemnification in accordance with such increased Cap and the terms of this Agreement.</w:t>
      </w:r>
    </w:p>
    <w:p>
      <w:pPr>
        <w:spacing w:after="0" w:line="182" w:lineRule="exact"/>
        <w:rPr>
          <w:rFonts w:ascii="Arial" w:cs="Arial" w:eastAsia="Arial" w:hAnsi="Arial"/>
          <w:sz w:val="17"/>
          <w:szCs w:val="17"/>
          <w:color w:val="auto"/>
        </w:rPr>
      </w:pPr>
    </w:p>
    <w:p>
      <w:pPr>
        <w:ind w:right="500" w:firstLine="1305"/>
        <w:spacing w:after="0" w:line="264" w:lineRule="auto"/>
        <w:tabs>
          <w:tab w:leader="none" w:pos="19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The Deductible and the Cap shall not apply to any Losses arising out of or resulting from (1) the breach of any Fundamental Representation, (2) the breach of any representation or warranty set forth in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(Taxes); (3) the breach of any Purchasers Fundamental Representation; (4) the breach of any covenant set forth in this Agreement; or (5) fraud.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firstLine="1305"/>
        <w:spacing w:after="0" w:line="312" w:lineRule="auto"/>
        <w:tabs>
          <w:tab w:leader="none" w:pos="195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Purchasers shall have no liability for indemnification pursuant to </w:t>
      </w:r>
      <w:r>
        <w:rPr>
          <w:rFonts w:ascii="Arial" w:cs="Arial" w:eastAsia="Arial" w:hAnsi="Arial"/>
          <w:sz w:val="16"/>
          <w:szCs w:val="16"/>
          <w:u w:val="single" w:color="auto"/>
          <w:color w:val="auto"/>
        </w:rPr>
        <w:t>Section 10.3(a)</w:t>
      </w:r>
      <w:r>
        <w:rPr>
          <w:rFonts w:ascii="Arial" w:cs="Arial" w:eastAsia="Arial" w:hAnsi="Arial"/>
          <w:sz w:val="16"/>
          <w:szCs w:val="16"/>
          <w:color w:val="auto"/>
        </w:rPr>
        <w:t xml:space="preserve"> with respect to Losses for which indemnification is provided thereunder, (i) that are De Minimis Damages or (ii) unless the aggregate of all Losses (other than De Minimis Damages) exceeds the Deductible, in which case Purchasers shall be liable for all such Losses (other than De Minimis Damages) in excess of the amount of the Deductible.</w:t>
      </w:r>
    </w:p>
    <w:p>
      <w:pPr>
        <w:sectPr>
          <w:pgSz w:w="11900" w:h="16838" w:orient="portrait"/>
          <w:cols w:equalWidth="0" w:num="1">
            <w:col w:w="11400"/>
          </w:cols>
          <w:pgMar w:left="240" w:top="341" w:right="259" w:bottom="0" w:gutter="0" w:footer="0" w:header="0"/>
        </w:sectPr>
      </w:pPr>
    </w:p>
    <w:bookmarkStart w:id="39" w:name="page40"/>
    <w:bookmarkEnd w:id="39"/>
    <w:p>
      <w:pPr>
        <w:ind w:right="60" w:firstLine="1305"/>
        <w:spacing w:after="0" w:line="264" w:lineRule="auto"/>
        <w:tabs>
          <w:tab w:leader="none" w:pos="195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purposes of calculating the amount of any Losses arising out of or resulting from any breach of any representation or warranty of set forth in this Agreement, any reference to “Material Adverse Effect” or “materiality” or other correlative terms in such representations or warranties shall be disregarded.</w:t>
      </w:r>
    </w:p>
    <w:p>
      <w:pPr>
        <w:spacing w:after="0" w:line="181" w:lineRule="exact"/>
        <w:rPr>
          <w:rFonts w:ascii="Arial" w:cs="Arial" w:eastAsia="Arial" w:hAnsi="Arial"/>
          <w:sz w:val="18"/>
          <w:szCs w:val="18"/>
          <w:color w:val="auto"/>
        </w:rPr>
      </w:pPr>
    </w:p>
    <w:p>
      <w:pPr>
        <w:ind w:right="20" w:firstLine="1305"/>
        <w:spacing w:after="0" w:line="279" w:lineRule="auto"/>
        <w:tabs>
          <w:tab w:leader="none" w:pos="195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Sellers shall not be liable under this Article X for any Losses based upon or arising out of any inaccuracy in or breach of any of the representations or warranties of Sellers contained in this Agreement if Purchasers had knowledge, based solely upon written documentation included in the data room, of such inaccuracy or breach prior to the Closing. For purposes of this Section 10.5(e), Purchasers shall be deemed to have knowledge of all written documentation included in the data room as of the date hereof and included on the disk delivered pursuant to </w:t>
      </w:r>
      <w:r>
        <w:rPr>
          <w:rFonts w:ascii="Arial" w:cs="Arial" w:eastAsia="Arial" w:hAnsi="Arial"/>
          <w:sz w:val="17"/>
          <w:szCs w:val="17"/>
          <w:u w:val="single" w:color="auto"/>
          <w:color w:val="auto"/>
        </w:rPr>
        <w:t>Section 5.21</w:t>
      </w:r>
      <w:r>
        <w:rPr>
          <w:rFonts w:ascii="Arial" w:cs="Arial" w:eastAsia="Arial" w:hAnsi="Arial"/>
          <w:sz w:val="17"/>
          <w:szCs w:val="17"/>
          <w:color w:val="auto"/>
        </w:rPr>
        <w:t>.</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u w:val="single" w:color="auto"/>
          <w:color w:val="auto"/>
        </w:rPr>
        <w:t>Mitigation; Additional Indemnification Provisions</w:t>
      </w:r>
      <w:r>
        <w:rPr>
          <w:rFonts w:ascii="Arial" w:cs="Arial" w:eastAsia="Arial" w:hAnsi="Arial"/>
          <w:sz w:val="17"/>
          <w:szCs w:val="17"/>
          <w:color w:val="auto"/>
        </w:rPr>
        <w:t>.</w:t>
      </w:r>
    </w:p>
    <w:p>
      <w:pPr>
        <w:spacing w:after="0" w:line="225" w:lineRule="exact"/>
        <w:rPr>
          <w:sz w:val="20"/>
          <w:szCs w:val="20"/>
          <w:color w:val="auto"/>
        </w:rPr>
      </w:pPr>
    </w:p>
    <w:p>
      <w:pPr>
        <w:ind w:right="120" w:firstLine="1305"/>
        <w:spacing w:after="0" w:line="259" w:lineRule="auto"/>
        <w:tabs>
          <w:tab w:leader="none" w:pos="194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Each Indemnified Party shall use, and cause its Affiliates to use, commercially reasonable efforts to mitigate any claim or liability that an Indemnified Party asserts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(including by taking reasonable best efforts to seek full recovery under all insurance and indemnity provisions covering any Losses for which it is seeking indemnification hereunder, to the same extent as it would if such Loss were not subject to indemnification hereunder).</w:t>
      </w:r>
    </w:p>
    <w:p>
      <w:pPr>
        <w:spacing w:after="0" w:line="186" w:lineRule="exact"/>
        <w:rPr>
          <w:rFonts w:ascii="Arial" w:cs="Arial" w:eastAsia="Arial" w:hAnsi="Arial"/>
          <w:sz w:val="18"/>
          <w:szCs w:val="18"/>
          <w:color w:val="auto"/>
        </w:rPr>
      </w:pPr>
    </w:p>
    <w:p>
      <w:pPr>
        <w:ind w:right="300" w:firstLine="1305"/>
        <w:spacing w:after="0" w:line="277" w:lineRule="auto"/>
        <w:tabs>
          <w:tab w:leader="none" w:pos="195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purposes of this Agreement, Losses shall be calculated after giving effect to amounts actually received under any insurance policy, (net of any costs to recover such amounts and increases in premiums resulting from such claim).</w:t>
      </w:r>
    </w:p>
    <w:p>
      <w:pPr>
        <w:spacing w:after="0" w:line="170" w:lineRule="exact"/>
        <w:rPr>
          <w:rFonts w:ascii="Arial" w:cs="Arial" w:eastAsia="Arial" w:hAnsi="Arial"/>
          <w:sz w:val="18"/>
          <w:szCs w:val="18"/>
          <w:color w:val="auto"/>
        </w:rPr>
      </w:pPr>
    </w:p>
    <w:p>
      <w:pPr>
        <w:ind w:firstLine="1305"/>
        <w:spacing w:after="0" w:line="271" w:lineRule="auto"/>
        <w:tabs>
          <w:tab w:leader="none" w:pos="195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amount of any Losses for which indemnification is provided shall be adjusted to take into account the amount of any net Tax benefit actually realized by the Indemnified Party as a result of the incurrence or payment of any such Losses in the form of a refund or reduction in Taxes otherwise payable within the tax year in which the Losses were incurred or paid, or the next two immediately succeeding tax years, in each case, calculated by comparing Taxes that would have been payable without taking into account any deduction or credit resulting from such Losses and Taxes actually payable by taking into account such deductions or credits (but only after all other items of income, gain, loss and deduction have been taken into account). If the Indemnified Party actually realizes a Tax benefit after an indemnification payment is made to it that was not taken into account at the time the indemnification payment was made, the Indemnified Party shall pay to the Indemnifying Party the amount that the indemnification payment would have been reduced by if such Tax benefit had been actually realized prior to the time such indemnification payment was made.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firstLine="1305"/>
        <w:spacing w:after="0" w:line="277" w:lineRule="auto"/>
        <w:tabs>
          <w:tab w:leader="none" w:pos="19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Indemnified Party will, in any event, be entitled to any incidental, indirect, consequential, special, exemplary or punitive damages, including actual or potential lost profits, diminution in value or measures of damages based on a multiple.</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Liquidated Damages</w:t>
      </w:r>
      <w:r>
        <w:rPr>
          <w:rFonts w:ascii="Arial" w:cs="Arial" w:eastAsia="Arial" w:hAnsi="Arial"/>
          <w:sz w:val="18"/>
          <w:szCs w:val="18"/>
          <w:color w:val="auto"/>
        </w:rPr>
        <w:t xml:space="preserve">. In the event of the occurrence of an event described on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of the Sellers Disclosure Letter (a “</w:t>
      </w:r>
      <w:r>
        <w:rPr>
          <w:rFonts w:ascii="Arial" w:cs="Arial" w:eastAsia="Arial" w:hAnsi="Arial"/>
          <w:sz w:val="18"/>
          <w:szCs w:val="18"/>
          <w:u w:val="single" w:color="auto"/>
          <w:color w:val="auto"/>
        </w:rPr>
        <w:t>Liquidated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Damages Event</w:t>
      </w:r>
      <w:r>
        <w:rPr>
          <w:rFonts w:ascii="Arial" w:cs="Arial" w:eastAsia="Arial" w:hAnsi="Arial"/>
          <w:sz w:val="18"/>
          <w:szCs w:val="18"/>
          <w:color w:val="auto"/>
        </w:rPr>
        <w:t xml:space="preserve">”), monetary damages would be difficult, if not impossible, to measure. The Parties therefore agree that liquidated damages shall be payable by Sellers to Purchasers in the manner and amount described on </w:t>
      </w:r>
      <w:r>
        <w:rPr>
          <w:rFonts w:ascii="Arial" w:cs="Arial" w:eastAsia="Arial" w:hAnsi="Arial"/>
          <w:sz w:val="18"/>
          <w:szCs w:val="18"/>
          <w:u w:val="single" w:color="auto"/>
          <w:color w:val="auto"/>
        </w:rPr>
        <w:t>Schedule 10.7</w:t>
      </w:r>
      <w:r>
        <w:rPr>
          <w:rFonts w:ascii="Arial" w:cs="Arial" w:eastAsia="Arial" w:hAnsi="Arial"/>
          <w:sz w:val="18"/>
          <w:szCs w:val="18"/>
          <w:color w:val="auto"/>
        </w:rPr>
        <w:t xml:space="preserve"> of the Sellers Disclosure Letter. Such payments shall begin to be made to Purchasers within sixty (60) days of receipt by Sellers from Purchasers of written notice of the existence of a Liquidated Damages Event, and thereafter shall be made within thirty (30) days of the end of any month in which a Liquidated Damages Event exists. The Parties acknowledge and agree that this liquidated damages provision is reasonable and does not constitute a penalty. Notwithstanding anything contained in this Agreement, the Parties further agree that this is the sole and exclusive remedy for any Losses arising from or in connection with the events or circumstances set forth on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of the Sellers Disclosure Letter.</w:t>
      </w:r>
    </w:p>
    <w:p>
      <w:pPr>
        <w:spacing w:after="0" w:line="19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Exclusive Remedies</w:t>
      </w:r>
      <w:r>
        <w:rPr>
          <w:rFonts w:ascii="Arial" w:cs="Arial" w:eastAsia="Arial" w:hAnsi="Arial"/>
          <w:sz w:val="18"/>
          <w:szCs w:val="18"/>
          <w:color w:val="auto"/>
        </w:rPr>
        <w:t xml:space="preserve">. Except with respect to the matters covered by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10.7, Section 11.10</w:t>
      </w:r>
      <w:r>
        <w:rPr>
          <w:rFonts w:ascii="Arial" w:cs="Arial" w:eastAsia="Arial" w:hAnsi="Arial"/>
          <w:sz w:val="18"/>
          <w:szCs w:val="18"/>
          <w:color w:val="auto"/>
        </w:rPr>
        <w:t xml:space="preserve">, and, with respect to indemnification for Tax matters,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Sellers and Purchasers acknowledge and agree that, following the Closing, the indemnification provisions of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shall be the sole and exclusive remedies of Sellers and Purchasers, respectively, for any Losses (whether predicated on common law, statute, strict liability, Environmental Law (including CERCLA or any similar state law) or otherwise) that each Party may at any time suffer or incur, or become subject to, as a result of, or in connection with, any breach of any representation or warranty in this Agreement by the other Parties or any failure by the other Parties to perform or comply with any covenant or agreement that, by its terms, was to have been performed, or complied with, by such other Parties prior to the Closing.</w:t>
      </w:r>
    </w:p>
    <w:p>
      <w:pPr>
        <w:spacing w:after="0" w:line="18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Subrogation</w:t>
      </w:r>
      <w:r>
        <w:rPr>
          <w:rFonts w:ascii="Arial" w:cs="Arial" w:eastAsia="Arial" w:hAnsi="Arial"/>
          <w:sz w:val="18"/>
          <w:szCs w:val="18"/>
          <w:color w:val="auto"/>
        </w:rPr>
        <w:t>. In the event of payment by or on behalf of any Indemnifying Party to any Indemnified Party (including pursuant to this Agreement) in connection with any claim or demand by any Person other than the Parties hereto or their respective Affiliates, such Indemnifying Party shall be subrogated to and shall stand in the place of such Indemnified Party as to any events or circumstances in respect of which such Indemnified Party may have any right, defense or claim relating to such claim or demand against any claimant or plaintiff asserting such claim or demand. Such Indemnified Party shall cooperate with such Indemnifying Party in a reasonable manner, and at the cost of such Indemnifying Party, in presenting any subrogated right, defense or claim.</w:t>
      </w:r>
    </w:p>
    <w:p>
      <w:pPr>
        <w:spacing w:after="0" w:line="19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Tax Indemnification Matters</w:t>
      </w:r>
      <w:r>
        <w:rPr>
          <w:rFonts w:ascii="Arial" w:cs="Arial" w:eastAsia="Arial" w:hAnsi="Arial"/>
          <w:sz w:val="18"/>
          <w:szCs w:val="18"/>
          <w:color w:val="auto"/>
        </w:rPr>
        <w:t xml:space="preserve">. Notwithstanding anything to the contrary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the above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not apply to Tax indemnification matters, which shall instead be governed by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No Duplication</w:t>
      </w:r>
      <w:r>
        <w:rPr>
          <w:rFonts w:ascii="Arial" w:cs="Arial" w:eastAsia="Arial" w:hAnsi="Arial"/>
          <w:sz w:val="18"/>
          <w:szCs w:val="18"/>
          <w:color w:val="auto"/>
        </w:rPr>
        <w:t>. Any liability for indemnification under this Agreement shall be determined without duplication of recovery due to the facts giving rise to such liability constituting a breach of more than one representation, warranty, covenant or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(2) or more counterparts, all of which shall be considered one and the same agreement, and shall become effective when one or more counterparts have been signed by each of the Parties and delivered to the other Parties. This</w:t>
      </w:r>
    </w:p>
    <w:p>
      <w:pPr>
        <w:sectPr>
          <w:pgSz w:w="11900" w:h="16838" w:orient="portrait"/>
          <w:cols w:equalWidth="0" w:num="1">
            <w:col w:w="11420"/>
          </w:cols>
          <w:pgMar w:left="240" w:top="125" w:right="239" w:bottom="0" w:gutter="0" w:footer="0" w:header="0"/>
        </w:sectPr>
      </w:pPr>
    </w:p>
    <w:bookmarkStart w:id="40" w:name="page41"/>
    <w:bookmarkEnd w:id="40"/>
    <w:p>
      <w:pPr>
        <w:spacing w:after="0" w:line="1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Agreement may be executed and delivered by facsimile or as an attachment to an e-mail and upon such delivery the signature will be deemed to have the same effect as if the original signature had been delivered to the other Parties.</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Governing Law; Jurisdiction and Forum; Waiver of Jury Trial</w:t>
      </w:r>
      <w:r>
        <w:rPr>
          <w:rFonts w:ascii="Arial" w:cs="Arial" w:eastAsia="Arial" w:hAnsi="Arial"/>
          <w:sz w:val="16"/>
          <w:szCs w:val="16"/>
          <w:color w:val="auto"/>
        </w:rPr>
        <w:t>.</w:t>
      </w:r>
    </w:p>
    <w:p>
      <w:pPr>
        <w:spacing w:after="0" w:line="225" w:lineRule="exact"/>
        <w:rPr>
          <w:sz w:val="20"/>
          <w:szCs w:val="20"/>
          <w:color w:val="auto"/>
        </w:rPr>
      </w:pPr>
    </w:p>
    <w:p>
      <w:pPr>
        <w:ind w:right="220" w:firstLine="1305"/>
        <w:spacing w:after="0" w:line="279" w:lineRule="auto"/>
        <w:tabs>
          <w:tab w:leader="none" w:pos="1942"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This Agreement, and all claims or causes of action (whether based on contract, tort or any other theory) that may be based upon, arise out of or related to this Agreement or the negotiation, execution or performance of this Agreement shall be governed by and construed in accordance with the laws of the State of Delaware applicable to contracts negotiated, made and performed in such State without giving effect to the choice of law principles of such State or other jurisdiction that would require or permit the application of the laws of another jurisdiction.</w:t>
      </w:r>
    </w:p>
    <w:p>
      <w:pPr>
        <w:spacing w:after="0" w:line="171" w:lineRule="exact"/>
        <w:rPr>
          <w:rFonts w:ascii="Arial" w:cs="Arial" w:eastAsia="Arial" w:hAnsi="Arial"/>
          <w:sz w:val="17"/>
          <w:szCs w:val="17"/>
          <w:color w:val="auto"/>
        </w:rPr>
      </w:pPr>
    </w:p>
    <w:p>
      <w:pPr>
        <w:ind w:right="60" w:firstLine="1305"/>
        <w:spacing w:after="0" w:line="259" w:lineRule="auto"/>
        <w:tabs>
          <w:tab w:leader="none" w:pos="19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of the Parties hereto irrevocably consents to the exclusive jurisdiction and venue of any court within the State of Delaware in connection with any matter based upon or arising out of this Agreement or the matters contemplated herein, agrees that process may be served upon them in any manner authorized by the laws of the State of Delaware for such Persons and waives and covenants not to assert or plead any objection which they might otherwise have to such jurisdiction, venue and such process.</w:t>
      </w:r>
    </w:p>
    <w:p>
      <w:pPr>
        <w:spacing w:after="0" w:line="186" w:lineRule="exact"/>
        <w:rPr>
          <w:rFonts w:ascii="Arial" w:cs="Arial" w:eastAsia="Arial" w:hAnsi="Arial"/>
          <w:sz w:val="18"/>
          <w:szCs w:val="18"/>
          <w:color w:val="auto"/>
        </w:rPr>
      </w:pPr>
    </w:p>
    <w:p>
      <w:pPr>
        <w:ind w:firstLine="1305"/>
        <w:spacing w:after="0" w:line="254" w:lineRule="auto"/>
        <w:tabs>
          <w:tab w:leader="none" w:pos="19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Each Party to this Agreement knowingly, intentionally and voluntarily waives to the fullest extent permitted by applicable Law trial by jury in any Action brought by any of them against any other arising out of or in any way connected with this Agreement, or any other agreements executed in connection herewith or the administration thereof or any of the transactions contemplated herein or therein. No Party to this Agreement shall seek a jury trial in any Action based upon, or arising out of, this Agreement or any related instruments or the relationship between the Parties. No Party will seek to consolidate any such Action in which a jury trial has been waived with any other Action in which a jury trial cannot be or has not been waived. Each Party to this Agreement certifies that it has been induced to enter into this Agreement or instrument by, among other things, the mutual waivers and certifications set forth above in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No Party has in any way agreed with or represented to any other Party that the provisions of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will not be fully enforced in all instances.</w:t>
      </w:r>
    </w:p>
    <w:p>
      <w:pPr>
        <w:spacing w:after="0" w:line="19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25" w:lineRule="exact"/>
        <w:rPr>
          <w:sz w:val="20"/>
          <w:szCs w:val="20"/>
          <w:color w:val="auto"/>
        </w:rPr>
      </w:pPr>
    </w:p>
    <w:p>
      <w:pPr>
        <w:ind w:right="100" w:firstLine="1305"/>
        <w:spacing w:after="0" w:line="264" w:lineRule="auto"/>
        <w:tabs>
          <w:tab w:leader="none" w:pos="194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Confidentiality Agreement and the Confidential Disclosure Agreement shall continue in full force and effect until the Closing Date, at which time such Confidentiality Agreement and Confidential Disclosure Agreement shall terminate, except for the provisions which expressly survive the termination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88" w:lineRule="auto"/>
        <w:tabs>
          <w:tab w:leader="none" w:pos="195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Except as expressly permitted pursuant to this Agreement, the Ancillary Agreements, the Intellectual Property Transfer and License Agreement and the IP License Agreement, from and after the Closing Date, Sellers will refrain from, either alone or in conjunction with any other Person, or directly or indirectly through their Affiliates or Representatives, disclosing to any other Person, or using in any manner, any confidential, proprietary or secret information to the extent relating solely to the Transferred Entities or the Business (“</w:t>
      </w:r>
      <w:r>
        <w:rPr>
          <w:rFonts w:ascii="Arial" w:cs="Arial" w:eastAsia="Arial" w:hAnsi="Arial"/>
          <w:sz w:val="16"/>
          <w:szCs w:val="16"/>
          <w:u w:val="single" w:color="auto"/>
          <w:color w:val="auto"/>
        </w:rPr>
        <w:t>Business Confidential Information</w:t>
      </w:r>
      <w:r>
        <w:rPr>
          <w:rFonts w:ascii="Arial" w:cs="Arial" w:eastAsia="Arial" w:hAnsi="Arial"/>
          <w:sz w:val="16"/>
          <w:szCs w:val="16"/>
          <w:color w:val="auto"/>
        </w:rPr>
        <w:t>”); provided that the foregoing obligations of confidentiality and non-use will not apply to any portion of the Business Confidential Information that (A) is or becomes generally available to the public or otherwise part of the public domain after the Closing Date and other than through any act or omission of the foregoing Persons or their Affiliates in breach of this Agreement, the Ancillary Agreements, the Intellectual Property Transfer and License Agreement or the IP License Agreement, (B) is disclosed after the Closing Date to the foregoing Persons on a non-confidential basis by a third party that is not subject to an obligation of confidentiality with respect to such Business Confidential Information, and (C) is independently discovered or developed by the foregoing Persons or their Affiliates after the Closing Date without the aid, application, or use of such Business Confidential Information.</w:t>
      </w:r>
    </w:p>
    <w:p>
      <w:pPr>
        <w:spacing w:after="0" w:line="169" w:lineRule="exact"/>
        <w:rPr>
          <w:rFonts w:ascii="Arial" w:cs="Arial" w:eastAsia="Arial" w:hAnsi="Arial"/>
          <w:sz w:val="16"/>
          <w:szCs w:val="16"/>
          <w:color w:val="auto"/>
        </w:rPr>
      </w:pPr>
    </w:p>
    <w:p>
      <w:pPr>
        <w:ind w:firstLine="1305"/>
        <w:spacing w:after="0" w:line="270" w:lineRule="auto"/>
        <w:tabs>
          <w:tab w:leader="none" w:pos="195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Except as expressly permitted pursuant to this Agreement, the Ancillary Agreements, the Intellectual Property Transfer and License Agreement and the IP License Agreement, from and after the Closing Date, Purchasers will refrain from, either alone or in conjunction with any other Person, or directly or indirectly through its Affiliates or Representatives, disclosing to any other Person, or using in any manner, any confidential, proprietary or secret information relating to the Sellers and their businesses other than the Transferred Entities and the Business (“</w:t>
      </w:r>
      <w:r>
        <w:rPr>
          <w:rFonts w:ascii="Arial" w:cs="Arial" w:eastAsia="Arial" w:hAnsi="Arial"/>
          <w:sz w:val="17"/>
          <w:szCs w:val="17"/>
          <w:u w:val="single" w:color="auto"/>
          <w:color w:val="auto"/>
        </w:rPr>
        <w:t>Seller Confidential Information</w:t>
      </w:r>
      <w:r>
        <w:rPr>
          <w:rFonts w:ascii="Arial" w:cs="Arial" w:eastAsia="Arial" w:hAnsi="Arial"/>
          <w:sz w:val="17"/>
          <w:szCs w:val="17"/>
          <w:color w:val="auto"/>
        </w:rPr>
        <w:t>”); provided that the foregoing obligations of confidentiality and non-use will not apply to any portion of the Seller Confidential Information that (A) is or becomes generally available to the public or otherwise part of the public domain after the Closing Date and other than through any act or omission of the foregoing Persons or their Affiliates in breach of this Agreement, the Ancillary Agreements, the Intellectual Property Transfer and License Agreement or the IP License Agreement, (B) is disclosed after the Closing Date to the foregoing Persons on a non-confidential basis by a third party that is not subject to an obligation of confidentiality with respect to such Seller Confidential Information, and (C) is independently discovered or developed by the foregoing Persons or their Affiliates after the Closing Date without the aid, application, or use of such Seller Confidential Information.</w:t>
      </w:r>
    </w:p>
    <w:p>
      <w:pPr>
        <w:spacing w:after="0" w:line="177" w:lineRule="exact"/>
        <w:rPr>
          <w:rFonts w:ascii="Arial" w:cs="Arial" w:eastAsia="Arial" w:hAnsi="Arial"/>
          <w:sz w:val="17"/>
          <w:szCs w:val="17"/>
          <w:color w:val="auto"/>
        </w:rPr>
      </w:pPr>
    </w:p>
    <w:p>
      <w:pPr>
        <w:ind w:right="60" w:firstLine="1305"/>
        <w:spacing w:after="0" w:line="291" w:lineRule="auto"/>
        <w:tabs>
          <w:tab w:leader="none" w:pos="195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11.3(b)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11.3(c)</w:t>
      </w:r>
      <w:r>
        <w:rPr>
          <w:rFonts w:ascii="Arial" w:cs="Arial" w:eastAsia="Arial" w:hAnsi="Arial"/>
          <w:sz w:val="16"/>
          <w:szCs w:val="16"/>
          <w:color w:val="auto"/>
        </w:rPr>
        <w:t>, Sellers may disclose the Business Confidential Information and Purchasers may disclose the Seller Confidential Information in order to comply with (i) applicable non-patent Law (including any securities law or regulation or the rules of a securities exchange) and (ii) a request or requirement by deposition, interrogatory, request for documents, subpoena, civil investigation demand or similar process or a formal request from a regulatory examiner, if in the reasonable opinion of counsel, such disclosure is necessary for such compliance (an “</w:t>
      </w:r>
      <w:r>
        <w:rPr>
          <w:rFonts w:ascii="Arial" w:cs="Arial" w:eastAsia="Arial" w:hAnsi="Arial"/>
          <w:sz w:val="16"/>
          <w:szCs w:val="16"/>
          <w:u w:val="single" w:color="auto"/>
          <w:color w:val="auto"/>
        </w:rPr>
        <w:t>External Demand</w:t>
      </w:r>
      <w:r>
        <w:rPr>
          <w:rFonts w:ascii="Arial" w:cs="Arial" w:eastAsia="Arial" w:hAnsi="Arial"/>
          <w:sz w:val="16"/>
          <w:szCs w:val="16"/>
          <w:color w:val="auto"/>
        </w:rPr>
        <w:t xml:space="preserve">”); and (iii) to its Affiliates, and potential and actual acquirers, merger partners, investors, investment bankers or lenders and their respective counsels and advisors; and; </w:t>
      </w:r>
      <w:r>
        <w:rPr>
          <w:rFonts w:ascii="Arial" w:cs="Arial" w:eastAsia="Arial" w:hAnsi="Arial"/>
          <w:sz w:val="16"/>
          <w:szCs w:val="16"/>
          <w:i w:val="1"/>
          <w:iCs w:val="1"/>
          <w:color w:val="auto"/>
        </w:rPr>
        <w:t>provided that</w:t>
      </w:r>
      <w:r>
        <w:rPr>
          <w:rFonts w:ascii="Arial" w:cs="Arial" w:eastAsia="Arial" w:hAnsi="Arial"/>
          <w:sz w:val="16"/>
          <w:szCs w:val="16"/>
          <w:color w:val="auto"/>
        </w:rPr>
        <w:t>, (A) with regard to disclosure under clause (ii), prior to making such disclosure, the Party subject to such demand or request shall (x) immediately notify the other Party of the existence, terms and circumstances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surrounding such External Demand, (y) consult with the other Party on the availability of taking legally available steps to resist or narrow such request or disclosure, and (z) assist the other Party, at the other Party’s expense, in seeking a protective order or other appropriate remedy to the extent available under the circumstances and (B) with regard to disclosure under clause (iii), prior to making such disclosure, such entities are bound by commercially reasonable obligations of confidentiality with respect to the use and disclosure of such Business Confidential Information or Seller Confidential Information, as applicable.</w:t>
      </w:r>
    </w:p>
    <w:p>
      <w:pPr>
        <w:spacing w:after="0" w:line="188" w:lineRule="exact"/>
        <w:rPr>
          <w:sz w:val="20"/>
          <w:szCs w:val="20"/>
          <w:color w:val="auto"/>
        </w:rPr>
      </w:pPr>
    </w:p>
    <w:p>
      <w:pPr>
        <w:jc w:val="both"/>
        <w:ind w:right="140" w:firstLine="1305"/>
        <w:spacing w:after="0" w:line="342" w:lineRule="auto"/>
        <w:tabs>
          <w:tab w:leader="none" w:pos="195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Parties acknowledge that either or both Parties may be obligated to make filings (including, but not limited to, the filing of a copy of this Agreement or the Ancillary Agreements) with the SEC or other Governmental Entity. Each Party shall be entitled to make such required filings,</w:t>
      </w:r>
    </w:p>
    <w:p>
      <w:pPr>
        <w:sectPr>
          <w:pgSz w:w="11900" w:h="16975" w:orient="portrait"/>
          <w:cols w:equalWidth="0" w:num="1">
            <w:col w:w="11420"/>
          </w:cols>
          <w:pgMar w:left="240" w:top="125" w:right="239" w:bottom="0" w:gutter="0" w:footer="0" w:header="0"/>
        </w:sectPr>
      </w:pPr>
    </w:p>
    <w:bookmarkStart w:id="41" w:name="page42"/>
    <w:bookmarkEnd w:id="41"/>
    <w:p>
      <w:pPr>
        <w:spacing w:after="0" w:line="271" w:lineRule="auto"/>
        <w:rPr>
          <w:sz w:val="20"/>
          <w:szCs w:val="20"/>
          <w:color w:val="auto"/>
        </w:rPr>
      </w:pPr>
      <w:r>
        <w:rPr>
          <w:rFonts w:ascii="Arial" w:cs="Arial" w:eastAsia="Arial" w:hAnsi="Arial"/>
          <w:sz w:val="17"/>
          <w:szCs w:val="17"/>
          <w:color w:val="auto"/>
        </w:rPr>
        <w:t xml:space="preserve">provided that it requests confidential treatment of at least the financial terms and sensitive technical terms of this Agreement or the Ancillary Agreements to the extent such confidential treatment is reasonably available to such Party. In the event of any such filing of this Agreement or the Ancillary Agreements, the Party making such filing shall provide notice to the other Party with a copy of such disclosure and, if applicable, a copy of this Agreement or the Ancillary Agreements marked to show provisions for which such Party intends to seek confidential treatment not less than five (5) Business Days prior to such filing (and any revisions to such portions of the proposed filing a reasonable time prior to the filing thereof), and shall give good faith consideration to the other Party’s comments thereon to the extent consistent with the legal requirements. No such notice shall be required under this </w:t>
      </w:r>
      <w:r>
        <w:rPr>
          <w:rFonts w:ascii="Arial" w:cs="Arial" w:eastAsia="Arial" w:hAnsi="Arial"/>
          <w:sz w:val="17"/>
          <w:szCs w:val="17"/>
          <w:u w:val="single" w:color="auto"/>
          <w:color w:val="auto"/>
        </w:rPr>
        <w:t>Section 11.3(e)</w:t>
      </w:r>
      <w:r>
        <w:rPr>
          <w:rFonts w:ascii="Arial" w:cs="Arial" w:eastAsia="Arial" w:hAnsi="Arial"/>
          <w:sz w:val="17"/>
          <w:szCs w:val="17"/>
          <w:color w:val="auto"/>
        </w:rPr>
        <w:t xml:space="preserve"> if the substance of the description of or reference to this Agreement contained in the proposed filing has been included in any previous filing made by either Party hereunder or otherwise approved by the other Party.</w:t>
      </w:r>
    </w:p>
    <w:p>
      <w:pPr>
        <w:spacing w:after="0" w:line="17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Schedules and Exhibits to this Agreement) together with the Confidentiality Agreement, the Confidential Disclosure Agreement and the Ancillary Agreements contain the entire agreement and understanding among the Parties with respect to the subject matter hereof and thereof and supersede any prior discussion, correspondence, negotiation, proposed term sheet, agreement, understanding or arrangement, and there are no agreements, understandings, representations or warranties among the Parties other than those set forth or referred to in these documents. None of the Parties shall be liable or bound to any other Party in any manner by any representations, warranties or covenants relating to such subject matter except as specifically set forth in this Agreement (including the Schedules and Exhibits to this Agreement), the Ancillary Agreements or the Confidentiality Agreement.</w:t>
      </w:r>
    </w:p>
    <w:p>
      <w:pPr>
        <w:spacing w:after="0" w:line="18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Except as otherwise set forth in this Agreement, whether the transactions contemplated by this Agreement are consummated or not, all legal and other costs and expenses incurred in connection with this Agreement and the transactions contemplated by this Agreement shall be paid by the Party incurring such costs and expenses and any such costs of Sellers shall be the obligation of Parent; provided, however, that all filing fees paid in connection with the antitrust filings made pursuant to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shall be borne equally by Purchasers and Sellers.</w:t>
      </w:r>
    </w:p>
    <w:p>
      <w:pPr>
        <w:spacing w:after="0" w:line="15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to be given to any Party hereunder shall be sufficiently given for all purposes hereunder if in writing and delivered by hand, courier or overnight delivery service or three (3) days after being mailed by certified or registered mail,</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return receipt requested, with appropriate postage prepaid, or when received in the form of telegram or facsimile and shall be directed to the address set forth below (or at such other address or facsimile number as such Party shall designate by like notice):</w:t>
      </w:r>
    </w:p>
    <w:p>
      <w:pPr>
        <w:spacing w:after="0" w:line="170" w:lineRule="exact"/>
        <w:rPr>
          <w:sz w:val="20"/>
          <w:szCs w:val="20"/>
          <w:color w:val="auto"/>
        </w:rPr>
      </w:pPr>
    </w:p>
    <w:p>
      <w:pPr>
        <w:ind w:left="1940" w:hanging="635"/>
        <w:spacing w:after="0"/>
        <w:tabs>
          <w:tab w:leader="none" w:pos="19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to Sellers or Daravita Limited:</w:t>
      </w:r>
    </w:p>
    <w:p>
      <w:pPr>
        <w:spacing w:after="0" w:line="225" w:lineRule="exact"/>
        <w:rPr>
          <w:rFonts w:ascii="Arial" w:cs="Arial" w:eastAsia="Arial" w:hAnsi="Arial"/>
          <w:sz w:val="18"/>
          <w:szCs w:val="18"/>
          <w:color w:val="auto"/>
        </w:rPr>
      </w:pPr>
    </w:p>
    <w:p>
      <w:pPr>
        <w:ind w:left="1960" w:right="7880"/>
        <w:spacing w:after="0" w:line="286" w:lineRule="auto"/>
        <w:rPr>
          <w:rFonts w:ascii="Arial" w:cs="Arial" w:eastAsia="Arial" w:hAnsi="Arial"/>
          <w:sz w:val="18"/>
          <w:szCs w:val="18"/>
          <w:color w:val="auto"/>
        </w:rPr>
      </w:pPr>
      <w:r>
        <w:rPr>
          <w:rFonts w:ascii="Arial" w:cs="Arial" w:eastAsia="Arial" w:hAnsi="Arial"/>
          <w:sz w:val="16"/>
          <w:szCs w:val="16"/>
          <w:color w:val="auto"/>
        </w:rPr>
        <w:t>Alkermes plc Connaught House One Burlington Road Dublin 4, Ireland</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Attn.: Company Secretary</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Fax No.: +(353) 1 772 8001</w:t>
      </w:r>
    </w:p>
    <w:p>
      <w:pPr>
        <w:spacing w:after="0" w:line="210"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5" w:lineRule="exact"/>
        <w:rPr>
          <w:rFonts w:ascii="Arial" w:cs="Arial" w:eastAsia="Arial" w:hAnsi="Arial"/>
          <w:sz w:val="18"/>
          <w:szCs w:val="18"/>
          <w:color w:val="auto"/>
        </w:rPr>
      </w:pPr>
    </w:p>
    <w:p>
      <w:pPr>
        <w:ind w:left="1960" w:right="7820"/>
        <w:spacing w:after="0" w:line="256" w:lineRule="auto"/>
        <w:rPr>
          <w:rFonts w:ascii="Arial" w:cs="Arial" w:eastAsia="Arial" w:hAnsi="Arial"/>
          <w:sz w:val="18"/>
          <w:szCs w:val="18"/>
          <w:color w:val="auto"/>
        </w:rPr>
      </w:pPr>
      <w:r>
        <w:rPr>
          <w:rFonts w:ascii="Arial" w:cs="Arial" w:eastAsia="Arial" w:hAnsi="Arial"/>
          <w:sz w:val="18"/>
          <w:szCs w:val="18"/>
          <w:color w:val="auto"/>
        </w:rPr>
        <w:t>Goodwin Procter LLP 53 State Street Boston, MA 02109</w:t>
      </w:r>
    </w:p>
    <w:p>
      <w:pPr>
        <w:jc w:val="right"/>
        <w:ind w:left="2400" w:right="7220" w:hanging="450"/>
        <w:spacing w:after="0" w:line="281" w:lineRule="auto"/>
        <w:rPr>
          <w:rFonts w:ascii="Arial" w:cs="Arial" w:eastAsia="Arial" w:hAnsi="Arial"/>
          <w:sz w:val="18"/>
          <w:szCs w:val="18"/>
          <w:color w:val="auto"/>
        </w:rPr>
      </w:pPr>
      <w:r>
        <w:rPr>
          <w:rFonts w:ascii="Arial" w:cs="Arial" w:eastAsia="Arial" w:hAnsi="Arial"/>
          <w:sz w:val="16"/>
          <w:szCs w:val="16"/>
          <w:color w:val="auto"/>
        </w:rPr>
        <w:t>Attn.: Mitchell S. Bloom, Esq. Robert E. Puopolo, Esq.</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Fax No.: (617) 523-1231</w:t>
      </w:r>
    </w:p>
    <w:p>
      <w:pPr>
        <w:spacing w:after="0" w:line="210"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And with a copy (which shall not constitute notice) to:</w:t>
      </w:r>
    </w:p>
    <w:p>
      <w:pPr>
        <w:spacing w:after="0" w:line="225" w:lineRule="exact"/>
        <w:rPr>
          <w:rFonts w:ascii="Arial" w:cs="Arial" w:eastAsia="Arial" w:hAnsi="Arial"/>
          <w:sz w:val="18"/>
          <w:szCs w:val="18"/>
          <w:color w:val="auto"/>
        </w:rPr>
      </w:pPr>
    </w:p>
    <w:p>
      <w:pPr>
        <w:ind w:left="1960" w:right="8200"/>
        <w:spacing w:after="0" w:line="286" w:lineRule="auto"/>
        <w:rPr>
          <w:rFonts w:ascii="Arial" w:cs="Arial" w:eastAsia="Arial" w:hAnsi="Arial"/>
          <w:sz w:val="18"/>
          <w:szCs w:val="18"/>
          <w:color w:val="auto"/>
        </w:rPr>
      </w:pPr>
      <w:r>
        <w:rPr>
          <w:rFonts w:ascii="Arial" w:cs="Arial" w:eastAsia="Arial" w:hAnsi="Arial"/>
          <w:sz w:val="16"/>
          <w:szCs w:val="16"/>
          <w:color w:val="auto"/>
        </w:rPr>
        <w:t>Arthur Cox Earlsfort Centre Earlsfort Terrace Dublin 2, Ireland</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Attn.: Christopher P.J. McLaughlin</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Fax No.: + 353 1 616 3901</w:t>
      </w:r>
    </w:p>
    <w:p>
      <w:pPr>
        <w:spacing w:after="0" w:line="210" w:lineRule="exact"/>
        <w:rPr>
          <w:rFonts w:ascii="Arial" w:cs="Arial" w:eastAsia="Arial" w:hAnsi="Arial"/>
          <w:sz w:val="18"/>
          <w:szCs w:val="18"/>
          <w:color w:val="auto"/>
        </w:rPr>
      </w:pPr>
    </w:p>
    <w:p>
      <w:pPr>
        <w:ind w:left="1960" w:hanging="655"/>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to Purchasers:</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Recro Pharma, Inc.</w:t>
      </w:r>
    </w:p>
    <w:p>
      <w:pPr>
        <w:spacing w:after="0" w:line="23" w:lineRule="exact"/>
        <w:rPr>
          <w:rFonts w:ascii="Arial" w:cs="Arial" w:eastAsia="Arial" w:hAnsi="Arial"/>
          <w:sz w:val="18"/>
          <w:szCs w:val="18"/>
          <w:color w:val="auto"/>
        </w:rPr>
      </w:pPr>
    </w:p>
    <w:p>
      <w:pPr>
        <w:ind w:left="1960" w:right="7300"/>
        <w:spacing w:after="0" w:line="250" w:lineRule="auto"/>
        <w:rPr>
          <w:rFonts w:ascii="Arial" w:cs="Arial" w:eastAsia="Arial" w:hAnsi="Arial"/>
          <w:sz w:val="18"/>
          <w:szCs w:val="18"/>
          <w:color w:val="auto"/>
        </w:rPr>
      </w:pPr>
      <w:r>
        <w:rPr>
          <w:rFonts w:ascii="Arial" w:cs="Arial" w:eastAsia="Arial" w:hAnsi="Arial"/>
          <w:sz w:val="18"/>
          <w:szCs w:val="18"/>
          <w:color w:val="auto"/>
        </w:rPr>
        <w:t>490 Lapp Road Malvern, PA 19355 Attention: Gerri A. Henwood</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Email: ghenwood@recropharma.com</w:t>
      </w:r>
    </w:p>
    <w:p>
      <w:pPr>
        <w:spacing w:after="0" w:line="210"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5" w:lineRule="exact"/>
        <w:rPr>
          <w:rFonts w:ascii="Arial" w:cs="Arial" w:eastAsia="Arial" w:hAnsi="Arial"/>
          <w:sz w:val="18"/>
          <w:szCs w:val="18"/>
          <w:color w:val="auto"/>
        </w:rPr>
      </w:pPr>
    </w:p>
    <w:p>
      <w:pPr>
        <w:ind w:left="1960" w:right="6840"/>
        <w:spacing w:after="0" w:line="255" w:lineRule="auto"/>
        <w:rPr>
          <w:rFonts w:ascii="Arial" w:cs="Arial" w:eastAsia="Arial" w:hAnsi="Arial"/>
          <w:sz w:val="18"/>
          <w:szCs w:val="18"/>
          <w:color w:val="auto"/>
        </w:rPr>
      </w:pPr>
      <w:r>
        <w:rPr>
          <w:rFonts w:ascii="Arial" w:cs="Arial" w:eastAsia="Arial" w:hAnsi="Arial"/>
          <w:sz w:val="18"/>
          <w:szCs w:val="18"/>
          <w:color w:val="auto"/>
        </w:rPr>
        <w:t>Pepper Hamilton LLP Two Logan Square Eighteenth and Arch Streets Philadelphia, PA 19103 Attention: Rachael M. Bushey, Esq. Fax No.: (800) 860-1682</w:t>
      </w:r>
    </w:p>
    <w:p>
      <w:pPr>
        <w:sectPr>
          <w:pgSz w:w="11900" w:h="16838" w:orient="portrait"/>
          <w:cols w:equalWidth="0" w:num="1">
            <w:col w:w="11380"/>
          </w:cols>
          <w:pgMar w:left="240" w:top="125" w:right="279" w:bottom="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u w:val="single" w:color="auto"/>
          <w:color w:val="auto"/>
        </w:rPr>
        <w:t>Assignment</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59" w:lineRule="auto"/>
        <w:tabs>
          <w:tab w:leader="none" w:pos="194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This Agreement shall be binding upon and inure to the benefit of the Parties to this Agreement and their respective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 Party to this Agreement will assign its rights or delegate any or all of its obligations under this Agreement without the express prior written consent of each other Party to this Agreement, except that either Party may assign its benefits under this Agreement to an Affiliate of that Party. Any attempted assignment in violation of this </w:t>
      </w: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shall be void.</w:t>
      </w:r>
    </w:p>
    <w:p>
      <w:pPr>
        <w:spacing w:after="0" w:line="186" w:lineRule="exact"/>
        <w:rPr>
          <w:rFonts w:ascii="Arial" w:cs="Arial" w:eastAsia="Arial" w:hAnsi="Arial"/>
          <w:sz w:val="18"/>
          <w:szCs w:val="18"/>
          <w:color w:val="auto"/>
        </w:rPr>
      </w:pPr>
    </w:p>
    <w:p>
      <w:pPr>
        <w:ind w:right="60" w:firstLine="1305"/>
        <w:spacing w:after="0" w:line="255" w:lineRule="auto"/>
        <w:tabs>
          <w:tab w:leader="none" w:pos="19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w:t>
      </w:r>
      <w:r>
        <w:rPr>
          <w:rFonts w:ascii="Arial" w:cs="Arial" w:eastAsia="Arial" w:hAnsi="Arial"/>
          <w:sz w:val="18"/>
          <w:szCs w:val="18"/>
          <w:u w:val="single" w:color="auto"/>
          <w:color w:val="auto"/>
        </w:rPr>
        <w:t>Section 11.7(a)</w:t>
      </w:r>
      <w:r>
        <w:rPr>
          <w:rFonts w:ascii="Arial" w:cs="Arial" w:eastAsia="Arial" w:hAnsi="Arial"/>
          <w:sz w:val="18"/>
          <w:szCs w:val="18"/>
          <w:color w:val="auto"/>
        </w:rPr>
        <w:t xml:space="preserve"> or elsewhere in this Agreement, APIL may assign its rights to any third party to (a) receive the Net Sales Earn-Out Consideration, (b) receive the Net Sales Report, (c) audit the records of Purchasers, their Affiliates, licensees and sublicensees as described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E</w:t>
      </w:r>
      <w:r>
        <w:rPr>
          <w:rFonts w:ascii="Arial" w:cs="Arial" w:eastAsia="Arial" w:hAnsi="Arial"/>
          <w:sz w:val="18"/>
          <w:szCs w:val="18"/>
          <w:color w:val="auto"/>
        </w:rPr>
        <w:t>, and (d) make indemnification claims against Purchasers, in connection with any securitization or monetization of the Net Sales Earn-Out Consideration (a “</w:t>
      </w:r>
      <w:r>
        <w:rPr>
          <w:rFonts w:ascii="Arial" w:cs="Arial" w:eastAsia="Arial" w:hAnsi="Arial"/>
          <w:sz w:val="18"/>
          <w:szCs w:val="18"/>
          <w:u w:val="single" w:color="auto"/>
          <w:color w:val="auto"/>
        </w:rPr>
        <w:t>Securitization</w:t>
      </w:r>
      <w:r>
        <w:rPr>
          <w:rFonts w:ascii="Arial" w:cs="Arial" w:eastAsia="Arial" w:hAnsi="Arial"/>
          <w:sz w:val="18"/>
          <w:szCs w:val="18"/>
          <w:color w:val="auto"/>
        </w:rPr>
        <w:t xml:space="preserve">”), and APIL may disclose Business Confidential Information to a third party in connection with a Securitization to the extent reasonably necessary to enable the third party to evaluate the Securitization opportunity and to allow APIL to exercise its rights under this </w:t>
      </w:r>
      <w:r>
        <w:rPr>
          <w:rFonts w:ascii="Arial" w:cs="Arial" w:eastAsia="Arial" w:hAnsi="Arial"/>
          <w:sz w:val="18"/>
          <w:szCs w:val="18"/>
          <w:u w:val="single" w:color="auto"/>
          <w:color w:val="auto"/>
        </w:rPr>
        <w:t>Section 11.7(b)</w:t>
      </w:r>
      <w:r>
        <w:rPr>
          <w:rFonts w:ascii="Arial" w:cs="Arial" w:eastAsia="Arial" w:hAnsi="Arial"/>
          <w:sz w:val="18"/>
          <w:szCs w:val="18"/>
          <w:color w:val="auto"/>
        </w:rPr>
        <w:t>.</w:t>
      </w:r>
    </w:p>
    <w:p>
      <w:pPr>
        <w:spacing w:after="0" w:line="193"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 xml:space="preserve">11.8 </w:t>
      </w:r>
      <w:r>
        <w:rPr>
          <w:rFonts w:ascii="Arial" w:cs="Arial" w:eastAsia="Arial" w:hAnsi="Arial"/>
          <w:sz w:val="17"/>
          <w:szCs w:val="17"/>
          <w:u w:val="single" w:color="auto"/>
          <w:color w:val="auto"/>
        </w:rPr>
        <w:t>Third-Party Beneficiaries</w:t>
      </w:r>
      <w:r>
        <w:rPr>
          <w:rFonts w:ascii="Arial" w:cs="Arial" w:eastAsia="Arial" w:hAnsi="Arial"/>
          <w:sz w:val="17"/>
          <w:szCs w:val="17"/>
          <w:color w:val="auto"/>
        </w:rPr>
        <w:t xml:space="preserve">. This Agreement is not intended to confer upon any Person not a party to this Agreement (and their successors and assigns) any rights or remedies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rights of the financing sources of the Debt Financing provided in this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and</w:t>
      </w:r>
    </w:p>
    <w:p>
      <w:pPr>
        <w:ind w:right="580"/>
        <w:spacing w:after="0" w:line="261" w:lineRule="auto"/>
        <w:rPr>
          <w:sz w:val="20"/>
          <w:szCs w:val="20"/>
          <w:color w:val="auto"/>
        </w:rPr>
      </w:pPr>
      <w:r>
        <w:rPr>
          <w:rFonts w:ascii="Arial" w:cs="Arial" w:eastAsia="Arial" w:hAnsi="Arial"/>
          <w:sz w:val="18"/>
          <w:szCs w:val="18"/>
          <w:u w:val="single" w:color="auto"/>
          <w:color w:val="auto"/>
        </w:rPr>
        <w:t>Section 9.4(c)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shall be enforceable by the financing sources of the Debt Financing, their Affiliates and their respective successors and assigns.</w:t>
      </w:r>
    </w:p>
    <w:p>
      <w:pPr>
        <w:spacing w:after="0" w:line="18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11.9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This Agreement may not be modified or amended except by an instrument or instruments in writing signed by the Party against whom enforcement of any such modification or amendment is sought. Each Party to this Agreement may, only by an instrument in writing, waive compliance by the other Parties to this Agreement with any term or provision of this Agreement on the part of such other Parties to this Agreement to be performed or complied with. The waiver by any Party to this Agreement of a breach of any term or provision of this Agreement shall not be construed as a waiver of any subsequent breach. Notwithstanding the foregoing, any amendment or waiver of this sentence of </w:t>
      </w:r>
      <w:r>
        <w:rPr>
          <w:rFonts w:ascii="Arial" w:cs="Arial" w:eastAsia="Arial" w:hAnsi="Arial"/>
          <w:sz w:val="17"/>
          <w:szCs w:val="17"/>
          <w:u w:val="single" w:color="auto"/>
          <w:color w:val="auto"/>
        </w:rPr>
        <w:t>Section 11.9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9.4(c)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shall require the prior written consent of Orbimed Royalty Opportunities II, LP, but only to the extent that such Sections relate to the financing sources of the Debt Financing, their Affiliates or their respective successors or assigns.</w:t>
      </w:r>
    </w:p>
    <w:p>
      <w:pPr>
        <w:spacing w:after="0" w:line="17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agree that irreparable damage, for which monetary damages (even if available) would not be an adequate remedy, would occur in the event that the Parties do not perform any provision of this Agreement in accordance with its specified terms or otherwise breach such provisions. Accordingly, the Parties acknowledge and agree that, to prevent breaches or threatened breaches by the Parties of any of their respective covenants or obligations set forth in this Agreement and to enforce specifically the terms and provisions of this Agreement, the Parties shall be entitled to an injunction, specific performance and other equitable relief to prevent breaches of this Agreement and to enforce specifically the terms and provisions hereof, in addition to any other remedy to which they are entitled in law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in equity. Each of the Parties agrees that it will not oppose the granting of an injunction, specific performance and other equitable relief on the basis that any of the other Parties has an adequate remedy at law or that any award of specific performance is not an appropriate remedy for any reason at law or in equity. Any Party against whom an injunction or injunctions to prevent breaches of this Agreement and to enforce specifically the terms and provisions of this Agreement is sought hereby waives any requirement for the Party seeking an injunction or injunctions to provide any bond or other security in connection with such order or injunction. The foregoing is in addition to any other remedy to which any Party is entitled at law, in equity or otherwise. The Parties further agree that nothing set forth in this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shall require any Party hereto to institute any Action for (or limit any Party’s right to institute any Action for) specific performance under this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prior or as a condition to exercising any termination right under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pursuing damages after such termination). The Parties hereto agree that, notwithstanding anything herein to the contrary, Sellers shall be entitled to specific performance (or any other equitable relief) to cause Purchasers to consummate the transactions contemplated hereby, including to draw down the Debt Financing under the Debt Financing Agreements (including any bridge financing or “flex” provisions thereunder) or Alternative Financing commitments obtained under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and to effect the Closing on the terms and subject to the conditions in this Agreement, if, and only if: (i) all conditions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have been satisfied as of the date on which the Closing would otherwise be required to occur (other than those conditions that, by their nature, are to be satisfied at the Closing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conditions would reasonably be expected to have been satisfied as of such date)), (ii) Purchasers fail to complete the Closing by the date the Closing would otherwise be required to have occurred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(iii) the Debt Financing (or Alternative Financing in accordance with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has been funded or will be available to be funded to Purchasers at the Closing, and (iv) the Closing would reasonably be expected to occur substantially simultaneously with the draw down of Debt Financing (or Alternative Financing in accordance with </w:t>
      </w:r>
      <w:r>
        <w:rPr>
          <w:rFonts w:ascii="Arial" w:cs="Arial" w:eastAsia="Arial" w:hAnsi="Arial"/>
          <w:sz w:val="16"/>
          <w:szCs w:val="16"/>
          <w:u w:val="single" w:color="auto"/>
          <w:color w:val="auto"/>
        </w:rPr>
        <w:t>Section 5.12</w:t>
      </w:r>
      <w:r>
        <w:rPr>
          <w:rFonts w:ascii="Arial" w:cs="Arial" w:eastAsia="Arial" w:hAnsi="Arial"/>
          <w:sz w:val="16"/>
          <w:szCs w:val="16"/>
          <w:color w:val="auto"/>
        </w:rPr>
        <w:t>)).</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u w:val="single" w:color="auto"/>
          <w:color w:val="auto"/>
        </w:rPr>
        <w:t>Interpretation; Absence of Presumption</w:t>
      </w:r>
      <w:r>
        <w:rPr>
          <w:rFonts w:ascii="Arial" w:cs="Arial" w:eastAsia="Arial" w:hAnsi="Arial"/>
          <w:sz w:val="16"/>
          <w:szCs w:val="16"/>
          <w:color w:val="auto"/>
        </w:rPr>
        <w:t>.</w:t>
      </w:r>
    </w:p>
    <w:p>
      <w:pPr>
        <w:spacing w:after="0" w:line="225" w:lineRule="exact"/>
        <w:rPr>
          <w:sz w:val="20"/>
          <w:szCs w:val="20"/>
          <w:color w:val="auto"/>
        </w:rPr>
      </w:pPr>
    </w:p>
    <w:p>
      <w:pPr>
        <w:ind w:right="300" w:firstLine="1305"/>
        <w:spacing w:after="0" w:line="276" w:lineRule="auto"/>
        <w:tabs>
          <w:tab w:leader="none" w:pos="194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It is understood and agreed that the specification of any dollar amount in the representations and warranties contained in this Agreement or the inclusion of any specific item in the Sellers Disclosure Letter is not intended to imply that such amounts or higher or lower amounts, or such items so included or other items, are or are not material, and no Party shall use the fact of the setting of any amount or the fact of the inclusion of any item in the Sellers Disclosure Letter in any dispute or controversy between the Parties as to whether any obligation, item or matter not described in this Agreement or included in the Sellers Disclosure Letter is or is not material for purposes of this Agreement.</w:t>
      </w:r>
    </w:p>
    <w:p>
      <w:pPr>
        <w:spacing w:after="0" w:line="172" w:lineRule="exact"/>
        <w:rPr>
          <w:rFonts w:ascii="Arial" w:cs="Arial" w:eastAsia="Arial" w:hAnsi="Arial"/>
          <w:sz w:val="17"/>
          <w:szCs w:val="17"/>
          <w:color w:val="auto"/>
        </w:rPr>
      </w:pPr>
    </w:p>
    <w:p>
      <w:pPr>
        <w:ind w:right="80" w:firstLine="1305"/>
        <w:spacing w:after="0" w:line="297" w:lineRule="auto"/>
        <w:tabs>
          <w:tab w:leader="none" w:pos="195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For the purposes of this Agreement, (i) words in the singular shall be held to include the plural and vice versa, and words of one gender shall be held to include the other gender as the context requires; (ii) references to the terms Article, Section, paragraph, Exhibit and Schedule are references to the Articles, Sections, paragraphs, Exhibits and Schedules to this Agreement unless otherwise specified; (iii) the terms “hereof,” “herein,” “hereby,” “hereto,” and derivative or similar words refer to this entire Agreement, including the Schedules and Exhibits hereto; (iv) references to “$” or cash shall mean U.S. dollars; (v) the word “including” and words of similar import when used in this Agreement shall mean “including without limitation,” unless</w:t>
      </w:r>
    </w:p>
    <w:p>
      <w:pPr>
        <w:sectPr>
          <w:pgSz w:w="11900" w:h="16838" w:orient="portrait"/>
          <w:cols w:equalWidth="0" w:num="1">
            <w:col w:w="11420"/>
          </w:cols>
          <w:pgMar w:left="240" w:top="125" w:right="239" w:bottom="55"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type w:val="continuous"/>
        </w:sectPr>
      </w:pPr>
    </w:p>
    <w:bookmarkStart w:id="43" w:name="page44"/>
    <w:bookmarkEnd w:id="43"/>
    <w:p>
      <w:pPr>
        <w:ind w:right="100"/>
        <w:spacing w:after="0" w:line="271" w:lineRule="auto"/>
        <w:rPr>
          <w:sz w:val="20"/>
          <w:szCs w:val="20"/>
          <w:color w:val="auto"/>
        </w:rPr>
      </w:pPr>
      <w:r>
        <w:rPr>
          <w:rFonts w:ascii="Arial" w:cs="Arial" w:eastAsia="Arial" w:hAnsi="Arial"/>
          <w:sz w:val="17"/>
          <w:szCs w:val="17"/>
          <w:color w:val="auto"/>
        </w:rPr>
        <w:t>otherwise specified; (vi) the word “or” shall not be exclusive; (vii) references to “written” or “in writing” include in electronic form; (viii) provisions shall apply, when appropriate, to successive events and transactions; (ix) Sellers and Purchasers have each participated in the negotiation and drafting of this Agreement and if an ambiguity or question of interpretation should arise, this Agreement shall be construed as if drafted jointly by the Parties hereto and no presumption or burden of proof shall arise favoring or burdening any Party by virtue of the authorship of any of the provisions in this Agreement; (x) a reference to any Person includes such Person’s successors and permitted assigns; (xi) any reference to “days” shall mean calendar days unless Business Days are expressly specified; and (xii)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at the close of business on the next succeeding Business Day.</w:t>
      </w:r>
    </w:p>
    <w:p>
      <w:pPr>
        <w:spacing w:after="0" w:line="179" w:lineRule="exact"/>
        <w:rPr>
          <w:sz w:val="20"/>
          <w:szCs w:val="20"/>
          <w:color w:val="auto"/>
        </w:rPr>
      </w:pPr>
    </w:p>
    <w:p>
      <w:pPr>
        <w:ind w:right="500" w:firstLine="1305"/>
        <w:spacing w:after="0" w:line="277" w:lineRule="auto"/>
        <w:tabs>
          <w:tab w:leader="none" w:pos="19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the Closing shall occur, notwithstanding anything in this Agreement to the contrary, any payment obligation of Purchasers hereunder shall be a joint and several obligation of Purchasers and the Transferred Entities.</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Headings; Definitions</w:t>
      </w:r>
      <w:r>
        <w:rPr>
          <w:rFonts w:ascii="Arial" w:cs="Arial" w:eastAsia="Arial" w:hAnsi="Arial"/>
          <w:sz w:val="18"/>
          <w:szCs w:val="18"/>
          <w:color w:val="auto"/>
        </w:rPr>
        <w:t>. The Section and Article headings contained in this Agreement are inserted for convenience of reference only and will not affect the meaning or interpretation of this Agreement.</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11.13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or other authority to be invalid, void or unenforceable, the remainder of the terms, provisions, covenants and restrictions of this Agreement (or portions thereof) shall remain in full force and effect and shall in no way be affected, impaired or invalidated so long as the economic or legal substance of the transactions contemplated hereby is not affected in any manner materially adverse to any Party hereto. If any provision of this Agreement (or any portion thereof) shall be held to be so broad as to be unenforceable, such provision shall be interpreted to be only so broad as is enforceable. Upon a determination that any term, provision, covenant or restriction of this Agreement is invalid, void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11.14 </w:t>
      </w:r>
      <w:r>
        <w:rPr>
          <w:rFonts w:ascii="Arial" w:cs="Arial" w:eastAsia="Arial" w:hAnsi="Arial"/>
          <w:sz w:val="17"/>
          <w:szCs w:val="17"/>
          <w:u w:val="single" w:color="auto"/>
          <w:color w:val="auto"/>
        </w:rPr>
        <w:t>No Recourse to Debt Financing Sources</w:t>
      </w:r>
      <w:r>
        <w:rPr>
          <w:rFonts w:ascii="Arial" w:cs="Arial" w:eastAsia="Arial" w:hAnsi="Arial"/>
          <w:sz w:val="17"/>
          <w:szCs w:val="17"/>
          <w:color w:val="auto"/>
        </w:rPr>
        <w:t>. Subject to the rights of the parties to the Debt Financing Agreements under the terms thereof, none of the Parties hereto, nor any of their respective, direct or indirect, former, current or future general or limited partners, managers, members, stockholders, officers, directors, Affiliates, employees, representatives, agents, successors or assigns (collectively, the “</w:t>
      </w:r>
      <w:r>
        <w:rPr>
          <w:rFonts w:ascii="Arial" w:cs="Arial" w:eastAsia="Arial" w:hAnsi="Arial"/>
          <w:sz w:val="17"/>
          <w:szCs w:val="17"/>
          <w:u w:val="single" w:color="auto"/>
          <w:color w:val="auto"/>
        </w:rPr>
        <w:t>Related Persons</w:t>
      </w:r>
      <w:r>
        <w:rPr>
          <w:rFonts w:ascii="Arial" w:cs="Arial" w:eastAsia="Arial" w:hAnsi="Arial"/>
          <w:sz w:val="17"/>
          <w:szCs w:val="17"/>
          <w:color w:val="auto"/>
        </w:rPr>
        <w:t xml:space="preserve">”), shall have any rights or claims against the financing sources of the Debt Financing or any of their Affiliates in connection with this Agreement, the Debt Financing, or the transactions contemplated hereby or thereby, whether at law or equity, in contract, in tort or otherwise, nor shall any of the financing sources of the Debt Financing or any of their Affiliates have any obligations or liabilities to the Parties hereto or their respective Related Persons, all of which are hereby waived (provided that nothing in this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shall in any way limit or modify any of the obligations owed under the Debt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Financing Agreements by the financing sources of the Debt Financing to the Purchasers and their Affiliates), and the financing sources of the Debt Financing and their Affiliates and their respective Related Persons shall not have any rights or claims against any Party hereto or any Related Person thereof, in connection with this Agreement or the Debt Financing, whether at law or equity, in contract, in tort or otherwise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left intentionally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this Agreement has been signed by or on behalf of each of the parties set forth below as of the day first above written.</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ALKERMES PHARMA IRELAND LIMITED</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Shane Cooke</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Shane Cooke</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color w:val="auto"/>
              </w:rPr>
              <w:t>DARAVITA LIMITED</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 Riordan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Tom Riordan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Director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EAGLE HOLDINGS USA, INC.</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Frutes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James Frutes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VP, CFO and Treasurer</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color w:val="auto"/>
              </w:rPr>
              <w:t>RECRO PHARMA, INC.</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Gerri Henwood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Gerri Henwood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4" w:right="239" w:bottom="0" w:gutter="0" w:footer="0" w:header="0"/>
        </w:sectPr>
      </w:pPr>
    </w:p>
    <w:bookmarkStart w:id="44" w:name="page45"/>
    <w:bookmarkEnd w:id="44"/>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RECRO PHARMA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Randall Mack</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Randall Mack</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EXHIBIT A</w:t>
            </w:r>
          </w:p>
        </w:tc>
        <w:tc>
          <w:tcPr>
            <w:tcW w:w="5300" w:type="dxa"/>
            <w:vAlign w:val="bottom"/>
            <w:gridSpan w:val="2"/>
          </w:tcPr>
          <w:p>
            <w:pPr>
              <w:spacing w:after="0"/>
              <w:rPr>
                <w:sz w:val="17"/>
                <w:szCs w:val="17"/>
                <w:color w:val="auto"/>
              </w:rPr>
            </w:pPr>
          </w:p>
        </w:tc>
      </w:tr>
      <w:tr>
        <w:trPr>
          <w:trHeight w:val="453"/>
        </w:trPr>
        <w:tc>
          <w:tcPr>
            <w:tcW w:w="2320" w:type="dxa"/>
            <w:vAlign w:val="bottom"/>
          </w:tcPr>
          <w:p>
            <w:pPr>
              <w:spacing w:after="0"/>
              <w:rPr>
                <w:sz w:val="24"/>
                <w:szCs w:val="24"/>
                <w:color w:val="auto"/>
              </w:rPr>
            </w:pPr>
          </w:p>
        </w:tc>
        <w:tc>
          <w:tcPr>
            <w:tcW w:w="9140" w:type="dxa"/>
            <w:vAlign w:val="bottom"/>
            <w:gridSpan w:val="5"/>
          </w:tcPr>
          <w:p>
            <w:pPr>
              <w:jc w:val="center"/>
              <w:ind w:right="2360"/>
              <w:spacing w:after="0"/>
              <w:rPr>
                <w:sz w:val="20"/>
                <w:szCs w:val="20"/>
                <w:color w:val="auto"/>
              </w:rPr>
            </w:pPr>
            <w:r>
              <w:rPr>
                <w:rFonts w:ascii="Arial" w:cs="Arial" w:eastAsia="Arial" w:hAnsi="Arial"/>
                <w:sz w:val="18"/>
                <w:szCs w:val="18"/>
                <w:b w:val="1"/>
                <w:bCs w:val="1"/>
                <w:color w:val="auto"/>
                <w:w w:val="89"/>
              </w:rPr>
              <w:t>Transitional Services Agreement Terms</w:t>
            </w:r>
          </w:p>
        </w:tc>
      </w:tr>
      <w:tr>
        <w:trPr>
          <w:trHeight w:val="432"/>
        </w:trPr>
        <w:tc>
          <w:tcPr>
            <w:tcW w:w="2320" w:type="dxa"/>
            <w:vAlign w:val="bottom"/>
          </w:tcPr>
          <w:p>
            <w:pPr>
              <w:spacing w:after="0"/>
              <w:rPr>
                <w:sz w:val="20"/>
                <w:szCs w:val="20"/>
                <w:color w:val="auto"/>
              </w:rPr>
            </w:pPr>
            <w:r>
              <w:rPr>
                <w:rFonts w:ascii="Arial" w:cs="Arial" w:eastAsia="Arial" w:hAnsi="Arial"/>
                <w:sz w:val="18"/>
                <w:szCs w:val="18"/>
                <w:b w:val="1"/>
                <w:bCs w:val="1"/>
                <w:color w:val="auto"/>
              </w:rPr>
              <w:t>1. Parties</w:t>
            </w: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Supplier</w:t>
            </w:r>
            <w:r>
              <w:rPr>
                <w:rFonts w:ascii="Arial" w:cs="Arial" w:eastAsia="Arial" w:hAnsi="Arial"/>
                <w:sz w:val="18"/>
                <w:szCs w:val="18"/>
                <w:color w:val="auto"/>
              </w:rPr>
              <w:t>”: Alkermes Pharma Ireland Limited</w:t>
            </w:r>
          </w:p>
        </w:tc>
      </w:tr>
      <w:tr>
        <w:trPr>
          <w:trHeight w:val="432"/>
        </w:trPr>
        <w:tc>
          <w:tcPr>
            <w:tcW w:w="2320" w:type="dxa"/>
            <w:vAlign w:val="bottom"/>
          </w:tcPr>
          <w:p>
            <w:pPr>
              <w:spacing w:after="0"/>
              <w:rPr>
                <w:sz w:val="24"/>
                <w:szCs w:val="24"/>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Recipient Representative</w:t>
            </w:r>
            <w:r>
              <w:rPr>
                <w:rFonts w:ascii="Arial" w:cs="Arial" w:eastAsia="Arial" w:hAnsi="Arial"/>
                <w:sz w:val="18"/>
                <w:szCs w:val="18"/>
                <w:color w:val="auto"/>
              </w:rPr>
              <w:t>”: Recro Pharma, Inc.</w:t>
            </w:r>
          </w:p>
        </w:tc>
      </w:tr>
      <w:tr>
        <w:trPr>
          <w:trHeight w:val="432"/>
        </w:trPr>
        <w:tc>
          <w:tcPr>
            <w:tcW w:w="2320" w:type="dxa"/>
            <w:vAlign w:val="bottom"/>
          </w:tcPr>
          <w:p>
            <w:pPr>
              <w:spacing w:after="0"/>
              <w:rPr>
                <w:sz w:val="24"/>
                <w:szCs w:val="24"/>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Recipients</w:t>
            </w:r>
            <w:r>
              <w:rPr>
                <w:rFonts w:ascii="Arial" w:cs="Arial" w:eastAsia="Arial" w:hAnsi="Arial"/>
                <w:sz w:val="18"/>
                <w:szCs w:val="18"/>
                <w:color w:val="auto"/>
              </w:rPr>
              <w:t>”: Recro Pharma, Inc., Recro Pharma LLC (the “</w:t>
            </w:r>
            <w:r>
              <w:rPr>
                <w:rFonts w:ascii="Arial" w:cs="Arial" w:eastAsia="Arial" w:hAnsi="Arial"/>
                <w:sz w:val="18"/>
                <w:szCs w:val="18"/>
                <w:b w:val="1"/>
                <w:bCs w:val="1"/>
                <w:color w:val="auto"/>
              </w:rPr>
              <w:t>Company</w:t>
            </w:r>
            <w:r>
              <w:rPr>
                <w:rFonts w:ascii="Arial" w:cs="Arial" w:eastAsia="Arial" w:hAnsi="Arial"/>
                <w:sz w:val="18"/>
                <w:szCs w:val="18"/>
                <w:color w:val="auto"/>
              </w:rPr>
              <w:t>”) and Alkermes Gainesville</w:t>
            </w:r>
          </w:p>
        </w:tc>
      </w:tr>
      <w:tr>
        <w:trPr>
          <w:trHeight w:val="418"/>
        </w:trPr>
        <w:tc>
          <w:tcPr>
            <w:tcW w:w="2320" w:type="dxa"/>
            <w:vAlign w:val="bottom"/>
          </w:tcPr>
          <w:p>
            <w:pPr>
              <w:spacing w:after="0"/>
              <w:rPr>
                <w:sz w:val="20"/>
                <w:szCs w:val="20"/>
                <w:color w:val="auto"/>
              </w:rPr>
            </w:pPr>
            <w:r>
              <w:rPr>
                <w:rFonts w:ascii="Arial" w:cs="Arial" w:eastAsia="Arial" w:hAnsi="Arial"/>
                <w:sz w:val="18"/>
                <w:szCs w:val="18"/>
                <w:b w:val="1"/>
                <w:bCs w:val="1"/>
                <w:color w:val="auto"/>
              </w:rPr>
              <w:t>2. Defined Terms</w:t>
            </w: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w w:val="94"/>
              </w:rPr>
              <w:t>Capitalized terms used but not defined in this Exhibit A shall have the meanings set forth in the remainder of</w:t>
            </w:r>
          </w:p>
        </w:tc>
      </w:tr>
      <w:tr>
        <w:trPr>
          <w:trHeight w:val="230"/>
        </w:trPr>
        <w:tc>
          <w:tcPr>
            <w:tcW w:w="2320" w:type="dxa"/>
            <w:vAlign w:val="bottom"/>
          </w:tcPr>
          <w:p>
            <w:pPr>
              <w:spacing w:after="0"/>
              <w:rPr>
                <w:sz w:val="20"/>
                <w:szCs w:val="20"/>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rPr>
              <w:t>the Agreement.</w:t>
            </w:r>
          </w:p>
        </w:tc>
      </w:tr>
      <w:tr>
        <w:trPr>
          <w:trHeight w:val="418"/>
        </w:trPr>
        <w:tc>
          <w:tcPr>
            <w:tcW w:w="2320" w:type="dxa"/>
            <w:vAlign w:val="bottom"/>
          </w:tcPr>
          <w:p>
            <w:pPr>
              <w:spacing w:after="0"/>
              <w:rPr>
                <w:sz w:val="20"/>
                <w:szCs w:val="20"/>
                <w:color w:val="auto"/>
              </w:rPr>
            </w:pPr>
            <w:r>
              <w:rPr>
                <w:rFonts w:ascii="Arial" w:cs="Arial" w:eastAsia="Arial" w:hAnsi="Arial"/>
                <w:sz w:val="18"/>
                <w:szCs w:val="18"/>
                <w:b w:val="1"/>
                <w:bCs w:val="1"/>
                <w:color w:val="auto"/>
              </w:rPr>
              <w:t>3. Services</w:t>
            </w: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w w:val="95"/>
              </w:rPr>
              <w:t>Supplier shall provide, or cause its Subsidiaries to provide, the Services to the Recipients. “</w:t>
            </w:r>
            <w:r>
              <w:rPr>
                <w:rFonts w:ascii="Arial" w:cs="Arial" w:eastAsia="Arial" w:hAnsi="Arial"/>
                <w:sz w:val="18"/>
                <w:szCs w:val="18"/>
                <w:b w:val="1"/>
                <w:bCs w:val="1"/>
                <w:color w:val="auto"/>
                <w:w w:val="95"/>
              </w:rPr>
              <w:t>Services</w:t>
            </w:r>
            <w:r>
              <w:rPr>
                <w:rFonts w:ascii="Arial" w:cs="Arial" w:eastAsia="Arial" w:hAnsi="Arial"/>
                <w:sz w:val="18"/>
                <w:szCs w:val="18"/>
                <w:color w:val="auto"/>
                <w:w w:val="95"/>
              </w:rPr>
              <w:t>” shall</w:t>
            </w:r>
          </w:p>
        </w:tc>
      </w:tr>
      <w:tr>
        <w:trPr>
          <w:trHeight w:val="230"/>
        </w:trPr>
        <w:tc>
          <w:tcPr>
            <w:tcW w:w="2320" w:type="dxa"/>
            <w:vAlign w:val="bottom"/>
          </w:tcPr>
          <w:p>
            <w:pPr>
              <w:spacing w:after="0"/>
              <w:rPr>
                <w:sz w:val="20"/>
                <w:szCs w:val="20"/>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rPr>
              <w:t>mean the following:</w:t>
            </w:r>
          </w:p>
        </w:tc>
      </w:tr>
      <w:tr>
        <w:trPr>
          <w:trHeight w:val="392"/>
        </w:trPr>
        <w:tc>
          <w:tcPr>
            <w:tcW w:w="2320" w:type="dxa"/>
            <w:vAlign w:val="bottom"/>
          </w:tcPr>
          <w:p>
            <w:pPr>
              <w:spacing w:after="0"/>
              <w:rPr>
                <w:sz w:val="24"/>
                <w:szCs w:val="24"/>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rPr>
              <w:t>·   The services listed on Schedule 1 of this Exhibit A (“</w:t>
            </w:r>
            <w:r>
              <w:rPr>
                <w:rFonts w:ascii="Arial" w:cs="Arial" w:eastAsia="Arial" w:hAnsi="Arial"/>
                <w:sz w:val="18"/>
                <w:szCs w:val="18"/>
                <w:b w:val="1"/>
                <w:bCs w:val="1"/>
                <w:color w:val="auto"/>
              </w:rPr>
              <w:t>Migration Services</w:t>
            </w:r>
            <w:r>
              <w:rPr>
                <w:rFonts w:ascii="Arial" w:cs="Arial" w:eastAsia="Arial" w:hAnsi="Arial"/>
                <w:sz w:val="18"/>
                <w:szCs w:val="18"/>
                <w:color w:val="auto"/>
              </w:rPr>
              <w:t>”)</w:t>
            </w:r>
          </w:p>
        </w:tc>
      </w:tr>
      <w:tr>
        <w:trPr>
          <w:trHeight w:val="20"/>
        </w:trPr>
        <w:tc>
          <w:tcPr>
            <w:tcW w:w="2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40" w:type="dxa"/>
            <w:vAlign w:val="bottom"/>
            <w:gridSpan w:val="3"/>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12"/>
        </w:trPr>
        <w:tc>
          <w:tcPr>
            <w:tcW w:w="2320" w:type="dxa"/>
            <w:vAlign w:val="bottom"/>
          </w:tcPr>
          <w:p>
            <w:pPr>
              <w:spacing w:after="0"/>
              <w:rPr>
                <w:sz w:val="24"/>
                <w:szCs w:val="24"/>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rPr>
              <w:t>·   The services listed on Schedule 2 of this Exhibit A (“</w:t>
            </w:r>
            <w:r>
              <w:rPr>
                <w:rFonts w:ascii="Arial" w:cs="Arial" w:eastAsia="Arial" w:hAnsi="Arial"/>
                <w:sz w:val="18"/>
                <w:szCs w:val="18"/>
                <w:b w:val="1"/>
                <w:bCs w:val="1"/>
                <w:color w:val="auto"/>
              </w:rPr>
              <w:t>Transition Services</w:t>
            </w:r>
            <w:r>
              <w:rPr>
                <w:rFonts w:ascii="Arial" w:cs="Arial" w:eastAsia="Arial" w:hAnsi="Arial"/>
                <w:sz w:val="18"/>
                <w:szCs w:val="18"/>
                <w:color w:val="auto"/>
              </w:rPr>
              <w:t>”)</w:t>
            </w:r>
          </w:p>
        </w:tc>
      </w:tr>
      <w:tr>
        <w:trPr>
          <w:trHeight w:val="20"/>
        </w:trPr>
        <w:tc>
          <w:tcPr>
            <w:tcW w:w="2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40" w:type="dxa"/>
            <w:vAlign w:val="bottom"/>
            <w:gridSpan w:val="3"/>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53"/>
        </w:trPr>
        <w:tc>
          <w:tcPr>
            <w:tcW w:w="2320" w:type="dxa"/>
            <w:vAlign w:val="bottom"/>
          </w:tcPr>
          <w:p>
            <w:pPr>
              <w:spacing w:after="0"/>
              <w:rPr>
                <w:sz w:val="24"/>
                <w:szCs w:val="24"/>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rPr>
              <w:t>·   Consulting Services (defined below in Section 8 hereof)</w:t>
            </w:r>
          </w:p>
        </w:tc>
      </w:tr>
      <w:tr>
        <w:trPr>
          <w:trHeight w:val="418"/>
        </w:trPr>
        <w:tc>
          <w:tcPr>
            <w:tcW w:w="2320" w:type="dxa"/>
            <w:vAlign w:val="bottom"/>
          </w:tcPr>
          <w:p>
            <w:pPr>
              <w:spacing w:after="0"/>
              <w:rPr>
                <w:sz w:val="24"/>
                <w:szCs w:val="24"/>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w w:val="99"/>
              </w:rPr>
              <w:t>Alkermes Gainesville shall provide the Reverse Transition Services to Supplier or to one or more of its</w:t>
            </w:r>
          </w:p>
        </w:tc>
      </w:tr>
      <w:tr>
        <w:trPr>
          <w:trHeight w:val="230"/>
        </w:trPr>
        <w:tc>
          <w:tcPr>
            <w:tcW w:w="2320" w:type="dxa"/>
            <w:vAlign w:val="bottom"/>
          </w:tcPr>
          <w:p>
            <w:pPr>
              <w:spacing w:after="0"/>
              <w:rPr>
                <w:sz w:val="20"/>
                <w:szCs w:val="20"/>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rPr>
              <w:t>Subsidiaries designated by Supplier.</w:t>
            </w:r>
          </w:p>
        </w:tc>
      </w:tr>
      <w:tr>
        <w:trPr>
          <w:trHeight w:val="418"/>
        </w:trPr>
        <w:tc>
          <w:tcPr>
            <w:tcW w:w="2320" w:type="dxa"/>
            <w:vAlign w:val="bottom"/>
          </w:tcPr>
          <w:p>
            <w:pPr>
              <w:spacing w:after="0"/>
              <w:rPr>
                <w:sz w:val="24"/>
                <w:szCs w:val="24"/>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Reverse Transition Services</w:t>
            </w:r>
            <w:r>
              <w:rPr>
                <w:rFonts w:ascii="Arial" w:cs="Arial" w:eastAsia="Arial" w:hAnsi="Arial"/>
                <w:sz w:val="18"/>
                <w:szCs w:val="18"/>
                <w:color w:val="auto"/>
                <w:w w:val="94"/>
              </w:rPr>
              <w:t>” shall mean the provision of (i) the packaging services for Ampyra, Zanaflex</w:t>
            </w:r>
          </w:p>
        </w:tc>
      </w:tr>
      <w:tr>
        <w:trPr>
          <w:trHeight w:val="216"/>
        </w:trPr>
        <w:tc>
          <w:tcPr>
            <w:tcW w:w="2320" w:type="dxa"/>
            <w:vAlign w:val="bottom"/>
          </w:tcPr>
          <w:p>
            <w:pPr>
              <w:spacing w:after="0"/>
              <w:rPr>
                <w:sz w:val="18"/>
                <w:szCs w:val="18"/>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w w:val="94"/>
              </w:rPr>
              <w:t>and Tizanidine, (ii) stability testing to support the last commercial batch of Avinza manufactured at Alkermes</w:t>
            </w:r>
          </w:p>
        </w:tc>
      </w:tr>
      <w:tr>
        <w:trPr>
          <w:trHeight w:val="216"/>
        </w:trPr>
        <w:tc>
          <w:tcPr>
            <w:tcW w:w="2320" w:type="dxa"/>
            <w:vAlign w:val="bottom"/>
          </w:tcPr>
          <w:p>
            <w:pPr>
              <w:spacing w:after="0"/>
              <w:rPr>
                <w:sz w:val="18"/>
                <w:szCs w:val="18"/>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w w:val="99"/>
              </w:rPr>
              <w:t>Gainesville’s facility and (iii) the clinical supply of ALKS 5461, in each case by Alkermes Gainesville to</w:t>
            </w:r>
          </w:p>
        </w:tc>
      </w:tr>
      <w:tr>
        <w:trPr>
          <w:trHeight w:val="216"/>
        </w:trPr>
        <w:tc>
          <w:tcPr>
            <w:tcW w:w="2320" w:type="dxa"/>
            <w:vAlign w:val="bottom"/>
          </w:tcPr>
          <w:p>
            <w:pPr>
              <w:spacing w:after="0"/>
              <w:rPr>
                <w:sz w:val="18"/>
                <w:szCs w:val="18"/>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w w:val="94"/>
              </w:rPr>
              <w:t>Supplier or its Subsidiaries from the Closing Date until June 30, 2016 or such earlier date on which Supplier</w:t>
            </w:r>
          </w:p>
        </w:tc>
      </w:tr>
      <w:tr>
        <w:trPr>
          <w:trHeight w:val="216"/>
        </w:trPr>
        <w:tc>
          <w:tcPr>
            <w:tcW w:w="2320" w:type="dxa"/>
            <w:vAlign w:val="bottom"/>
          </w:tcPr>
          <w:p>
            <w:pPr>
              <w:spacing w:after="0"/>
              <w:rPr>
                <w:sz w:val="18"/>
                <w:szCs w:val="18"/>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w w:val="94"/>
              </w:rPr>
              <w:t>notifies the Recipient Representative in writing that such packaging services and such clinical supply are no</w:t>
            </w:r>
          </w:p>
        </w:tc>
      </w:tr>
      <w:tr>
        <w:trPr>
          <w:trHeight w:val="216"/>
        </w:trPr>
        <w:tc>
          <w:tcPr>
            <w:tcW w:w="2320" w:type="dxa"/>
            <w:vAlign w:val="bottom"/>
          </w:tcPr>
          <w:p>
            <w:pPr>
              <w:spacing w:after="0"/>
              <w:rPr>
                <w:sz w:val="18"/>
                <w:szCs w:val="18"/>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rPr>
              <w:t>longer required, provided, however, that Supplier shall provide at least 90 days’ written notice of such</w:t>
            </w:r>
          </w:p>
        </w:tc>
      </w:tr>
      <w:tr>
        <w:trPr>
          <w:trHeight w:val="216"/>
        </w:trPr>
        <w:tc>
          <w:tcPr>
            <w:tcW w:w="2320" w:type="dxa"/>
            <w:vAlign w:val="bottom"/>
          </w:tcPr>
          <w:p>
            <w:pPr>
              <w:spacing w:after="0"/>
              <w:rPr>
                <w:sz w:val="18"/>
                <w:szCs w:val="18"/>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w w:val="98"/>
              </w:rPr>
              <w:t>termination. Supplier and Recipient Representative shall negotiate in good faith between the date of the</w:t>
            </w:r>
          </w:p>
        </w:tc>
      </w:tr>
      <w:tr>
        <w:trPr>
          <w:trHeight w:val="216"/>
        </w:trPr>
        <w:tc>
          <w:tcPr>
            <w:tcW w:w="2320" w:type="dxa"/>
            <w:vAlign w:val="bottom"/>
          </w:tcPr>
          <w:p>
            <w:pPr>
              <w:spacing w:after="0"/>
              <w:rPr>
                <w:sz w:val="18"/>
                <w:szCs w:val="18"/>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w w:val="95"/>
              </w:rPr>
              <w:t>Agreement and Closing terms and conditions for the provision of such packaging services and such clinical</w:t>
            </w:r>
          </w:p>
        </w:tc>
      </w:tr>
      <w:tr>
        <w:trPr>
          <w:trHeight w:val="216"/>
        </w:trPr>
        <w:tc>
          <w:tcPr>
            <w:tcW w:w="2320" w:type="dxa"/>
            <w:vAlign w:val="bottom"/>
          </w:tcPr>
          <w:p>
            <w:pPr>
              <w:spacing w:after="0"/>
              <w:rPr>
                <w:sz w:val="18"/>
                <w:szCs w:val="18"/>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w w:val="90"/>
              </w:rPr>
              <w:t>supply that are satisfactory in form and substance to the parties and their legal advisors and that are customarily</w:t>
            </w:r>
          </w:p>
        </w:tc>
      </w:tr>
      <w:tr>
        <w:trPr>
          <w:trHeight w:val="230"/>
        </w:trPr>
        <w:tc>
          <w:tcPr>
            <w:tcW w:w="2320" w:type="dxa"/>
            <w:vAlign w:val="bottom"/>
          </w:tcPr>
          <w:p>
            <w:pPr>
              <w:spacing w:after="0"/>
              <w:rPr>
                <w:sz w:val="20"/>
                <w:szCs w:val="20"/>
                <w:color w:val="auto"/>
              </w:rPr>
            </w:pPr>
          </w:p>
        </w:tc>
        <w:tc>
          <w:tcPr>
            <w:tcW w:w="9140" w:type="dxa"/>
            <w:vAlign w:val="bottom"/>
            <w:gridSpan w:val="5"/>
          </w:tcPr>
          <w:p>
            <w:pPr>
              <w:ind w:left="1020"/>
              <w:spacing w:after="0"/>
              <w:rPr>
                <w:sz w:val="20"/>
                <w:szCs w:val="20"/>
                <w:color w:val="auto"/>
              </w:rPr>
            </w:pPr>
            <w:r>
              <w:rPr>
                <w:rFonts w:ascii="Arial" w:cs="Arial" w:eastAsia="Arial" w:hAnsi="Arial"/>
                <w:sz w:val="18"/>
                <w:szCs w:val="18"/>
                <w:color w:val="auto"/>
              </w:rPr>
              <w:t>found in agreements of this nature.</w:t>
            </w:r>
          </w:p>
        </w:tc>
      </w:tr>
      <w:tr>
        <w:trPr>
          <w:trHeight w:val="348"/>
        </w:trPr>
        <w:tc>
          <w:tcPr>
            <w:tcW w:w="2320" w:type="dxa"/>
            <w:vAlign w:val="bottom"/>
            <w:tcBorders>
              <w:bottom w:val="single" w:sz="8" w:color="010101"/>
            </w:tcBorders>
          </w:tcPr>
          <w:p>
            <w:pPr>
              <w:spacing w:after="0"/>
              <w:rPr>
                <w:sz w:val="24"/>
                <w:szCs w:val="24"/>
                <w:color w:val="auto"/>
              </w:rPr>
            </w:pPr>
          </w:p>
        </w:tc>
        <w:tc>
          <w:tcPr>
            <w:tcW w:w="29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42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0"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right="280" w:hanging="35"/>
        <w:spacing w:after="0" w:line="342" w:lineRule="auto"/>
        <w:rPr>
          <w:sz w:val="20"/>
          <w:szCs w:val="20"/>
          <w:color w:val="auto"/>
        </w:rPr>
      </w:pPr>
      <w:r>
        <w:rPr>
          <w:rFonts w:ascii="Arial" w:cs="Arial" w:eastAsia="Arial" w:hAnsi="Arial"/>
          <w:sz w:val="16"/>
          <w:szCs w:val="16"/>
          <w:i w:val="1"/>
          <w:iCs w:val="1"/>
          <w:color w:val="auto"/>
        </w:rPr>
        <w:t xml:space="preserve">Migration Services: </w:t>
      </w:r>
      <w:r>
        <w:rPr>
          <w:rFonts w:ascii="Arial" w:cs="Arial" w:eastAsia="Arial" w:hAnsi="Arial"/>
          <w:sz w:val="16"/>
          <w:szCs w:val="16"/>
          <w:color w:val="auto"/>
        </w:rPr>
        <w:t>Actual out-of-pocket costs (including third party consent costs) incurred by Supplier</w:t>
      </w:r>
      <w:r>
        <w:rPr>
          <w:rFonts w:ascii="Arial" w:cs="Arial" w:eastAsia="Arial" w:hAnsi="Arial"/>
          <w:sz w:val="16"/>
          <w:szCs w:val="16"/>
          <w:i w:val="1"/>
          <w:iCs w:val="1"/>
          <w:color w:val="auto"/>
        </w:rPr>
        <w:t xml:space="preserve"> </w:t>
      </w:r>
      <w:r>
        <w:rPr>
          <w:rFonts w:ascii="Arial" w:cs="Arial" w:eastAsia="Arial" w:hAnsi="Arial"/>
          <w:sz w:val="16"/>
          <w:szCs w:val="16"/>
          <w:color w:val="auto"/>
        </w:rPr>
        <w:t>and its Subsidiaries to provide the Services, as evidenced by Supplier’s or its Subsidiaries’ records.</w:t>
      </w:r>
    </w:p>
    <w:p>
      <w:pPr>
        <w:spacing w:after="0" w:line="124" w:lineRule="exact"/>
        <w:rPr>
          <w:sz w:val="20"/>
          <w:szCs w:val="20"/>
          <w:color w:val="auto"/>
        </w:rPr>
      </w:pPr>
    </w:p>
    <w:p>
      <w:pPr>
        <w:sectPr>
          <w:pgSz w:w="11900" w:h="16840" w:orient="portrait"/>
          <w:cols w:equalWidth="0" w:num="3">
            <w:col w:w="2620" w:space="720"/>
            <w:col w:w="40" w:space="280"/>
            <w:col w:w="7800"/>
          </w:cols>
          <w:pgMar w:left="240" w:top="125" w:right="199" w:bottom="0" w:gutter="0" w:footer="0" w:header="0"/>
          <w:type w:val="continuous"/>
        </w:sectPr>
      </w:pPr>
    </w:p>
    <w:p>
      <w:pPr>
        <w:ind w:left="334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jc w:val="both"/>
        <w:ind w:right="60" w:hanging="35"/>
        <w:spacing w:after="0" w:line="264" w:lineRule="auto"/>
        <w:rPr>
          <w:sz w:val="20"/>
          <w:szCs w:val="20"/>
          <w:color w:val="auto"/>
        </w:rPr>
      </w:pPr>
      <w:r>
        <w:rPr>
          <w:rFonts w:ascii="Arial" w:cs="Arial" w:eastAsia="Arial" w:hAnsi="Arial"/>
          <w:sz w:val="18"/>
          <w:szCs w:val="18"/>
          <w:i w:val="1"/>
          <w:iCs w:val="1"/>
          <w:color w:val="auto"/>
        </w:rPr>
        <w:t xml:space="preserve">Transition Services: </w:t>
      </w:r>
      <w:r>
        <w:rPr>
          <w:rFonts w:ascii="Arial" w:cs="Arial" w:eastAsia="Arial" w:hAnsi="Arial"/>
          <w:sz w:val="18"/>
          <w:szCs w:val="18"/>
          <w:color w:val="auto"/>
        </w:rPr>
        <w:t>Supplier and its Subsidiaries’ standard full time equivalent (FTE) rates plus actual out-of-pocket costs (including third party consent costs) incurred by Supplier and its Subsidiaries to provide the Services, as evidenced by Supplier’s or its Subsidiaries’ records.</w:t>
      </w:r>
    </w:p>
    <w:p>
      <w:pPr>
        <w:spacing w:after="0" w:line="181" w:lineRule="exact"/>
        <w:rPr>
          <w:sz w:val="20"/>
          <w:szCs w:val="20"/>
          <w:color w:val="auto"/>
        </w:rPr>
      </w:pPr>
    </w:p>
    <w:p>
      <w:pPr>
        <w:sectPr>
          <w:pgSz w:w="11900" w:h="16840" w:orient="portrait"/>
          <w:cols w:equalWidth="0" w:num="2">
            <w:col w:w="3380" w:space="280"/>
            <w:col w:w="7800"/>
          </w:cols>
          <w:pgMar w:left="240" w:top="125" w:right="199" w:bottom="0" w:gutter="0" w:footer="0" w:header="0"/>
          <w:type w:val="continuous"/>
        </w:sectPr>
      </w:pPr>
    </w:p>
    <w:p>
      <w:pPr>
        <w:ind w:left="334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jc w:val="both"/>
        <w:ind w:right="260" w:hanging="35"/>
        <w:spacing w:after="0" w:line="264" w:lineRule="auto"/>
        <w:rPr>
          <w:sz w:val="20"/>
          <w:szCs w:val="20"/>
          <w:color w:val="auto"/>
        </w:rPr>
      </w:pPr>
      <w:r>
        <w:rPr>
          <w:rFonts w:ascii="Arial" w:cs="Arial" w:eastAsia="Arial" w:hAnsi="Arial"/>
          <w:sz w:val="18"/>
          <w:szCs w:val="18"/>
          <w:i w:val="1"/>
          <w:iCs w:val="1"/>
          <w:color w:val="auto"/>
        </w:rPr>
        <w:t xml:space="preserve">Consulting Services: </w:t>
      </w:r>
      <w:r>
        <w:rPr>
          <w:rFonts w:ascii="Arial" w:cs="Arial" w:eastAsia="Arial" w:hAnsi="Arial"/>
          <w:sz w:val="18"/>
          <w:szCs w:val="18"/>
          <w:color w:val="auto"/>
        </w:rPr>
        <w:t>Supplier and its Subsidiaries’ standard fully burdened cost plus actual out-of-pocket</w:t>
      </w:r>
      <w:r>
        <w:rPr>
          <w:rFonts w:ascii="Arial" w:cs="Arial" w:eastAsia="Arial" w:hAnsi="Arial"/>
          <w:sz w:val="18"/>
          <w:szCs w:val="18"/>
          <w:i w:val="1"/>
          <w:iCs w:val="1"/>
          <w:color w:val="auto"/>
        </w:rPr>
        <w:t xml:space="preserve"> </w:t>
      </w:r>
      <w:r>
        <w:rPr>
          <w:rFonts w:ascii="Arial" w:cs="Arial" w:eastAsia="Arial" w:hAnsi="Arial"/>
          <w:sz w:val="18"/>
          <w:szCs w:val="18"/>
          <w:color w:val="auto"/>
        </w:rPr>
        <w:t>costs incurred by Supplier and its Subsidiaries to provide the Services, as evidenced by Supplier’s or its Subsidiaries’ records.</w:t>
      </w:r>
    </w:p>
    <w:p>
      <w:pPr>
        <w:spacing w:after="0" w:line="181" w:lineRule="exact"/>
        <w:rPr>
          <w:sz w:val="20"/>
          <w:szCs w:val="20"/>
          <w:color w:val="auto"/>
        </w:rPr>
      </w:pPr>
    </w:p>
    <w:p>
      <w:pPr>
        <w:sectPr>
          <w:pgSz w:w="11900" w:h="16840" w:orient="portrait"/>
          <w:cols w:equalWidth="0" w:num="2">
            <w:col w:w="3380" w:space="280"/>
            <w:col w:w="7800"/>
          </w:cols>
          <w:pgMar w:left="240" w:top="125" w:right="199" w:bottom="0" w:gutter="0" w:footer="0" w:header="0"/>
          <w:type w:val="continuous"/>
        </w:sectPr>
      </w:pPr>
    </w:p>
    <w:p>
      <w:pPr>
        <w:ind w:left="334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Reverse Transition Services:</w:t>
      </w:r>
    </w:p>
    <w:p>
      <w:pPr>
        <w:spacing w:after="0" w:line="200" w:lineRule="exact"/>
        <w:rPr>
          <w:sz w:val="20"/>
          <w:szCs w:val="20"/>
          <w:color w:val="auto"/>
        </w:rPr>
      </w:pPr>
    </w:p>
    <w:p>
      <w:pPr>
        <w:sectPr>
          <w:pgSz w:w="11900" w:h="16840" w:orient="portrait"/>
          <w:cols w:equalWidth="0" w:num="2">
            <w:col w:w="3380" w:space="240"/>
            <w:col w:w="7840"/>
          </w:cols>
          <w:pgMar w:left="240" w:top="125" w:right="199" w:bottom="0" w:gutter="0" w:footer="0" w:header="0"/>
          <w:type w:val="continuous"/>
        </w:sectPr>
      </w:pPr>
    </w:p>
    <w:p>
      <w:pPr>
        <w:spacing w:after="0" w:line="48" w:lineRule="exact"/>
        <w:rPr>
          <w:sz w:val="20"/>
          <w:szCs w:val="20"/>
          <w:color w:val="auto"/>
        </w:rPr>
      </w:pPr>
    </w:p>
    <w:p>
      <w:pPr>
        <w:ind w:left="366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Fully burdened costs of Recipients</w:t>
      </w:r>
    </w:p>
    <w:p>
      <w:pPr>
        <w:spacing w:after="0" w:line="200" w:lineRule="exact"/>
        <w:rPr>
          <w:sz w:val="20"/>
          <w:szCs w:val="20"/>
          <w:color w:val="auto"/>
        </w:rPr>
      </w:pPr>
    </w:p>
    <w:p>
      <w:pPr>
        <w:sectPr>
          <w:pgSz w:w="11900" w:h="16840" w:orient="portrait"/>
          <w:cols w:equalWidth="0" w:num="2">
            <w:col w:w="3700" w:space="240"/>
            <w:col w:w="7520"/>
          </w:cols>
          <w:pgMar w:left="240" w:top="125" w:right="199" w:bottom="0" w:gutter="0" w:footer="0" w:header="0"/>
          <w:type w:val="continuous"/>
        </w:sectPr>
      </w:pPr>
    </w:p>
    <w:p>
      <w:pPr>
        <w:spacing w:after="0" w:line="48" w:lineRule="exact"/>
        <w:rPr>
          <w:sz w:val="20"/>
          <w:szCs w:val="20"/>
          <w:color w:val="auto"/>
        </w:rPr>
      </w:pPr>
    </w:p>
    <w:p>
      <w:pPr>
        <w:ind w:left="366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40" w:hanging="35"/>
        <w:spacing w:after="0" w:line="277" w:lineRule="auto"/>
        <w:rPr>
          <w:sz w:val="20"/>
          <w:szCs w:val="20"/>
          <w:color w:val="auto"/>
        </w:rPr>
      </w:pPr>
      <w:r>
        <w:rPr>
          <w:rFonts w:ascii="Arial" w:cs="Arial" w:eastAsia="Arial" w:hAnsi="Arial"/>
          <w:sz w:val="18"/>
          <w:szCs w:val="18"/>
          <w:color w:val="auto"/>
        </w:rPr>
        <w:t>Supplier to purchase all raw materials and finished goods upon termination of the Reverse Transition Services.</w:t>
      </w:r>
    </w:p>
    <w:p>
      <w:pPr>
        <w:spacing w:after="0" w:line="166" w:lineRule="exact"/>
        <w:rPr>
          <w:sz w:val="20"/>
          <w:szCs w:val="20"/>
          <w:color w:val="auto"/>
        </w:rPr>
      </w:pPr>
    </w:p>
    <w:p>
      <w:pPr>
        <w:sectPr>
          <w:pgSz w:w="11900" w:h="16840" w:orient="portrait"/>
          <w:cols w:equalWidth="0" w:num="2">
            <w:col w:w="3700" w:space="280"/>
            <w:col w:w="7480"/>
          </w:cols>
          <w:pgMar w:left="240" w:top="125" w:right="199" w:bottom="0" w:gutter="0" w:footer="0" w:header="0"/>
          <w:type w:val="continuous"/>
        </w:sectPr>
      </w:pPr>
    </w:p>
    <w:p>
      <w:pPr>
        <w:spacing w:after="0"/>
        <w:rPr>
          <w:sz w:val="20"/>
          <w:szCs w:val="20"/>
          <w:color w:val="auto"/>
        </w:rPr>
      </w:pPr>
      <w:r>
        <w:rPr>
          <w:rFonts w:ascii="Arial" w:cs="Arial" w:eastAsia="Arial" w:hAnsi="Arial"/>
          <w:sz w:val="16"/>
          <w:szCs w:val="16"/>
          <w:b w:val="1"/>
          <w:bCs w:val="1"/>
          <w:color w:val="auto"/>
        </w:rPr>
        <w:t>5. Payment Procedures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180" w:hanging="35"/>
        <w:spacing w:after="0" w:line="342" w:lineRule="auto"/>
        <w:rPr>
          <w:sz w:val="20"/>
          <w:szCs w:val="20"/>
          <w:color w:val="auto"/>
        </w:rPr>
      </w:pPr>
      <w:r>
        <w:rPr>
          <w:rFonts w:ascii="Arial" w:cs="Arial" w:eastAsia="Arial" w:hAnsi="Arial"/>
          <w:sz w:val="16"/>
          <w:szCs w:val="16"/>
          <w:color w:val="auto"/>
        </w:rPr>
        <w:t>Invoices to be provided by the applicable of Supplier and Recipient Representative to the other monthly in arrears and to be paid by the applicable of Supplier and Recipient Representative within 45 days after</w:t>
      </w:r>
    </w:p>
    <w:p>
      <w:pPr>
        <w:sectPr>
          <w:pgSz w:w="11900" w:h="16840" w:orient="portrait"/>
          <w:cols w:equalWidth="0" w:num="3">
            <w:col w:w="2620" w:space="720"/>
            <w:col w:w="40" w:space="280"/>
            <w:col w:w="7800"/>
          </w:cols>
          <w:pgMar w:left="240" w:top="125" w:right="199" w:bottom="0" w:gutter="0" w:footer="0" w:header="0"/>
          <w:type w:val="continuous"/>
        </w:sectPr>
      </w:pPr>
    </w:p>
    <w:bookmarkStart w:id="45" w:name="page46"/>
    <w:bookmarkEnd w:id="45"/>
    <w:p>
      <w:pPr>
        <w:ind w:left="3660" w:right="140"/>
        <w:spacing w:after="0" w:line="277" w:lineRule="auto"/>
        <w:rPr>
          <w:sz w:val="20"/>
          <w:szCs w:val="20"/>
          <w:color w:val="auto"/>
        </w:rPr>
      </w:pPr>
      <w:r>
        <w:rPr>
          <w:rFonts w:ascii="Arial" w:cs="Arial" w:eastAsia="Arial" w:hAnsi="Arial"/>
          <w:sz w:val="18"/>
          <w:szCs w:val="18"/>
          <w:color w:val="auto"/>
        </w:rPr>
        <w:t>receipt. Invoices shall be itemized and contain reasonable detail on the underlying cost constituents of the invoiced amount.</w:t>
      </w:r>
    </w:p>
    <w:p>
      <w:pPr>
        <w:spacing w:after="0" w:line="170" w:lineRule="exact"/>
        <w:rPr>
          <w:sz w:val="20"/>
          <w:szCs w:val="20"/>
          <w:color w:val="auto"/>
        </w:rPr>
      </w:pPr>
    </w:p>
    <w:p>
      <w:pPr>
        <w:ind w:left="3660"/>
        <w:spacing w:after="0" w:line="257" w:lineRule="auto"/>
        <w:rPr>
          <w:sz w:val="20"/>
          <w:szCs w:val="20"/>
          <w:color w:val="auto"/>
        </w:rPr>
      </w:pPr>
      <w:r>
        <w:rPr>
          <w:rFonts w:ascii="Arial" w:cs="Arial" w:eastAsia="Arial" w:hAnsi="Arial"/>
          <w:sz w:val="18"/>
          <w:szCs w:val="18"/>
          <w:color w:val="auto"/>
        </w:rPr>
        <w:t>If Supplier (in the case of the Reverse Transition Services) or Recipient Representative (in the case of the Services) reasonably requests, such party shall have the right to access the books, records and employees of the other to the extent reasonably necessary to complete such audit of an invoice as is reasonably necessary to (i) determine whether costs have been stated correctly in the invoice or (ii) assist in the determination of any payment dispute.</w:t>
      </w:r>
    </w:p>
    <w:p>
      <w:pPr>
        <w:spacing w:after="0" w:line="188" w:lineRule="exact"/>
        <w:rPr>
          <w:sz w:val="20"/>
          <w:szCs w:val="20"/>
          <w:color w:val="auto"/>
        </w:rPr>
      </w:pPr>
    </w:p>
    <w:p>
      <w:pPr>
        <w:ind w:left="3660" w:right="180" w:hanging="330"/>
        <w:spacing w:after="0" w:line="257" w:lineRule="auto"/>
        <w:tabs>
          <w:tab w:leader="none" w:pos="36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event of a payment dispute, the party with the payment obligation shall pay to the other of Supplier and Recipient Representative the undisputed portion and the disputed portion shall be subject to 15 days discussion between the parties, followed (to the extent necessary) by 15 days’ discussion between the CFOs of Supplier and Recipient Representative, or their designees, before any party may initiate any formal proceeding with respect to such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IT Compliance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20" w:hanging="35"/>
        <w:spacing w:after="0" w:line="277" w:lineRule="auto"/>
        <w:rPr>
          <w:sz w:val="20"/>
          <w:szCs w:val="20"/>
          <w:color w:val="auto"/>
        </w:rPr>
      </w:pPr>
      <w:r>
        <w:rPr>
          <w:rFonts w:ascii="Arial" w:cs="Arial" w:eastAsia="Arial" w:hAnsi="Arial"/>
          <w:sz w:val="18"/>
          <w:szCs w:val="18"/>
          <w:color w:val="auto"/>
        </w:rPr>
        <w:t>Customary provisions regarding compliance with Supplier’s and Recipient’s IT policies, practices and procedures.</w:t>
      </w:r>
    </w:p>
    <w:p>
      <w:pPr>
        <w:spacing w:after="0" w:line="166" w:lineRule="exact"/>
        <w:rPr>
          <w:sz w:val="20"/>
          <w:szCs w:val="20"/>
          <w:color w:val="auto"/>
        </w:rPr>
      </w:pPr>
    </w:p>
    <w:p>
      <w:pPr>
        <w:sectPr>
          <w:pgSz w:w="11900" w:h="16838" w:orient="portrait"/>
          <w:cols w:equalWidth="0" w:num="3">
            <w:col w:w="2620" w:space="720"/>
            <w:col w:w="40" w:space="280"/>
            <w:col w:w="7740"/>
          </w:cols>
          <w:pgMar w:left="240" w:top="125" w:right="259" w:bottom="0" w:gutter="0" w:footer="0" w:header="0"/>
          <w:type w:val="continuous"/>
        </w:sectPr>
      </w:pPr>
    </w:p>
    <w:p>
      <w:pPr>
        <w:spacing w:after="0"/>
        <w:rPr>
          <w:sz w:val="20"/>
          <w:szCs w:val="20"/>
          <w:color w:val="auto"/>
        </w:rPr>
      </w:pPr>
      <w:r>
        <w:rPr>
          <w:rFonts w:ascii="Arial" w:cs="Arial" w:eastAsia="Arial" w:hAnsi="Arial"/>
          <w:sz w:val="16"/>
          <w:szCs w:val="16"/>
          <w:b w:val="1"/>
          <w:bCs w:val="1"/>
          <w:color w:val="auto"/>
        </w:rPr>
        <w:t>7. Third Party Consents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40" w:hanging="35"/>
        <w:spacing w:after="0" w:line="264" w:lineRule="auto"/>
        <w:rPr>
          <w:sz w:val="20"/>
          <w:szCs w:val="20"/>
          <w:color w:val="auto"/>
        </w:rPr>
      </w:pPr>
      <w:r>
        <w:rPr>
          <w:rFonts w:ascii="Arial" w:cs="Arial" w:eastAsia="Arial" w:hAnsi="Arial"/>
          <w:sz w:val="18"/>
          <w:szCs w:val="18"/>
          <w:color w:val="auto"/>
        </w:rPr>
        <w:t>Supplier shall use commercially reasonable efforts to procure all third party consents and licenses/sub-licenses required in connection with the provision and receipt of the Services. Costs incurred in connection therewith will be borne by the Recipient Representative.</w:t>
      </w:r>
    </w:p>
    <w:p>
      <w:pPr>
        <w:spacing w:after="0" w:line="181" w:lineRule="exact"/>
        <w:rPr>
          <w:sz w:val="20"/>
          <w:szCs w:val="20"/>
          <w:color w:val="auto"/>
        </w:rPr>
      </w:pPr>
    </w:p>
    <w:p>
      <w:pPr>
        <w:sectPr>
          <w:pgSz w:w="11900" w:h="16838" w:orient="portrait"/>
          <w:cols w:equalWidth="0" w:num="3">
            <w:col w:w="2620" w:space="720"/>
            <w:col w:w="40" w:space="280"/>
            <w:col w:w="7740"/>
          </w:cols>
          <w:pgMar w:left="240" w:top="125" w:right="259" w:bottom="0" w:gutter="0" w:footer="0" w:header="0"/>
          <w:type w:val="continuous"/>
        </w:sectPr>
      </w:pPr>
    </w:p>
    <w:p>
      <w:pPr>
        <w:ind w:left="334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jc w:val="both"/>
        <w:ind w:right="80" w:hanging="35"/>
        <w:spacing w:after="0" w:line="264" w:lineRule="auto"/>
        <w:rPr>
          <w:sz w:val="20"/>
          <w:szCs w:val="20"/>
          <w:color w:val="auto"/>
        </w:rPr>
      </w:pPr>
      <w:r>
        <w:rPr>
          <w:rFonts w:ascii="Arial" w:cs="Arial" w:eastAsia="Arial" w:hAnsi="Arial"/>
          <w:sz w:val="18"/>
          <w:szCs w:val="18"/>
          <w:color w:val="auto"/>
        </w:rPr>
        <w:t>Supplier shall be responsible for and procure all third party consents and licenses/sub-licenses required in connection with the provision and receipt of the Reverse Transition Services. Costs incurred in connection therewith will be borne by Supplier.</w:t>
      </w:r>
    </w:p>
    <w:p>
      <w:pPr>
        <w:spacing w:after="0" w:line="177" w:lineRule="exact"/>
        <w:rPr>
          <w:sz w:val="20"/>
          <w:szCs w:val="20"/>
          <w:color w:val="auto"/>
        </w:rPr>
      </w:pPr>
    </w:p>
    <w:p>
      <w:pPr>
        <w:sectPr>
          <w:pgSz w:w="11900" w:h="16838" w:orient="portrait"/>
          <w:cols w:equalWidth="0" w:num="2">
            <w:col w:w="3380" w:space="280"/>
            <w:col w:w="7740"/>
          </w:cols>
          <w:pgMar w:left="240" w:top="125" w:right="259" w:bottom="0" w:gutter="0" w:footer="0" w:header="0"/>
          <w:type w:val="continuous"/>
        </w:sectPr>
      </w:pPr>
    </w:p>
    <w:p>
      <w:pPr>
        <w:spacing w:after="0"/>
        <w:rPr>
          <w:sz w:val="20"/>
          <w:szCs w:val="20"/>
          <w:color w:val="auto"/>
        </w:rPr>
      </w:pPr>
      <w:r>
        <w:rPr>
          <w:rFonts w:ascii="Arial" w:cs="Arial" w:eastAsia="Arial" w:hAnsi="Arial"/>
          <w:sz w:val="15"/>
          <w:szCs w:val="15"/>
          <w:b w:val="1"/>
          <w:bCs w:val="1"/>
          <w:color w:val="auto"/>
        </w:rPr>
        <w:t>8. Consulting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180" w:hanging="35"/>
        <w:spacing w:after="0" w:line="308" w:lineRule="auto"/>
        <w:rPr>
          <w:sz w:val="20"/>
          <w:szCs w:val="20"/>
          <w:color w:val="auto"/>
        </w:rPr>
      </w:pPr>
      <w:r>
        <w:rPr>
          <w:rFonts w:ascii="Arial" w:cs="Arial" w:eastAsia="Arial" w:hAnsi="Arial"/>
          <w:sz w:val="17"/>
          <w:szCs w:val="17"/>
          <w:color w:val="auto"/>
        </w:rPr>
        <w:t>Until the three month anniversary of the Closing Date, [***] shall serve as acting General Manager of the Gainesville facility and an advisor to the management of Recipient Representative.</w:t>
      </w:r>
    </w:p>
    <w:p>
      <w:pPr>
        <w:spacing w:after="0" w:line="147" w:lineRule="exact"/>
        <w:rPr>
          <w:sz w:val="20"/>
          <w:szCs w:val="20"/>
          <w:color w:val="auto"/>
        </w:rPr>
      </w:pPr>
    </w:p>
    <w:p>
      <w:pPr>
        <w:sectPr>
          <w:pgSz w:w="11900" w:h="16838" w:orient="portrait"/>
          <w:cols w:equalWidth="0" w:num="3">
            <w:col w:w="2620" w:space="720"/>
            <w:col w:w="40" w:space="280"/>
            <w:col w:w="7740"/>
          </w:cols>
          <w:pgMar w:left="240" w:top="125" w:right="259" w:bottom="0" w:gutter="0" w:footer="0" w:header="0"/>
          <w:type w:val="continuous"/>
        </w:sectPr>
      </w:pPr>
    </w:p>
    <w:p>
      <w:pPr>
        <w:ind w:left="334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40" w:hanging="35"/>
        <w:spacing w:after="0" w:line="286" w:lineRule="auto"/>
        <w:rPr>
          <w:sz w:val="20"/>
          <w:szCs w:val="20"/>
          <w:color w:val="auto"/>
        </w:rPr>
      </w:pPr>
      <w:r>
        <w:rPr>
          <w:rFonts w:ascii="Arial" w:cs="Arial" w:eastAsia="Arial" w:hAnsi="Arial"/>
          <w:sz w:val="17"/>
          <w:szCs w:val="17"/>
          <w:color w:val="auto"/>
        </w:rPr>
        <w:t>Following such three month anniversary of the Closing Date, [***] will be reasonably available to act as an advisor to the management of Recipient Representative until the earlier of (i) October 1, 2015 or (ii) the Recipient Representative’s notice to Supplier that [***] Consulting Services are not required.</w:t>
      </w:r>
    </w:p>
    <w:p>
      <w:pPr>
        <w:spacing w:after="0" w:line="166" w:lineRule="exact"/>
        <w:rPr>
          <w:sz w:val="20"/>
          <w:szCs w:val="20"/>
          <w:color w:val="auto"/>
        </w:rPr>
      </w:pPr>
    </w:p>
    <w:p>
      <w:pPr>
        <w:sectPr>
          <w:pgSz w:w="11900" w:h="16838" w:orient="portrait"/>
          <w:cols w:equalWidth="0" w:num="2">
            <w:col w:w="3380" w:space="280"/>
            <w:col w:w="7740"/>
          </w:cols>
          <w:pgMar w:left="240" w:top="125" w:right="259" w:bottom="0" w:gutter="0" w:footer="0" w:header="0"/>
          <w:type w:val="continuous"/>
        </w:sectPr>
      </w:pPr>
    </w:p>
    <w:p>
      <w:pPr>
        <w:ind w:left="334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20" w:hanging="35"/>
        <w:spacing w:after="0" w:line="277" w:lineRule="auto"/>
        <w:rPr>
          <w:sz w:val="20"/>
          <w:szCs w:val="20"/>
          <w:color w:val="auto"/>
        </w:rPr>
      </w:pPr>
      <w:r>
        <w:rPr>
          <w:rFonts w:ascii="Arial" w:cs="Arial" w:eastAsia="Arial" w:hAnsi="Arial"/>
          <w:sz w:val="18"/>
          <w:szCs w:val="18"/>
          <w:color w:val="auto"/>
        </w:rPr>
        <w:t>In the performance of the Consulting Services, [***] shall remain employed by Supplier, and all Consulting Services shall be performed subject to the terms of his employment with Supplier.</w:t>
      </w:r>
    </w:p>
    <w:p>
      <w:pPr>
        <w:spacing w:after="0" w:line="166" w:lineRule="exact"/>
        <w:rPr>
          <w:sz w:val="20"/>
          <w:szCs w:val="20"/>
          <w:color w:val="auto"/>
        </w:rPr>
      </w:pPr>
    </w:p>
    <w:p>
      <w:pPr>
        <w:sectPr>
          <w:pgSz w:w="11900" w:h="16838" w:orient="portrait"/>
          <w:cols w:equalWidth="0" w:num="2">
            <w:col w:w="3380" w:space="280"/>
            <w:col w:w="7740"/>
          </w:cols>
          <w:pgMar w:left="240" w:top="125" w:right="259" w:bottom="0" w:gutter="0" w:footer="0" w:header="0"/>
          <w:type w:val="continuous"/>
        </w:sectPr>
      </w:pPr>
    </w:p>
    <w:p>
      <w:pPr>
        <w:spacing w:after="0"/>
        <w:rPr>
          <w:sz w:val="20"/>
          <w:szCs w:val="20"/>
          <w:color w:val="auto"/>
        </w:rPr>
      </w:pPr>
      <w:r>
        <w:rPr>
          <w:rFonts w:ascii="Arial" w:cs="Arial" w:eastAsia="Arial" w:hAnsi="Arial"/>
          <w:sz w:val="16"/>
          <w:szCs w:val="16"/>
          <w:b w:val="1"/>
          <w:bCs w:val="1"/>
          <w:color w:val="auto"/>
        </w:rPr>
        <w:t>9. Indemnification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120" w:hanging="35"/>
        <w:spacing w:after="0" w:line="277" w:lineRule="auto"/>
        <w:rPr>
          <w:sz w:val="20"/>
          <w:szCs w:val="20"/>
          <w:color w:val="auto"/>
        </w:rPr>
      </w:pPr>
      <w:r>
        <w:rPr>
          <w:rFonts w:ascii="Arial" w:cs="Arial" w:eastAsia="Arial" w:hAnsi="Arial"/>
          <w:sz w:val="18"/>
          <w:szCs w:val="18"/>
          <w:color w:val="auto"/>
        </w:rPr>
        <w:t>To parallel the indemnity in the Agreement, except with no Deductible or De Minimis Damages. To cover, among other things, breach of representations and breach of covenants.</w:t>
      </w:r>
    </w:p>
    <w:p>
      <w:pPr>
        <w:spacing w:after="0" w:line="170" w:lineRule="exact"/>
        <w:rPr>
          <w:sz w:val="20"/>
          <w:szCs w:val="20"/>
          <w:color w:val="auto"/>
        </w:rPr>
      </w:pPr>
    </w:p>
    <w:p>
      <w:pPr>
        <w:sectPr>
          <w:pgSz w:w="11900" w:h="16838" w:orient="portrait"/>
          <w:cols w:equalWidth="0" w:num="3">
            <w:col w:w="2620" w:space="720"/>
            <w:col w:w="40" w:space="280"/>
            <w:col w:w="7740"/>
          </w:cols>
          <w:pgMar w:left="240" w:top="125" w:right="259" w:bottom="0" w:gutter="0" w:footer="0" w:header="0"/>
          <w:type w:val="continuous"/>
        </w:sectPr>
      </w:pPr>
    </w:p>
    <w:p>
      <w:pPr>
        <w:ind w:left="334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120" w:hanging="35"/>
        <w:spacing w:after="0" w:line="264" w:lineRule="auto"/>
        <w:rPr>
          <w:sz w:val="20"/>
          <w:szCs w:val="20"/>
          <w:color w:val="auto"/>
        </w:rPr>
      </w:pPr>
      <w:r>
        <w:rPr>
          <w:rFonts w:ascii="Arial" w:cs="Arial" w:eastAsia="Arial" w:hAnsi="Arial"/>
          <w:sz w:val="18"/>
          <w:szCs w:val="18"/>
          <w:color w:val="auto"/>
        </w:rPr>
        <w:t>In addition, Recipient Representative shall indemnify, defend and hold harmless Supplier and its Affiliates and [***], in his personal capacity, for all Losses to the extent resulting from or arising out of the Consulting Services.</w:t>
      </w:r>
    </w:p>
    <w:p>
      <w:pPr>
        <w:spacing w:after="0" w:line="177" w:lineRule="exact"/>
        <w:rPr>
          <w:sz w:val="20"/>
          <w:szCs w:val="20"/>
          <w:color w:val="auto"/>
        </w:rPr>
      </w:pPr>
    </w:p>
    <w:p>
      <w:pPr>
        <w:sectPr>
          <w:pgSz w:w="11900" w:h="16838" w:orient="portrait"/>
          <w:cols w:equalWidth="0" w:num="2">
            <w:col w:w="3380" w:space="280"/>
            <w:col w:w="7740"/>
          </w:cols>
          <w:pgMar w:left="240" w:top="125" w:right="259" w:bottom="0" w:gutter="0" w:footer="0" w:header="0"/>
          <w:type w:val="continuous"/>
        </w:sectPr>
      </w:pPr>
    </w:p>
    <w:p>
      <w:pPr>
        <w:spacing w:after="0"/>
        <w:rPr>
          <w:sz w:val="20"/>
          <w:szCs w:val="20"/>
          <w:color w:val="auto"/>
        </w:rPr>
      </w:pPr>
      <w:r>
        <w:rPr>
          <w:rFonts w:ascii="Arial" w:cs="Arial" w:eastAsia="Arial" w:hAnsi="Arial"/>
          <w:sz w:val="15"/>
          <w:szCs w:val="15"/>
          <w:b w:val="1"/>
          <w:bCs w:val="1"/>
          <w:color w:val="auto"/>
        </w:rPr>
        <w:t>10.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656590</wp:posOffset>
            </wp:positionV>
            <wp:extent cx="18268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jc w:val="both"/>
        <w:ind w:right="160" w:hanging="35"/>
        <w:spacing w:after="0" w:line="259" w:lineRule="auto"/>
        <w:rPr>
          <w:sz w:val="20"/>
          <w:szCs w:val="20"/>
          <w:color w:val="auto"/>
        </w:rPr>
      </w:pPr>
      <w:r>
        <w:rPr>
          <w:rFonts w:ascii="Arial" w:cs="Arial" w:eastAsia="Arial" w:hAnsi="Arial"/>
          <w:sz w:val="18"/>
          <w:szCs w:val="18"/>
          <w:color w:val="auto"/>
        </w:rPr>
        <w:t>Records related to the Services and the Reverse Transition Services to be retained in accordance with the record retention provisions of the Agreement or in accordance with EU, US and International Conference on Harmonisation of Technical Requirements for Registration of Pharmaceuticals for Human Use (ICH) records retention requirements, whichever is longer.</w:t>
      </w:r>
    </w:p>
    <w:p>
      <w:pPr>
        <w:spacing w:after="0" w:line="200" w:lineRule="exact"/>
        <w:rPr>
          <w:sz w:val="20"/>
          <w:szCs w:val="20"/>
          <w:color w:val="auto"/>
        </w:rPr>
      </w:pPr>
    </w:p>
    <w:p>
      <w:pPr>
        <w:sectPr>
          <w:pgSz w:w="11900" w:h="16838" w:orient="portrait"/>
          <w:cols w:equalWidth="0" w:num="3">
            <w:col w:w="2620" w:space="720"/>
            <w:col w:w="40" w:space="280"/>
            <w:col w:w="7740"/>
          </w:cols>
          <w:pgMar w:left="240" w:top="125" w:right="259" w:bottom="0" w:gutter="0" w:footer="0" w:header="0"/>
          <w:type w:val="continuous"/>
        </w:sectPr>
      </w:pPr>
    </w:p>
    <w:p>
      <w:pPr>
        <w:spacing w:after="0" w:line="213" w:lineRule="exact"/>
        <w:rPr>
          <w:sz w:val="20"/>
          <w:szCs w:val="20"/>
          <w:color w:val="auto"/>
        </w:rPr>
      </w:pPr>
    </w:p>
    <w:p>
      <w:pPr>
        <w:ind w:right="540" w:firstLine="8"/>
        <w:spacing w:after="0" w:line="282" w:lineRule="auto"/>
        <w:tabs>
          <w:tab w:leader="none" w:pos="435"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80" w:type="dxa"/>
            <w:vAlign w:val="bottom"/>
          </w:tcPr>
          <w:p>
            <w:pPr>
              <w:spacing w:after="0"/>
              <w:rPr>
                <w:sz w:val="20"/>
                <w:szCs w:val="20"/>
                <w:color w:val="auto"/>
              </w:rPr>
            </w:pPr>
            <w:r>
              <w:rPr>
                <w:rFonts w:ascii="Arial" w:cs="Arial" w:eastAsia="Arial" w:hAnsi="Arial"/>
                <w:sz w:val="18"/>
                <w:szCs w:val="18"/>
                <w:b w:val="1"/>
                <w:bCs w:val="1"/>
                <w:color w:val="auto"/>
              </w:rPr>
              <w:t>11. Term</w:t>
            </w:r>
          </w:p>
        </w:tc>
        <w:tc>
          <w:tcPr>
            <w:tcW w:w="9080" w:type="dxa"/>
            <w:vAlign w:val="bottom"/>
            <w:gridSpan w:val="3"/>
          </w:tcPr>
          <w:p>
            <w:pPr>
              <w:ind w:left="1060"/>
              <w:spacing w:after="0"/>
              <w:rPr>
                <w:sz w:val="20"/>
                <w:szCs w:val="20"/>
                <w:color w:val="auto"/>
              </w:rPr>
            </w:pPr>
            <w:r>
              <w:rPr>
                <w:rFonts w:ascii="Arial" w:cs="Arial" w:eastAsia="Arial" w:hAnsi="Arial"/>
                <w:sz w:val="18"/>
                <w:szCs w:val="18"/>
                <w:color w:val="auto"/>
                <w:w w:val="99"/>
              </w:rPr>
              <w:t>·   Migration Services shall be completed by and terminate within 45 calendar days following Closing;</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9080" w:type="dxa"/>
            <w:vAlign w:val="bottom"/>
            <w:gridSpan w:val="3"/>
          </w:tcPr>
          <w:p>
            <w:pPr>
              <w:ind w:left="1380"/>
              <w:spacing w:after="0"/>
              <w:rPr>
                <w:sz w:val="20"/>
                <w:szCs w:val="20"/>
                <w:color w:val="auto"/>
              </w:rPr>
            </w:pPr>
            <w:r>
              <w:rPr>
                <w:rFonts w:ascii="Arial" w:cs="Arial" w:eastAsia="Arial" w:hAnsi="Arial"/>
                <w:sz w:val="18"/>
                <w:szCs w:val="18"/>
                <w:color w:val="auto"/>
                <w:w w:val="91"/>
              </w:rPr>
              <w:t>provided, that Recipient shall have the right to reasonably request additional information or documents up</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9080" w:type="dxa"/>
            <w:vAlign w:val="bottom"/>
            <w:gridSpan w:val="3"/>
          </w:tcPr>
          <w:p>
            <w:pPr>
              <w:ind w:left="1380"/>
              <w:spacing w:after="0"/>
              <w:rPr>
                <w:sz w:val="20"/>
                <w:szCs w:val="20"/>
                <w:color w:val="auto"/>
              </w:rPr>
            </w:pPr>
            <w:r>
              <w:rPr>
                <w:rFonts w:ascii="Arial" w:cs="Arial" w:eastAsia="Arial" w:hAnsi="Arial"/>
                <w:sz w:val="18"/>
                <w:szCs w:val="18"/>
                <w:color w:val="auto"/>
                <w:w w:val="96"/>
              </w:rPr>
              <w:t>to an additional 45 days and Supplier shall make a good faith effort to cooperate with such requests.</w:t>
            </w: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9080" w:type="dxa"/>
            <w:vAlign w:val="bottom"/>
            <w:gridSpan w:val="3"/>
          </w:tcPr>
          <w:p>
            <w:pPr>
              <w:ind w:left="1060"/>
              <w:spacing w:after="0"/>
              <w:rPr>
                <w:sz w:val="20"/>
                <w:szCs w:val="20"/>
                <w:color w:val="auto"/>
              </w:rPr>
            </w:pPr>
            <w:r>
              <w:rPr>
                <w:rFonts w:ascii="Arial" w:cs="Arial" w:eastAsia="Arial" w:hAnsi="Arial"/>
                <w:sz w:val="18"/>
                <w:szCs w:val="18"/>
                <w:color w:val="auto"/>
              </w:rPr>
              <w:t>·   Transition Services shall be completed by and terminate by June 30, 2016.</w:t>
            </w:r>
          </w:p>
        </w:tc>
        <w:tc>
          <w:tcPr>
            <w:tcW w:w="0" w:type="dxa"/>
            <w:vAlign w:val="bottom"/>
          </w:tcPr>
          <w:p>
            <w:pPr>
              <w:spacing w:after="0"/>
              <w:rPr>
                <w:sz w:val="1"/>
                <w:szCs w:val="1"/>
                <w:color w:val="auto"/>
              </w:rPr>
            </w:pPr>
          </w:p>
        </w:tc>
      </w:tr>
      <w:tr>
        <w:trPr>
          <w:trHeight w:val="392"/>
        </w:trPr>
        <w:tc>
          <w:tcPr>
            <w:tcW w:w="2280" w:type="dxa"/>
            <w:vAlign w:val="bottom"/>
          </w:tcPr>
          <w:p>
            <w:pPr>
              <w:spacing w:after="0"/>
              <w:rPr>
                <w:sz w:val="24"/>
                <w:szCs w:val="24"/>
                <w:color w:val="auto"/>
              </w:rPr>
            </w:pPr>
          </w:p>
        </w:tc>
        <w:tc>
          <w:tcPr>
            <w:tcW w:w="9080" w:type="dxa"/>
            <w:vAlign w:val="bottom"/>
            <w:gridSpan w:val="3"/>
          </w:tcPr>
          <w:p>
            <w:pPr>
              <w:ind w:left="1060"/>
              <w:spacing w:after="0"/>
              <w:rPr>
                <w:sz w:val="20"/>
                <w:szCs w:val="20"/>
                <w:color w:val="auto"/>
              </w:rPr>
            </w:pPr>
            <w:r>
              <w:rPr>
                <w:rFonts w:ascii="Arial" w:cs="Arial" w:eastAsia="Arial" w:hAnsi="Arial"/>
                <w:sz w:val="18"/>
                <w:szCs w:val="18"/>
                <w:color w:val="auto"/>
              </w:rPr>
              <w:t>·   Reverse Transition Services shall have the duration described in this Exhibit A.</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12. Termination</w:t>
            </w:r>
          </w:p>
        </w:tc>
        <w:tc>
          <w:tcPr>
            <w:tcW w:w="6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280" w:type="dxa"/>
            <w:vAlign w:val="bottom"/>
            <w:vMerge w:val="continue"/>
          </w:tcPr>
          <w:p>
            <w:pPr>
              <w:spacing w:after="0"/>
              <w:rPr>
                <w:sz w:val="24"/>
                <w:szCs w:val="24"/>
                <w:color w:val="auto"/>
              </w:rPr>
            </w:pPr>
          </w:p>
        </w:tc>
        <w:tc>
          <w:tcPr>
            <w:tcW w:w="9080" w:type="dxa"/>
            <w:vAlign w:val="bottom"/>
            <w:gridSpan w:val="3"/>
          </w:tcPr>
          <w:p>
            <w:pPr>
              <w:ind w:left="1060"/>
              <w:spacing w:after="0"/>
              <w:rPr>
                <w:sz w:val="20"/>
                <w:szCs w:val="20"/>
                <w:color w:val="auto"/>
              </w:rPr>
            </w:pPr>
            <w:r>
              <w:rPr>
                <w:rFonts w:ascii="Arial" w:cs="Arial" w:eastAsia="Arial" w:hAnsi="Arial"/>
                <w:sz w:val="18"/>
                <w:szCs w:val="18"/>
                <w:color w:val="auto"/>
                <w:w w:val="91"/>
              </w:rPr>
              <w:t>·   By Recipients at any time (solely with respect to the Services) upon 5 business days prior written notice (or</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9080" w:type="dxa"/>
            <w:vAlign w:val="bottom"/>
            <w:gridSpan w:val="3"/>
          </w:tcPr>
          <w:p>
            <w:pPr>
              <w:ind w:left="1380"/>
              <w:spacing w:after="0"/>
              <w:rPr>
                <w:sz w:val="20"/>
                <w:szCs w:val="20"/>
                <w:color w:val="auto"/>
              </w:rPr>
            </w:pPr>
            <w:r>
              <w:rPr>
                <w:rFonts w:ascii="Arial" w:cs="Arial" w:eastAsia="Arial" w:hAnsi="Arial"/>
                <w:sz w:val="18"/>
                <w:szCs w:val="18"/>
                <w:color w:val="auto"/>
                <w:w w:val="91"/>
              </w:rPr>
              <w:t>with respect to such Services the cessation of which requires the cooperation of a third party, as promptly</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9080" w:type="dxa"/>
            <w:vAlign w:val="bottom"/>
            <w:gridSpan w:val="3"/>
          </w:tcPr>
          <w:p>
            <w:pPr>
              <w:ind w:left="1380"/>
              <w:spacing w:after="0"/>
              <w:rPr>
                <w:sz w:val="20"/>
                <w:szCs w:val="20"/>
                <w:color w:val="auto"/>
              </w:rPr>
            </w:pPr>
            <w:r>
              <w:rPr>
                <w:rFonts w:ascii="Arial" w:cs="Arial" w:eastAsia="Arial" w:hAnsi="Arial"/>
                <w:sz w:val="18"/>
                <w:szCs w:val="18"/>
                <w:color w:val="auto"/>
              </w:rPr>
              <w:t>as practicable).</w:t>
            </w: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9080" w:type="dxa"/>
            <w:vAlign w:val="bottom"/>
            <w:gridSpan w:val="3"/>
          </w:tcPr>
          <w:p>
            <w:pPr>
              <w:ind w:left="1060"/>
              <w:spacing w:after="0"/>
              <w:rPr>
                <w:sz w:val="20"/>
                <w:szCs w:val="20"/>
                <w:color w:val="auto"/>
              </w:rPr>
            </w:pPr>
            <w:r>
              <w:rPr>
                <w:rFonts w:ascii="Arial" w:cs="Arial" w:eastAsia="Arial" w:hAnsi="Arial"/>
                <w:sz w:val="18"/>
                <w:szCs w:val="18"/>
                <w:color w:val="auto"/>
              </w:rPr>
              <w:t>·   By Supplier upon 90 days’ written notice (solely with respect to Reverse Transition Services).</w:t>
            </w:r>
          </w:p>
        </w:tc>
        <w:tc>
          <w:tcPr>
            <w:tcW w:w="0" w:type="dxa"/>
            <w:vAlign w:val="bottom"/>
          </w:tcPr>
          <w:p>
            <w:pPr>
              <w:spacing w:after="0"/>
              <w:rPr>
                <w:sz w:val="1"/>
                <w:szCs w:val="1"/>
                <w:color w:val="auto"/>
              </w:rPr>
            </w:pPr>
          </w:p>
        </w:tc>
      </w:tr>
      <w:tr>
        <w:trPr>
          <w:trHeight w:val="418"/>
        </w:trPr>
        <w:tc>
          <w:tcPr>
            <w:tcW w:w="2280" w:type="dxa"/>
            <w:vAlign w:val="bottom"/>
          </w:tcPr>
          <w:p>
            <w:pPr>
              <w:spacing w:after="0"/>
              <w:rPr>
                <w:sz w:val="24"/>
                <w:szCs w:val="24"/>
                <w:color w:val="auto"/>
              </w:rPr>
            </w:pPr>
          </w:p>
        </w:tc>
        <w:tc>
          <w:tcPr>
            <w:tcW w:w="9080" w:type="dxa"/>
            <w:vAlign w:val="bottom"/>
            <w:gridSpan w:val="3"/>
          </w:tcPr>
          <w:p>
            <w:pPr>
              <w:ind w:left="1060"/>
              <w:spacing w:after="0"/>
              <w:rPr>
                <w:sz w:val="20"/>
                <w:szCs w:val="20"/>
                <w:color w:val="auto"/>
              </w:rPr>
            </w:pPr>
            <w:r>
              <w:rPr>
                <w:rFonts w:ascii="Arial" w:cs="Arial" w:eastAsia="Arial" w:hAnsi="Arial"/>
                <w:sz w:val="18"/>
                <w:szCs w:val="18"/>
                <w:color w:val="auto"/>
                <w:w w:val="94"/>
              </w:rPr>
              <w:t>·   By Recipients with respect to Reverse Transition Services upon 30 days’ written notice due to failure by</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9080" w:type="dxa"/>
            <w:vAlign w:val="bottom"/>
            <w:gridSpan w:val="3"/>
          </w:tcPr>
          <w:p>
            <w:pPr>
              <w:ind w:left="1380"/>
              <w:spacing w:after="0"/>
              <w:rPr>
                <w:sz w:val="20"/>
                <w:szCs w:val="20"/>
                <w:color w:val="auto"/>
              </w:rPr>
            </w:pPr>
            <w:r>
              <w:rPr>
                <w:rFonts w:ascii="Arial" w:cs="Arial" w:eastAsia="Arial" w:hAnsi="Arial"/>
                <w:sz w:val="18"/>
                <w:szCs w:val="18"/>
                <w:color w:val="auto"/>
              </w:rPr>
              <w:t>Supplier to pay material amounts not in dispute that are greater than 90 days past due.</w:t>
            </w: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type w:val="continuous"/>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560" w:type="dxa"/>
            <w:vAlign w:val="bottom"/>
          </w:tcPr>
          <w:p>
            <w:pPr>
              <w:ind w:left="440"/>
              <w:spacing w:after="0"/>
              <w:rPr>
                <w:sz w:val="20"/>
                <w:szCs w:val="20"/>
                <w:color w:val="auto"/>
              </w:rPr>
            </w:pPr>
            <w:r>
              <w:rPr>
                <w:rFonts w:ascii="Arial" w:cs="Arial" w:eastAsia="Arial" w:hAnsi="Arial"/>
                <w:sz w:val="18"/>
                <w:szCs w:val="18"/>
                <w:color w:val="auto"/>
                <w:w w:val="97"/>
              </w:rPr>
              <w:t>·   By Supplier with respect to any of the Services upon 30 days’ written notice due to failure by Recipient</w:t>
            </w:r>
          </w:p>
        </w:tc>
      </w:tr>
      <w:tr>
        <w:trPr>
          <w:trHeight w:val="230"/>
        </w:trPr>
        <w:tc>
          <w:tcPr>
            <w:tcW w:w="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560" w:type="dxa"/>
            <w:vAlign w:val="bottom"/>
          </w:tcPr>
          <w:p>
            <w:pPr>
              <w:ind w:left="760"/>
              <w:spacing w:after="0"/>
              <w:rPr>
                <w:sz w:val="20"/>
                <w:szCs w:val="20"/>
                <w:color w:val="auto"/>
              </w:rPr>
            </w:pPr>
            <w:r>
              <w:rPr>
                <w:rFonts w:ascii="Arial" w:cs="Arial" w:eastAsia="Arial" w:hAnsi="Arial"/>
                <w:sz w:val="18"/>
                <w:szCs w:val="18"/>
                <w:color w:val="auto"/>
              </w:rPr>
              <w:t>Representative to pay material amounts not in dispute that are greater than 90 days past due.</w:t>
            </w:r>
          </w:p>
        </w:tc>
      </w:tr>
      <w:tr>
        <w:trPr>
          <w:trHeight w:val="432"/>
        </w:trPr>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560" w:type="dxa"/>
            <w:vAlign w:val="bottom"/>
          </w:tcPr>
          <w:p>
            <w:pPr>
              <w:ind w:left="440"/>
              <w:spacing w:after="0"/>
              <w:rPr>
                <w:sz w:val="20"/>
                <w:szCs w:val="20"/>
                <w:color w:val="auto"/>
              </w:rPr>
            </w:pPr>
            <w:r>
              <w:rPr>
                <w:rFonts w:ascii="Arial" w:cs="Arial" w:eastAsia="Arial" w:hAnsi="Arial"/>
                <w:sz w:val="18"/>
                <w:szCs w:val="18"/>
                <w:color w:val="auto"/>
              </w:rPr>
              <w:t>·   By mutual consent of the parties.</w:t>
            </w:r>
          </w:p>
        </w:tc>
      </w:tr>
      <w:tr>
        <w:trPr>
          <w:trHeight w:val="418"/>
        </w:trPr>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560" w:type="dxa"/>
            <w:vAlign w:val="bottom"/>
          </w:tcPr>
          <w:p>
            <w:pPr>
              <w:ind w:left="440"/>
              <w:spacing w:after="0"/>
              <w:rPr>
                <w:sz w:val="20"/>
                <w:szCs w:val="20"/>
                <w:color w:val="auto"/>
              </w:rPr>
            </w:pPr>
            <w:r>
              <w:rPr>
                <w:rFonts w:ascii="Arial" w:cs="Arial" w:eastAsia="Arial" w:hAnsi="Arial"/>
                <w:sz w:val="18"/>
                <w:szCs w:val="18"/>
                <w:color w:val="auto"/>
              </w:rPr>
              <w:t>·   Changes to Services or Reverse Transition Services shall require the written consent of Recipient</w:t>
            </w:r>
          </w:p>
        </w:tc>
      </w:tr>
      <w:tr>
        <w:trPr>
          <w:trHeight w:val="230"/>
        </w:trPr>
        <w:tc>
          <w:tcPr>
            <w:tcW w:w="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560" w:type="dxa"/>
            <w:vAlign w:val="bottom"/>
          </w:tcPr>
          <w:p>
            <w:pPr>
              <w:ind w:left="760"/>
              <w:spacing w:after="0"/>
              <w:rPr>
                <w:sz w:val="20"/>
                <w:szCs w:val="20"/>
                <w:color w:val="auto"/>
              </w:rPr>
            </w:pPr>
            <w:r>
              <w:rPr>
                <w:rFonts w:ascii="Arial" w:cs="Arial" w:eastAsia="Arial" w:hAnsi="Arial"/>
                <w:sz w:val="18"/>
                <w:szCs w:val="18"/>
                <w:color w:val="auto"/>
              </w:rPr>
              <w:t>Representative and Supplier.</w:t>
            </w:r>
          </w:p>
        </w:tc>
      </w:tr>
      <w:tr>
        <w:trPr>
          <w:trHeight w:val="432"/>
        </w:trPr>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87"/>
              </w:rPr>
              <w:t>13.</w:t>
            </w:r>
          </w:p>
        </w:tc>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Governing Law/Jurisdiction</w:t>
            </w:r>
          </w:p>
        </w:tc>
        <w:tc>
          <w:tcPr>
            <w:tcW w:w="8560" w:type="dxa"/>
            <w:vAlign w:val="bottom"/>
          </w:tcPr>
          <w:p>
            <w:pPr>
              <w:ind w:left="440"/>
              <w:spacing w:after="0"/>
              <w:rPr>
                <w:sz w:val="20"/>
                <w:szCs w:val="20"/>
                <w:color w:val="auto"/>
              </w:rPr>
            </w:pPr>
            <w:r>
              <w:rPr>
                <w:rFonts w:ascii="Arial" w:cs="Arial" w:eastAsia="Arial" w:hAnsi="Arial"/>
                <w:sz w:val="18"/>
                <w:szCs w:val="18"/>
                <w:color w:val="auto"/>
              </w:rPr>
              <w:t>As per Agreement.</w:t>
            </w:r>
          </w:p>
        </w:tc>
      </w:tr>
      <w:tr>
        <w:trPr>
          <w:trHeight w:val="418"/>
        </w:trPr>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87"/>
              </w:rPr>
              <w:t>14.</w:t>
            </w:r>
          </w:p>
        </w:tc>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Other</w:t>
            </w:r>
          </w:p>
        </w:tc>
        <w:tc>
          <w:tcPr>
            <w:tcW w:w="8560" w:type="dxa"/>
            <w:vAlign w:val="bottom"/>
          </w:tcPr>
          <w:p>
            <w:pPr>
              <w:ind w:left="440"/>
              <w:spacing w:after="0"/>
              <w:rPr>
                <w:sz w:val="20"/>
                <w:szCs w:val="20"/>
                <w:color w:val="auto"/>
              </w:rPr>
            </w:pPr>
            <w:r>
              <w:rPr>
                <w:rFonts w:ascii="Arial" w:cs="Arial" w:eastAsia="Arial" w:hAnsi="Arial"/>
                <w:sz w:val="18"/>
                <w:szCs w:val="18"/>
                <w:color w:val="auto"/>
                <w:w w:val="91"/>
              </w:rPr>
              <w:t>Other customary terms and conditions satisfactory in form and substance to the parties and their legal advisors</w:t>
            </w:r>
          </w:p>
        </w:tc>
      </w:tr>
      <w:tr>
        <w:trPr>
          <w:trHeight w:val="230"/>
        </w:trPr>
        <w:tc>
          <w:tcPr>
            <w:tcW w:w="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560" w:type="dxa"/>
            <w:vAlign w:val="bottom"/>
          </w:tcPr>
          <w:p>
            <w:pPr>
              <w:ind w:left="440"/>
              <w:spacing w:after="0"/>
              <w:rPr>
                <w:sz w:val="20"/>
                <w:szCs w:val="20"/>
                <w:color w:val="auto"/>
              </w:rPr>
            </w:pPr>
            <w:r>
              <w:rPr>
                <w:rFonts w:ascii="Arial" w:cs="Arial" w:eastAsia="Arial" w:hAnsi="Arial"/>
                <w:sz w:val="18"/>
                <w:szCs w:val="18"/>
                <w:color w:val="auto"/>
              </w:rPr>
              <w:t>to be negotiated in good faith by the parties between the date of the Agreement and Closing.</w:t>
            </w:r>
          </w:p>
        </w:tc>
      </w:tr>
      <w:tr>
        <w:trPr>
          <w:trHeight w:val="348"/>
        </w:trPr>
        <w:tc>
          <w:tcPr>
            <w:tcW w:w="260" w:type="dxa"/>
            <w:vAlign w:val="bottom"/>
            <w:tcBorders>
              <w:bottom w:val="single" w:sz="8" w:color="010101"/>
            </w:tcBorders>
          </w:tcPr>
          <w:p>
            <w:pPr>
              <w:spacing w:after="0"/>
              <w:rPr>
                <w:sz w:val="24"/>
                <w:szCs w:val="24"/>
                <w:color w:val="auto"/>
              </w:rPr>
            </w:pPr>
          </w:p>
        </w:tc>
        <w:tc>
          <w:tcPr>
            <w:tcW w:w="2640" w:type="dxa"/>
            <w:vAlign w:val="bottom"/>
            <w:tcBorders>
              <w:bottom w:val="single" w:sz="8" w:color="010101"/>
            </w:tcBorders>
          </w:tcPr>
          <w:p>
            <w:pPr>
              <w:spacing w:after="0"/>
              <w:rPr>
                <w:sz w:val="24"/>
                <w:szCs w:val="24"/>
                <w:color w:val="auto"/>
              </w:rPr>
            </w:pPr>
          </w:p>
        </w:tc>
        <w:tc>
          <w:tcPr>
            <w:tcW w:w="85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tabs>
          <w:tab w:leader="none" w:pos="3320" w:val="left"/>
          <w:tab w:leader="none" w:pos="3600" w:val="left"/>
        </w:tabs>
        <w:rPr>
          <w:sz w:val="20"/>
          <w:szCs w:val="20"/>
          <w:color w:val="auto"/>
        </w:rPr>
      </w:pPr>
      <w:r>
        <w:rPr>
          <w:rFonts w:ascii="Arial" w:cs="Arial" w:eastAsia="Arial" w:hAnsi="Arial"/>
          <w:sz w:val="18"/>
          <w:szCs w:val="18"/>
          <w:b w:val="1"/>
          <w:bCs w:val="1"/>
          <w:color w:val="auto"/>
        </w:rPr>
        <w:t>15. Contact Information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Supplier Contact:</w:t>
      </w:r>
    </w:p>
    <w:p>
      <w:pPr>
        <w:spacing w:after="0" w:line="22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Noeleen Kenny</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Vice President Alliance Management</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Alkermes Pharma Ireland Limited</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Connaught House</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1 Burlington Road</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Dublin 4, Ireland</w:t>
      </w:r>
    </w:p>
    <w:p>
      <w:pPr>
        <w:spacing w:after="0" w:line="9" w:lineRule="exact"/>
        <w:rPr>
          <w:sz w:val="20"/>
          <w:szCs w:val="20"/>
          <w:color w:val="auto"/>
        </w:rPr>
      </w:pPr>
    </w:p>
    <w:p>
      <w:pPr>
        <w:ind w:left="3860" w:hanging="206"/>
        <w:spacing w:after="0"/>
        <w:tabs>
          <w:tab w:leader="none" w:pos="38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+353 1 7728050</w:t>
      </w:r>
    </w:p>
    <w:p>
      <w:pPr>
        <w:spacing w:after="0" w:line="9" w:lineRule="exact"/>
        <w:rPr>
          <w:rFonts w:ascii="Arial" w:cs="Arial" w:eastAsia="Arial" w:hAnsi="Arial"/>
          <w:sz w:val="18"/>
          <w:szCs w:val="18"/>
          <w:color w:val="auto"/>
        </w:rPr>
      </w:pPr>
    </w:p>
    <w:p>
      <w:pPr>
        <w:ind w:left="3840" w:hanging="186"/>
        <w:spacing w:after="0"/>
        <w:tabs>
          <w:tab w:leader="none" w:pos="38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+353 1 7728001</w:t>
      </w:r>
    </w:p>
    <w:p>
      <w:pPr>
        <w:spacing w:after="0" w:line="9" w:lineRule="exact"/>
        <w:rPr>
          <w:rFonts w:ascii="Arial" w:cs="Arial" w:eastAsia="Arial" w:hAnsi="Arial"/>
          <w:sz w:val="18"/>
          <w:szCs w:val="18"/>
          <w:color w:val="auto"/>
        </w:rPr>
      </w:pPr>
    </w:p>
    <w:p>
      <w:pPr>
        <w:ind w:left="3860" w:hanging="206"/>
        <w:spacing w:after="0"/>
        <w:tabs>
          <w:tab w:leader="none" w:pos="38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noeleen.kenny@alkermes.com</w:t>
      </w:r>
    </w:p>
    <w:p>
      <w:pPr>
        <w:spacing w:after="0" w:line="210" w:lineRule="exact"/>
        <w:rPr>
          <w:rFonts w:ascii="Arial" w:cs="Arial" w:eastAsia="Arial" w:hAnsi="Arial"/>
          <w:sz w:val="18"/>
          <w:szCs w:val="18"/>
          <w:color w:val="auto"/>
        </w:rPr>
      </w:pPr>
    </w:p>
    <w:p>
      <w:pPr>
        <w:ind w:left="3620" w:hanging="290"/>
        <w:spacing w:after="0"/>
        <w:tabs>
          <w:tab w:leader="none" w:pos="36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Recipients Contact:</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Chris Sharr</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Head of Clinical Manufacturing</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Recro Pharma, Inc.</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490 Lapp Road</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Malvern, PA 19355</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csharr@recropharma.com</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O: 484-395-2408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Migration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each case, subject to the terms of the Agreement:</w:t>
      </w:r>
    </w:p>
    <w:p>
      <w:pPr>
        <w:spacing w:after="0" w:line="225" w:lineRule="exact"/>
        <w:rPr>
          <w:sz w:val="20"/>
          <w:szCs w:val="20"/>
          <w:color w:val="auto"/>
        </w:rPr>
      </w:pPr>
    </w:p>
    <w:p>
      <w:pPr>
        <w:ind w:left="980" w:right="240" w:hanging="324"/>
        <w:spacing w:after="0" w:line="277" w:lineRule="auto"/>
        <w:tabs>
          <w:tab w:leader="none" w:pos="94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Transfer of emails and other electronic data (including electronic documents and employee data) related primarily to the Business to the extent not fully transferred to Recipients at Closing;</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Transfer of any hard copy records related primarily to the Business to the extent not fully transferred to Recipients at Closing;</w:t>
      </w:r>
    </w:p>
    <w:p>
      <w:pPr>
        <w:spacing w:after="0" w:line="225" w:lineRule="exact"/>
        <w:rPr>
          <w:rFonts w:ascii="Arial" w:cs="Arial" w:eastAsia="Arial" w:hAnsi="Arial"/>
          <w:sz w:val="18"/>
          <w:szCs w:val="18"/>
          <w:color w:val="auto"/>
        </w:rPr>
      </w:pPr>
    </w:p>
    <w:p>
      <w:pPr>
        <w:ind w:left="980" w:right="480" w:hanging="324"/>
        <w:spacing w:after="0" w:line="277" w:lineRule="auto"/>
        <w:tabs>
          <w:tab w:leader="none" w:pos="94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Transfer of the existing safety database for Verelan/Verapamil (Argus/Quintiles) to Recipients or their nominated third party provider to the extent not fully transferred to Recipients at Closing;</w:t>
      </w:r>
    </w:p>
    <w:p>
      <w:pPr>
        <w:spacing w:after="0" w:line="170" w:lineRule="exact"/>
        <w:rPr>
          <w:rFonts w:ascii="Arial" w:cs="Arial" w:eastAsia="Arial" w:hAnsi="Arial"/>
          <w:sz w:val="18"/>
          <w:szCs w:val="18"/>
          <w:color w:val="auto"/>
        </w:rPr>
      </w:pPr>
    </w:p>
    <w:p>
      <w:pPr>
        <w:ind w:left="980" w:right="140" w:hanging="324"/>
        <w:spacing w:after="0" w:line="259" w:lineRule="auto"/>
        <w:tabs>
          <w:tab w:leader="none" w:pos="94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Transfer of ownership for any applications/INDs currently owned by Supplier or its Subsidiaries (other than the Company or Alkermes Gainesville) (e.g. DMF, IND, NDA’s, etc.) that relate solely to the Products to the extent not fully transferred to Recipients at Closing, provided that Supplier and Recipient shall collaborate with respect to the letters/correspondence to be provided to Governmental Entities regarding transfer of regulatory responsibilities before such applications/INDs are transferred;</w:t>
      </w:r>
    </w:p>
    <w:p>
      <w:pPr>
        <w:spacing w:after="0" w:line="186" w:lineRule="exact"/>
        <w:rPr>
          <w:rFonts w:ascii="Arial" w:cs="Arial" w:eastAsia="Arial" w:hAnsi="Arial"/>
          <w:sz w:val="18"/>
          <w:szCs w:val="18"/>
          <w:color w:val="auto"/>
        </w:rPr>
      </w:pPr>
    </w:p>
    <w:p>
      <w:pPr>
        <w:ind w:left="980" w:right="120" w:hanging="324"/>
        <w:spacing w:after="0" w:line="255" w:lineRule="auto"/>
        <w:tabs>
          <w:tab w:leader="none" w:pos="94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Transfer of information with respect to the Business and in the possession and control of Supplier or its Subsidiaries (other than the Company or Alkermes Gainesville) relating to: IP/patent litigation and employee litigation, provided that Supplier shall provide any necessary consents or letters reasonably requested by the Recipient Representative’s legal counsel to transfer such information relating to such litigation; R&amp;D related primarily to the Products, manufacturing and facilities; CMC files (only to the extent not included in the Meloxicam DMF), Clinical Trial Masterfiles and case report forms and nonclinical data relating to the Products; in each case, to the extent not fully transferred to Recipients at Closing;</w:t>
      </w:r>
    </w:p>
    <w:p>
      <w:pPr>
        <w:spacing w:after="0" w:line="193" w:lineRule="exact"/>
        <w:rPr>
          <w:rFonts w:ascii="Arial" w:cs="Arial" w:eastAsia="Arial" w:hAnsi="Arial"/>
          <w:sz w:val="18"/>
          <w:szCs w:val="18"/>
          <w:color w:val="auto"/>
        </w:rPr>
      </w:pPr>
    </w:p>
    <w:p>
      <w:pPr>
        <w:ind w:left="980" w:right="440" w:hanging="324"/>
        <w:spacing w:after="0" w:line="291" w:lineRule="auto"/>
        <w:tabs>
          <w:tab w:leader="none" w:pos="94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Assistance with the support and transfer to Recipients of (i) business relationships, (ii) audit, tax, accounting, financial, insurance, claims handling and treasury functions, (iii) employee files and (iv) ongoing regulatory activities (CMC, documentation, facilities), in each case of</w:t>
      </w:r>
    </w:p>
    <w:p>
      <w:pPr>
        <w:ind w:left="980" w:right="760"/>
        <w:spacing w:after="0" w:line="261" w:lineRule="auto"/>
        <w:rPr>
          <w:rFonts w:ascii="Arial" w:cs="Arial" w:eastAsia="Arial" w:hAnsi="Arial"/>
          <w:sz w:val="16"/>
          <w:szCs w:val="16"/>
          <w:color w:val="auto"/>
        </w:rPr>
      </w:pPr>
      <w:r>
        <w:rPr>
          <w:rFonts w:ascii="Arial" w:cs="Arial" w:eastAsia="Arial" w:hAnsi="Arial"/>
          <w:sz w:val="18"/>
          <w:szCs w:val="18"/>
          <w:color w:val="auto"/>
        </w:rPr>
        <w:t>(i) through (iv) primarily related to the Business, to the extent not fully transferred to Recipients at Closing, provided that Supplier will collaborate with Recipient to transfer such items as soon as reasonably practicable after Closing; and</w:t>
      </w:r>
    </w:p>
    <w:p>
      <w:pPr>
        <w:spacing w:after="0" w:line="183" w:lineRule="exact"/>
        <w:rPr>
          <w:rFonts w:ascii="Arial" w:cs="Arial" w:eastAsia="Arial" w:hAnsi="Arial"/>
          <w:sz w:val="16"/>
          <w:szCs w:val="16"/>
          <w:color w:val="auto"/>
        </w:rPr>
      </w:pPr>
    </w:p>
    <w:p>
      <w:pPr>
        <w:ind w:left="980" w:right="280" w:hanging="324"/>
        <w:spacing w:after="0" w:line="264" w:lineRule="auto"/>
        <w:tabs>
          <w:tab w:leader="none" w:pos="94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Assistance to Alkermes Gainesville employees who hold stock or stock options in Alkermes plc from Supplier and its Subsidiaries’ captive broker in exercising options, determining tax basis of equity grants, retrieving tax/transaction reports, and transferring shares to their personal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60" w:type="dxa"/>
            <w:vAlign w:val="bottom"/>
            <w:gridSpan w:val="3"/>
          </w:tcPr>
          <w:p>
            <w:pPr>
              <w:jc w:val="center"/>
              <w:ind w:right="5340"/>
              <w:spacing w:after="0"/>
              <w:rPr>
                <w:sz w:val="20"/>
                <w:szCs w:val="20"/>
                <w:color w:val="auto"/>
              </w:rPr>
            </w:pPr>
            <w:r>
              <w:rPr>
                <w:rFonts w:ascii="Arial" w:cs="Arial" w:eastAsia="Arial" w:hAnsi="Arial"/>
                <w:sz w:val="18"/>
                <w:szCs w:val="18"/>
                <w:b w:val="1"/>
                <w:bCs w:val="1"/>
                <w:color w:val="auto"/>
                <w:w w:val="86"/>
              </w:rPr>
              <w:t>Schedule 2</w:t>
            </w:r>
          </w:p>
        </w:tc>
      </w:tr>
      <w:tr>
        <w:trPr>
          <w:trHeight w:val="20"/>
        </w:trPr>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480" w:type="dxa"/>
            <w:vAlign w:val="bottom"/>
            <w:gridSpan w:val="4"/>
          </w:tcPr>
          <w:p>
            <w:pPr>
              <w:jc w:val="center"/>
              <w:ind w:right="5020"/>
              <w:spacing w:after="0" w:line="196" w:lineRule="exact"/>
              <w:rPr>
                <w:sz w:val="20"/>
                <w:szCs w:val="20"/>
                <w:color w:val="auto"/>
              </w:rPr>
            </w:pPr>
            <w:r>
              <w:rPr>
                <w:rFonts w:ascii="Arial" w:cs="Arial" w:eastAsia="Arial" w:hAnsi="Arial"/>
                <w:sz w:val="18"/>
                <w:szCs w:val="18"/>
                <w:b w:val="1"/>
                <w:bCs w:val="1"/>
                <w:color w:val="auto"/>
                <w:w w:val="87"/>
              </w:rPr>
              <w:t>Transition Services</w:t>
            </w:r>
          </w:p>
        </w:tc>
      </w:tr>
      <w:tr>
        <w:trPr>
          <w:trHeight w:val="20"/>
        </w:trPr>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453"/>
        </w:trPr>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20" w:type="dxa"/>
            <w:vAlign w:val="bottom"/>
            <w:gridSpan w:val="5"/>
          </w:tcPr>
          <w:p>
            <w:pPr>
              <w:jc w:val="center"/>
              <w:ind w:right="2480"/>
              <w:spacing w:after="0"/>
              <w:rPr>
                <w:sz w:val="20"/>
                <w:szCs w:val="20"/>
                <w:color w:val="auto"/>
              </w:rPr>
            </w:pPr>
            <w:r>
              <w:rPr>
                <w:rFonts w:ascii="Arial" w:cs="Arial" w:eastAsia="Arial" w:hAnsi="Arial"/>
                <w:sz w:val="18"/>
                <w:szCs w:val="18"/>
                <w:b w:val="1"/>
                <w:bCs w:val="1"/>
                <w:color w:val="auto"/>
                <w:w w:val="99"/>
              </w:rPr>
              <w:t>Part I(a): IT SERVICES</w:t>
            </w:r>
          </w:p>
        </w:tc>
      </w:tr>
      <w:tr>
        <w:trPr>
          <w:trHeight w:val="418"/>
        </w:trPr>
        <w:tc>
          <w:tcPr>
            <w:tcW w:w="1480" w:type="dxa"/>
            <w:vAlign w:val="bottom"/>
          </w:tcPr>
          <w:p>
            <w:pPr>
              <w:spacing w:after="0"/>
              <w:rPr>
                <w:sz w:val="20"/>
                <w:szCs w:val="20"/>
                <w:color w:val="auto"/>
              </w:rPr>
            </w:pPr>
            <w:r>
              <w:rPr>
                <w:rFonts w:ascii="Arial" w:cs="Arial" w:eastAsia="Arial" w:hAnsi="Arial"/>
                <w:sz w:val="18"/>
                <w:szCs w:val="18"/>
                <w:b w:val="1"/>
                <w:bCs w:val="1"/>
                <w:color w:val="auto"/>
              </w:rPr>
              <w:t>Services:</w:t>
            </w: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w w:val="91"/>
              </w:rPr>
              <w:t>The services described below are those that are currently in use by Supplier and its Subsidiaries with respect to the Business.</w:t>
            </w:r>
          </w:p>
        </w:tc>
      </w:tr>
      <w:tr>
        <w:trPr>
          <w:trHeight w:val="216"/>
        </w:trPr>
        <w:tc>
          <w:tcPr>
            <w:tcW w:w="1480" w:type="dxa"/>
            <w:vAlign w:val="bottom"/>
          </w:tcPr>
          <w:p>
            <w:pPr>
              <w:spacing w:after="0"/>
              <w:rPr>
                <w:sz w:val="18"/>
                <w:szCs w:val="18"/>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w w:val="91"/>
              </w:rPr>
              <w:t>Supplier and Recipient Representative will agree upon which of these Services should be put in place as part of the Transition</w:t>
            </w:r>
          </w:p>
        </w:tc>
      </w:tr>
      <w:tr>
        <w:trPr>
          <w:trHeight w:val="230"/>
        </w:trPr>
        <w:tc>
          <w:tcPr>
            <w:tcW w:w="1480" w:type="dxa"/>
            <w:vAlign w:val="bottom"/>
          </w:tcPr>
          <w:p>
            <w:pPr>
              <w:spacing w:after="0"/>
              <w:rPr>
                <w:sz w:val="20"/>
                <w:szCs w:val="20"/>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rPr>
              <w:t>Services:</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rPr>
              <w:t>·   SAP Services (including maintenance; GL account creation, cost center creation, reporting hierarchies)</w:t>
            </w:r>
          </w:p>
        </w:tc>
      </w:tr>
      <w:tr>
        <w:trPr>
          <w:trHeight w:val="432"/>
        </w:trPr>
        <w:tc>
          <w:tcPr>
            <w:tcW w:w="1480" w:type="dxa"/>
            <w:vAlign w:val="bottom"/>
          </w:tcPr>
          <w:p>
            <w:pPr>
              <w:spacing w:after="0"/>
              <w:rPr>
                <w:sz w:val="24"/>
                <w:szCs w:val="24"/>
                <w:color w:val="auto"/>
              </w:rPr>
            </w:pPr>
          </w:p>
        </w:tc>
        <w:tc>
          <w:tcPr>
            <w:tcW w:w="960" w:type="dxa"/>
            <w:vAlign w:val="bottom"/>
          </w:tcPr>
          <w:p>
            <w:pPr>
              <w:ind w:left="820"/>
              <w:spacing w:after="0"/>
              <w:rPr>
                <w:sz w:val="20"/>
                <w:szCs w:val="20"/>
                <w:color w:val="auto"/>
              </w:rPr>
            </w:pPr>
            <w:r>
              <w:rPr>
                <w:rFonts w:ascii="Arial" w:cs="Arial" w:eastAsia="Arial" w:hAnsi="Arial"/>
                <w:sz w:val="18"/>
                <w:szCs w:val="18"/>
                <w:color w:val="auto"/>
              </w:rPr>
              <w:t>·</w:t>
            </w:r>
          </w:p>
        </w:tc>
        <w:tc>
          <w:tcPr>
            <w:tcW w:w="9020" w:type="dxa"/>
            <w:vAlign w:val="bottom"/>
            <w:gridSpan w:val="5"/>
          </w:tcPr>
          <w:p>
            <w:pPr>
              <w:ind w:left="140"/>
              <w:spacing w:after="0"/>
              <w:rPr>
                <w:sz w:val="20"/>
                <w:szCs w:val="20"/>
                <w:color w:val="auto"/>
              </w:rPr>
            </w:pPr>
            <w:r>
              <w:rPr>
                <w:rFonts w:ascii="Arial" w:cs="Arial" w:eastAsia="Arial" w:hAnsi="Arial"/>
                <w:sz w:val="18"/>
                <w:szCs w:val="18"/>
                <w:color w:val="auto"/>
              </w:rPr>
              <w:t>Maximo (Plant Maintenance)</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rPr>
              <w:t>·   ComplianceWire Learning Management System</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rPr>
              <w:t>·   LIMS (Thermo Scientific Laboratory Information Management System)</w:t>
            </w:r>
          </w:p>
        </w:tc>
      </w:tr>
      <w:tr>
        <w:trPr>
          <w:trHeight w:val="432"/>
        </w:trPr>
        <w:tc>
          <w:tcPr>
            <w:tcW w:w="1480" w:type="dxa"/>
            <w:vAlign w:val="bottom"/>
          </w:tcPr>
          <w:p>
            <w:pPr>
              <w:spacing w:after="0"/>
              <w:rPr>
                <w:sz w:val="24"/>
                <w:szCs w:val="24"/>
                <w:color w:val="auto"/>
              </w:rPr>
            </w:pPr>
          </w:p>
        </w:tc>
        <w:tc>
          <w:tcPr>
            <w:tcW w:w="960" w:type="dxa"/>
            <w:vAlign w:val="bottom"/>
          </w:tcPr>
          <w:p>
            <w:pPr>
              <w:ind w:left="820"/>
              <w:spacing w:after="0"/>
              <w:rPr>
                <w:sz w:val="20"/>
                <w:szCs w:val="20"/>
                <w:color w:val="auto"/>
              </w:rPr>
            </w:pPr>
            <w:r>
              <w:rPr>
                <w:rFonts w:ascii="Arial" w:cs="Arial" w:eastAsia="Arial" w:hAnsi="Arial"/>
                <w:sz w:val="18"/>
                <w:szCs w:val="18"/>
                <w:color w:val="auto"/>
              </w:rPr>
              <w:t>·</w:t>
            </w:r>
          </w:p>
        </w:tc>
        <w:tc>
          <w:tcPr>
            <w:tcW w:w="9020" w:type="dxa"/>
            <w:vAlign w:val="bottom"/>
            <w:gridSpan w:val="5"/>
          </w:tcPr>
          <w:p>
            <w:pPr>
              <w:ind w:left="140"/>
              <w:spacing w:after="0"/>
              <w:rPr>
                <w:sz w:val="20"/>
                <w:szCs w:val="20"/>
                <w:color w:val="auto"/>
              </w:rPr>
            </w:pPr>
            <w:r>
              <w:rPr>
                <w:rFonts w:ascii="Arial" w:cs="Arial" w:eastAsia="Arial" w:hAnsi="Arial"/>
                <w:sz w:val="18"/>
                <w:szCs w:val="18"/>
                <w:color w:val="auto"/>
              </w:rPr>
              <w:t>SDMS/ELN (Waters)</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rPr>
              <w:t>·   SLIM (H&amp;A Scientific Stability Laboratory Information System)</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rPr>
              <w:t>·   Veeva Vault (QA Doc Mgt)</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rPr>
              <w:t>·   Octagon and SafeBio Pharma (Regulatory Submissions and eSignature)</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rPr>
              <w:t>·   External Collaboration (SharePoint, Extranets)</w:t>
            </w:r>
          </w:p>
        </w:tc>
      </w:tr>
      <w:tr>
        <w:trPr>
          <w:trHeight w:val="432"/>
        </w:trPr>
        <w:tc>
          <w:tcPr>
            <w:tcW w:w="1480" w:type="dxa"/>
            <w:vAlign w:val="bottom"/>
          </w:tcPr>
          <w:p>
            <w:pPr>
              <w:spacing w:after="0"/>
              <w:rPr>
                <w:sz w:val="24"/>
                <w:szCs w:val="24"/>
                <w:color w:val="auto"/>
              </w:rPr>
            </w:pPr>
          </w:p>
        </w:tc>
        <w:tc>
          <w:tcPr>
            <w:tcW w:w="960" w:type="dxa"/>
            <w:vAlign w:val="bottom"/>
          </w:tcPr>
          <w:p>
            <w:pPr>
              <w:ind w:left="820"/>
              <w:spacing w:after="0"/>
              <w:rPr>
                <w:sz w:val="20"/>
                <w:szCs w:val="20"/>
                <w:color w:val="auto"/>
              </w:rPr>
            </w:pPr>
            <w:r>
              <w:rPr>
                <w:rFonts w:ascii="Arial" w:cs="Arial" w:eastAsia="Arial" w:hAnsi="Arial"/>
                <w:sz w:val="18"/>
                <w:szCs w:val="18"/>
                <w:color w:val="auto"/>
              </w:rPr>
              <w:t>·</w:t>
            </w:r>
          </w:p>
        </w:tc>
        <w:tc>
          <w:tcPr>
            <w:tcW w:w="9020" w:type="dxa"/>
            <w:vAlign w:val="bottom"/>
            <w:gridSpan w:val="5"/>
          </w:tcPr>
          <w:p>
            <w:pPr>
              <w:ind w:left="140"/>
              <w:spacing w:after="0"/>
              <w:rPr>
                <w:sz w:val="20"/>
                <w:szCs w:val="20"/>
                <w:color w:val="auto"/>
              </w:rPr>
            </w:pPr>
            <w:r>
              <w:rPr>
                <w:rFonts w:ascii="Arial" w:cs="Arial" w:eastAsia="Arial" w:hAnsi="Arial"/>
                <w:sz w:val="18"/>
                <w:szCs w:val="18"/>
                <w:color w:val="auto"/>
              </w:rPr>
              <w:t>Intranet Support Services</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rPr>
              <w:t>·   E-mail (SmartPhone, Tablet, Exchange, External gateways, Mobile Device Management, Spam Filtering, PGP)</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rPr>
              <w:t>·   IT Help Desk Application (ServiceNow)</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rPr>
              <w:t>·   Data separation / parsing for each application above</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w w:val="96"/>
              </w:rPr>
              <w:t>·   Modifications to existing system configuration, reports and interfaces to support application and source data changes</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rPr>
              <w:t>·   Development of new reports and interfaces necessary to support Alkermes Gainesville</w:t>
            </w:r>
          </w:p>
        </w:tc>
      </w:tr>
      <w:tr>
        <w:trPr>
          <w:trHeight w:val="348"/>
        </w:trPr>
        <w:tc>
          <w:tcPr>
            <w:tcW w:w="1480" w:type="dxa"/>
            <w:vAlign w:val="bottom"/>
            <w:tcBorders>
              <w:bottom w:val="single" w:sz="8" w:color="010101"/>
            </w:tcBorders>
          </w:tcPr>
          <w:p>
            <w:pPr>
              <w:spacing w:after="0"/>
              <w:rPr>
                <w:sz w:val="24"/>
                <w:szCs w:val="24"/>
                <w:color w:val="auto"/>
              </w:rPr>
            </w:pPr>
          </w:p>
        </w:tc>
        <w:tc>
          <w:tcPr>
            <w:tcW w:w="3500" w:type="dxa"/>
            <w:vAlign w:val="bottom"/>
            <w:tcBorders>
              <w:bottom w:val="single" w:sz="8" w:color="010101"/>
            </w:tcBorders>
            <w:gridSpan w:val="2"/>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82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r>
      <w:tr>
        <w:trPr>
          <w:trHeight w:val="766"/>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w w:val="99"/>
              </w:rPr>
              <w:t>·   End-user Computing Infrastructure (Internet, SEP/PGP Wireless, Remote PC Desktop Control, Self-Service P/W</w:t>
            </w:r>
          </w:p>
        </w:tc>
      </w:tr>
      <w:tr>
        <w:trPr>
          <w:trHeight w:val="230"/>
        </w:trPr>
        <w:tc>
          <w:tcPr>
            <w:tcW w:w="1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20" w:type="dxa"/>
            <w:vAlign w:val="bottom"/>
            <w:gridSpan w:val="5"/>
          </w:tcPr>
          <w:p>
            <w:pPr>
              <w:ind w:left="180"/>
              <w:spacing w:after="0"/>
              <w:rPr>
                <w:sz w:val="20"/>
                <w:szCs w:val="20"/>
                <w:color w:val="auto"/>
              </w:rPr>
            </w:pPr>
            <w:r>
              <w:rPr>
                <w:rFonts w:ascii="Arial" w:cs="Arial" w:eastAsia="Arial" w:hAnsi="Arial"/>
                <w:sz w:val="18"/>
                <w:szCs w:val="18"/>
                <w:color w:val="auto"/>
              </w:rPr>
              <w:t>Management, PC Helps/Vitalyst desktop support)</w:t>
            </w:r>
          </w:p>
        </w:tc>
      </w:tr>
      <w:tr>
        <w:trPr>
          <w:trHeight w:val="432"/>
        </w:trPr>
        <w:tc>
          <w:tcPr>
            <w:tcW w:w="1480" w:type="dxa"/>
            <w:vAlign w:val="bottom"/>
          </w:tcPr>
          <w:p>
            <w:pPr>
              <w:spacing w:after="0"/>
              <w:rPr>
                <w:sz w:val="24"/>
                <w:szCs w:val="24"/>
                <w:color w:val="auto"/>
              </w:rPr>
            </w:pPr>
          </w:p>
        </w:tc>
        <w:tc>
          <w:tcPr>
            <w:tcW w:w="960" w:type="dxa"/>
            <w:vAlign w:val="bottom"/>
          </w:tcPr>
          <w:p>
            <w:pPr>
              <w:ind w:left="820"/>
              <w:spacing w:after="0"/>
              <w:rPr>
                <w:sz w:val="20"/>
                <w:szCs w:val="20"/>
                <w:color w:val="auto"/>
              </w:rPr>
            </w:pPr>
            <w:r>
              <w:rPr>
                <w:rFonts w:ascii="Arial" w:cs="Arial" w:eastAsia="Arial" w:hAnsi="Arial"/>
                <w:sz w:val="18"/>
                <w:szCs w:val="18"/>
                <w:color w:val="auto"/>
              </w:rPr>
              <w:t>·</w:t>
            </w:r>
          </w:p>
        </w:tc>
        <w:tc>
          <w:tcPr>
            <w:tcW w:w="9020" w:type="dxa"/>
            <w:vAlign w:val="bottom"/>
            <w:gridSpan w:val="5"/>
          </w:tcPr>
          <w:p>
            <w:pPr>
              <w:ind w:left="140"/>
              <w:spacing w:after="0"/>
              <w:rPr>
                <w:sz w:val="20"/>
                <w:szCs w:val="20"/>
                <w:color w:val="auto"/>
              </w:rPr>
            </w:pPr>
            <w:r>
              <w:rPr>
                <w:rFonts w:ascii="Arial" w:cs="Arial" w:eastAsia="Arial" w:hAnsi="Arial"/>
                <w:sz w:val="18"/>
                <w:szCs w:val="18"/>
                <w:color w:val="auto"/>
              </w:rPr>
              <w:t>Wide Area Network</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rPr>
              <w:t>·   Active Directory Domain Services Support</w:t>
            </w:r>
          </w:p>
        </w:tc>
      </w:tr>
      <w:tr>
        <w:trPr>
          <w:trHeight w:val="418"/>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w w:val="99"/>
              </w:rPr>
              <w:t>·   Network Infrastructure Services and Support (Backup/Replication, Monitoring, Anti-virus, VMware, Web Filtering,</w:t>
            </w:r>
          </w:p>
        </w:tc>
      </w:tr>
      <w:tr>
        <w:trPr>
          <w:trHeight w:val="230"/>
        </w:trPr>
        <w:tc>
          <w:tcPr>
            <w:tcW w:w="1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20" w:type="dxa"/>
            <w:vAlign w:val="bottom"/>
            <w:gridSpan w:val="5"/>
          </w:tcPr>
          <w:p>
            <w:pPr>
              <w:ind w:left="180"/>
              <w:spacing w:after="0"/>
              <w:rPr>
                <w:sz w:val="20"/>
                <w:szCs w:val="20"/>
                <w:color w:val="auto"/>
              </w:rPr>
            </w:pPr>
            <w:r>
              <w:rPr>
                <w:rFonts w:ascii="Arial" w:cs="Arial" w:eastAsia="Arial" w:hAnsi="Arial"/>
                <w:sz w:val="18"/>
                <w:szCs w:val="18"/>
                <w:color w:val="auto"/>
              </w:rPr>
              <w:t>Firewalls, etc.)</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rPr>
              <w:t>·   Remote Access System Support / VPN</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rPr>
              <w:t>·   IT Contracts Management and Support</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rPr>
              <w:t>·   IT Security Services and Support</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820"/>
              <w:spacing w:after="0"/>
              <w:rPr>
                <w:sz w:val="20"/>
                <w:szCs w:val="20"/>
                <w:color w:val="auto"/>
              </w:rPr>
            </w:pPr>
            <w:r>
              <w:rPr>
                <w:rFonts w:ascii="Arial" w:cs="Arial" w:eastAsia="Arial" w:hAnsi="Arial"/>
                <w:sz w:val="18"/>
                <w:szCs w:val="18"/>
                <w:color w:val="auto"/>
              </w:rPr>
              <w:t>·   Pharmacovigilance / Adverse Event Reporting Services</w:t>
            </w:r>
          </w:p>
        </w:tc>
      </w:tr>
      <w:tr>
        <w:trPr>
          <w:trHeight w:val="432"/>
        </w:trPr>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20" w:type="dxa"/>
            <w:vAlign w:val="bottom"/>
            <w:gridSpan w:val="5"/>
          </w:tcPr>
          <w:p>
            <w:pPr>
              <w:jc w:val="center"/>
              <w:ind w:right="2460"/>
              <w:spacing w:after="0"/>
              <w:rPr>
                <w:sz w:val="20"/>
                <w:szCs w:val="20"/>
                <w:color w:val="auto"/>
              </w:rPr>
            </w:pPr>
            <w:r>
              <w:rPr>
                <w:rFonts w:ascii="Arial" w:cs="Arial" w:eastAsia="Arial" w:hAnsi="Arial"/>
                <w:sz w:val="18"/>
                <w:szCs w:val="18"/>
                <w:b w:val="1"/>
                <w:bCs w:val="1"/>
                <w:color w:val="auto"/>
              </w:rPr>
              <w:t>Part I(b): EXCLUDED IT SERVICES</w:t>
            </w:r>
          </w:p>
        </w:tc>
      </w:tr>
      <w:tr>
        <w:trPr>
          <w:trHeight w:val="418"/>
        </w:trPr>
        <w:tc>
          <w:tcPr>
            <w:tcW w:w="1480" w:type="dxa"/>
            <w:vAlign w:val="bottom"/>
          </w:tcPr>
          <w:p>
            <w:pPr>
              <w:spacing w:after="0"/>
              <w:rPr>
                <w:sz w:val="20"/>
                <w:szCs w:val="20"/>
                <w:color w:val="auto"/>
              </w:rPr>
            </w:pPr>
            <w:r>
              <w:rPr>
                <w:rFonts w:ascii="Arial" w:cs="Arial" w:eastAsia="Arial" w:hAnsi="Arial"/>
                <w:sz w:val="18"/>
                <w:szCs w:val="18"/>
                <w:b w:val="1"/>
                <w:bCs w:val="1"/>
                <w:color w:val="auto"/>
              </w:rPr>
              <w:t>Services:</w:t>
            </w:r>
          </w:p>
        </w:tc>
        <w:tc>
          <w:tcPr>
            <w:tcW w:w="9980" w:type="dxa"/>
            <w:vAlign w:val="bottom"/>
            <w:gridSpan w:val="6"/>
          </w:tcPr>
          <w:p>
            <w:pPr>
              <w:ind w:left="780"/>
              <w:spacing w:after="0"/>
              <w:rPr>
                <w:sz w:val="20"/>
                <w:szCs w:val="20"/>
                <w:color w:val="auto"/>
              </w:rPr>
            </w:pPr>
            <w:r>
              <w:rPr>
                <w:rFonts w:ascii="Arial" w:cs="Arial" w:eastAsia="Arial" w:hAnsi="Arial"/>
                <w:sz w:val="18"/>
                <w:szCs w:val="18"/>
                <w:color w:val="auto"/>
                <w:w w:val="91"/>
              </w:rPr>
              <w:t>The services described below are those that are currently in use by Supplier and its Subsidiaries with respect to the Business.</w:t>
            </w:r>
          </w:p>
        </w:tc>
      </w:tr>
      <w:tr>
        <w:trPr>
          <w:trHeight w:val="216"/>
        </w:trPr>
        <w:tc>
          <w:tcPr>
            <w:tcW w:w="1480" w:type="dxa"/>
            <w:vAlign w:val="bottom"/>
          </w:tcPr>
          <w:p>
            <w:pPr>
              <w:spacing w:after="0"/>
              <w:rPr>
                <w:sz w:val="18"/>
                <w:szCs w:val="18"/>
                <w:color w:val="auto"/>
              </w:rPr>
            </w:pPr>
          </w:p>
        </w:tc>
        <w:tc>
          <w:tcPr>
            <w:tcW w:w="9980" w:type="dxa"/>
            <w:vAlign w:val="bottom"/>
            <w:gridSpan w:val="6"/>
          </w:tcPr>
          <w:p>
            <w:pPr>
              <w:ind w:left="780"/>
              <w:spacing w:after="0"/>
              <w:rPr>
                <w:sz w:val="20"/>
                <w:szCs w:val="20"/>
                <w:color w:val="auto"/>
              </w:rPr>
            </w:pPr>
            <w:r>
              <w:rPr>
                <w:rFonts w:ascii="Arial" w:cs="Arial" w:eastAsia="Arial" w:hAnsi="Arial"/>
                <w:sz w:val="18"/>
                <w:szCs w:val="18"/>
                <w:color w:val="auto"/>
                <w:w w:val="97"/>
              </w:rPr>
              <w:t>Supplier and Recipient Representative have agreed that the Services listed below will not be put in place as part of the</w:t>
            </w:r>
          </w:p>
        </w:tc>
      </w:tr>
      <w:tr>
        <w:trPr>
          <w:trHeight w:val="230"/>
        </w:trPr>
        <w:tc>
          <w:tcPr>
            <w:tcW w:w="1480" w:type="dxa"/>
            <w:vAlign w:val="bottom"/>
          </w:tcPr>
          <w:p>
            <w:pPr>
              <w:spacing w:after="0"/>
              <w:rPr>
                <w:sz w:val="20"/>
                <w:szCs w:val="20"/>
                <w:color w:val="auto"/>
              </w:rPr>
            </w:pPr>
          </w:p>
        </w:tc>
        <w:tc>
          <w:tcPr>
            <w:tcW w:w="9980" w:type="dxa"/>
            <w:vAlign w:val="bottom"/>
            <w:gridSpan w:val="6"/>
          </w:tcPr>
          <w:p>
            <w:pPr>
              <w:ind w:left="780"/>
              <w:spacing w:after="0"/>
              <w:rPr>
                <w:sz w:val="20"/>
                <w:szCs w:val="20"/>
                <w:color w:val="auto"/>
              </w:rPr>
            </w:pPr>
            <w:r>
              <w:rPr>
                <w:rFonts w:ascii="Arial" w:cs="Arial" w:eastAsia="Arial" w:hAnsi="Arial"/>
                <w:sz w:val="18"/>
                <w:szCs w:val="18"/>
                <w:color w:val="auto"/>
              </w:rPr>
              <w:t>Transition Services:</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780"/>
              <w:spacing w:after="0"/>
              <w:rPr>
                <w:sz w:val="20"/>
                <w:szCs w:val="20"/>
                <w:color w:val="auto"/>
              </w:rPr>
            </w:pPr>
            <w:r>
              <w:rPr>
                <w:rFonts w:ascii="Arial" w:cs="Arial" w:eastAsia="Arial" w:hAnsi="Arial"/>
                <w:sz w:val="18"/>
                <w:szCs w:val="18"/>
                <w:color w:val="auto"/>
              </w:rPr>
              <w:t>·   Oracle eBusiness Suite HRIS Services</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780"/>
              <w:spacing w:after="0"/>
              <w:rPr>
                <w:sz w:val="20"/>
                <w:szCs w:val="20"/>
                <w:color w:val="auto"/>
              </w:rPr>
            </w:pPr>
            <w:r>
              <w:rPr>
                <w:rFonts w:ascii="Arial" w:cs="Arial" w:eastAsia="Arial" w:hAnsi="Arial"/>
                <w:sz w:val="18"/>
                <w:szCs w:val="18"/>
                <w:color w:val="auto"/>
              </w:rPr>
              <w:t>·   Oracle Fusion (Employee Performance and Comp Planning)</w:t>
            </w:r>
          </w:p>
        </w:tc>
      </w:tr>
      <w:tr>
        <w:trPr>
          <w:trHeight w:val="432"/>
        </w:trPr>
        <w:tc>
          <w:tcPr>
            <w:tcW w:w="1480" w:type="dxa"/>
            <w:vAlign w:val="bottom"/>
          </w:tcPr>
          <w:p>
            <w:pPr>
              <w:spacing w:after="0"/>
              <w:rPr>
                <w:sz w:val="24"/>
                <w:szCs w:val="24"/>
                <w:color w:val="auto"/>
              </w:rPr>
            </w:pPr>
          </w:p>
        </w:tc>
        <w:tc>
          <w:tcPr>
            <w:tcW w:w="9980" w:type="dxa"/>
            <w:vAlign w:val="bottom"/>
            <w:gridSpan w:val="6"/>
          </w:tcPr>
          <w:p>
            <w:pPr>
              <w:ind w:left="780"/>
              <w:spacing w:after="0"/>
              <w:rPr>
                <w:sz w:val="20"/>
                <w:szCs w:val="20"/>
                <w:color w:val="auto"/>
              </w:rPr>
            </w:pPr>
            <w:r>
              <w:rPr>
                <w:rFonts w:ascii="Arial" w:cs="Arial" w:eastAsia="Arial" w:hAnsi="Arial"/>
                <w:sz w:val="18"/>
                <w:szCs w:val="18"/>
                <w:color w:val="auto"/>
              </w:rPr>
              <w:t>·   Concur Travel &amp; Expense System</w:t>
            </w:r>
          </w:p>
        </w:tc>
      </w:tr>
      <w:tr>
        <w:trPr>
          <w:trHeight w:val="432"/>
        </w:trPr>
        <w:tc>
          <w:tcPr>
            <w:tcW w:w="1480" w:type="dxa"/>
            <w:vAlign w:val="bottom"/>
          </w:tcPr>
          <w:p>
            <w:pPr>
              <w:spacing w:after="0"/>
              <w:rPr>
                <w:sz w:val="24"/>
                <w:szCs w:val="24"/>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9020" w:type="dxa"/>
            <w:vAlign w:val="bottom"/>
            <w:gridSpan w:val="5"/>
          </w:tcPr>
          <w:p>
            <w:pPr>
              <w:ind w:left="120"/>
              <w:spacing w:after="0"/>
              <w:rPr>
                <w:sz w:val="20"/>
                <w:szCs w:val="20"/>
                <w:color w:val="auto"/>
              </w:rPr>
            </w:pPr>
            <w:r>
              <w:rPr>
                <w:rFonts w:ascii="Arial" w:cs="Arial" w:eastAsia="Arial" w:hAnsi="Arial"/>
                <w:sz w:val="18"/>
                <w:szCs w:val="18"/>
                <w:color w:val="auto"/>
              </w:rPr>
              <w:t>ADP Payroll/ADP Connect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-4641215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-4641215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67" w:right="199" w:bottom="0" w:gutter="0" w:footer="0" w:header="0"/>
        </w:sectPr>
      </w:pPr>
    </w:p>
    <w:bookmarkStart w:id="48" w:name="page49"/>
    <w:bookmarkEnd w:id="48"/>
    <w:p>
      <w:pPr>
        <w:spacing w:after="0" w:line="36" w:lineRule="exact"/>
        <w:rPr>
          <w:sz w:val="20"/>
          <w:szCs w:val="20"/>
          <w:color w:val="auto"/>
        </w:rPr>
      </w:pPr>
    </w:p>
    <w:p>
      <w:pPr>
        <w:ind w:left="2560" w:hanging="297"/>
        <w:spacing w:after="0"/>
        <w:tabs>
          <w:tab w:leader="none" w:pos="25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NextDocs (Change Control)</w:t>
      </w:r>
    </w:p>
    <w:p>
      <w:pPr>
        <w:spacing w:after="0" w:line="225" w:lineRule="exact"/>
        <w:rPr>
          <w:rFonts w:ascii="Arial" w:cs="Arial" w:eastAsia="Arial" w:hAnsi="Arial"/>
          <w:sz w:val="18"/>
          <w:szCs w:val="18"/>
          <w:color w:val="auto"/>
        </w:rPr>
      </w:pPr>
    </w:p>
    <w:p>
      <w:pPr>
        <w:ind w:left="2560" w:hanging="297"/>
        <w:spacing w:after="0"/>
        <w:tabs>
          <w:tab w:leader="none" w:pos="25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Taleo (HR Recruiting and Applicant Tracking)</w:t>
      </w:r>
    </w:p>
    <w:p>
      <w:pPr>
        <w:spacing w:after="0" w:line="225" w:lineRule="exact"/>
        <w:rPr>
          <w:rFonts w:ascii="Arial" w:cs="Arial" w:eastAsia="Arial" w:hAnsi="Arial"/>
          <w:sz w:val="18"/>
          <w:szCs w:val="18"/>
          <w:color w:val="auto"/>
        </w:rPr>
      </w:pPr>
    </w:p>
    <w:p>
      <w:pPr>
        <w:ind w:left="2560" w:hanging="297"/>
        <w:spacing w:after="0"/>
        <w:tabs>
          <w:tab w:leader="none" w:pos="25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Okta (Single-Signon)</w:t>
      </w:r>
    </w:p>
    <w:p>
      <w:pPr>
        <w:spacing w:after="0" w:line="225" w:lineRule="exact"/>
        <w:rPr>
          <w:rFonts w:ascii="Arial" w:cs="Arial" w:eastAsia="Arial" w:hAnsi="Arial"/>
          <w:sz w:val="18"/>
          <w:szCs w:val="18"/>
          <w:color w:val="auto"/>
        </w:rPr>
      </w:pPr>
    </w:p>
    <w:p>
      <w:pPr>
        <w:ind w:left="2560" w:hanging="297"/>
        <w:spacing w:after="0"/>
        <w:tabs>
          <w:tab w:leader="none" w:pos="25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Third-Party Personnel Benefit Providers</w:t>
      </w:r>
    </w:p>
    <w:p>
      <w:pPr>
        <w:spacing w:after="0" w:line="225" w:lineRule="exact"/>
        <w:rPr>
          <w:rFonts w:ascii="Arial" w:cs="Arial" w:eastAsia="Arial" w:hAnsi="Arial"/>
          <w:sz w:val="18"/>
          <w:szCs w:val="18"/>
          <w:color w:val="auto"/>
        </w:rPr>
      </w:pPr>
    </w:p>
    <w:p>
      <w:pPr>
        <w:ind w:left="2560" w:hanging="297"/>
        <w:spacing w:after="0"/>
        <w:tabs>
          <w:tab w:leader="none" w:pos="25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Backup Support Services (NetBackup, Data Domain)</w:t>
      </w:r>
    </w:p>
    <w:p>
      <w:pPr>
        <w:spacing w:after="0" w:line="225" w:lineRule="exact"/>
        <w:rPr>
          <w:rFonts w:ascii="Arial" w:cs="Arial" w:eastAsia="Arial" w:hAnsi="Arial"/>
          <w:sz w:val="18"/>
          <w:szCs w:val="18"/>
          <w:color w:val="auto"/>
        </w:rPr>
      </w:pPr>
    </w:p>
    <w:p>
      <w:pPr>
        <w:ind w:left="2560" w:hanging="297"/>
        <w:spacing w:after="0"/>
        <w:tabs>
          <w:tab w:leader="none" w:pos="25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 Quality Management Services and Support</w:t>
      </w:r>
    </w:p>
    <w:p>
      <w:pPr>
        <w:spacing w:after="0" w:line="225" w:lineRule="exact"/>
        <w:rPr>
          <w:rFonts w:ascii="Arial" w:cs="Arial" w:eastAsia="Arial" w:hAnsi="Arial"/>
          <w:sz w:val="18"/>
          <w:szCs w:val="18"/>
          <w:color w:val="auto"/>
        </w:rPr>
      </w:pPr>
    </w:p>
    <w:p>
      <w:pPr>
        <w:ind w:left="2560" w:hanging="297"/>
        <w:spacing w:after="0"/>
        <w:tabs>
          <w:tab w:leader="none" w:pos="25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 Management System (ITMS) Framework, Audit and Control Testing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60" w:right="620"/>
        <w:spacing w:after="0" w:line="264" w:lineRule="auto"/>
        <w:rPr>
          <w:sz w:val="20"/>
          <w:szCs w:val="20"/>
          <w:color w:val="auto"/>
        </w:rPr>
      </w:pPr>
      <w:r>
        <w:rPr>
          <w:rFonts w:ascii="Arial" w:cs="Arial" w:eastAsia="Arial" w:hAnsi="Arial"/>
          <w:sz w:val="18"/>
          <w:szCs w:val="18"/>
          <w:color w:val="auto"/>
        </w:rPr>
        <w:t>Supplier shall provide, as part of the Migration Services, to Recipient flat files, data and/or an alternate solution (where appropriate) from the services described above in this Part I(b) of Schedule 2 as of the Closing Date, along with a file description.</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OTHER</w:t>
      </w:r>
    </w:p>
    <w:p>
      <w:pPr>
        <w:spacing w:after="0" w:line="229"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Services:</w:t>
      </w:r>
      <w:r>
        <w:rPr>
          <w:sz w:val="20"/>
          <w:szCs w:val="20"/>
          <w:color w:val="auto"/>
        </w:rPr>
        <w:tab/>
      </w:r>
      <w:r>
        <w:rPr>
          <w:rFonts w:ascii="Arial" w:cs="Arial" w:eastAsia="Arial" w:hAnsi="Arial"/>
          <w:sz w:val="18"/>
          <w:szCs w:val="18"/>
          <w:color w:val="auto"/>
        </w:rPr>
        <w:t>Supplier will provide the following agreed Services to Recipients:</w:t>
      </w:r>
    </w:p>
    <w:p>
      <w:pPr>
        <w:spacing w:after="0" w:line="225" w:lineRule="exact"/>
        <w:rPr>
          <w:sz w:val="20"/>
          <w:szCs w:val="20"/>
          <w:color w:val="auto"/>
        </w:rPr>
      </w:pPr>
    </w:p>
    <w:p>
      <w:pPr>
        <w:ind w:left="2560" w:hanging="297"/>
        <w:spacing w:after="0"/>
        <w:tabs>
          <w:tab w:leader="none" w:pos="25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Transition Services with respect to ongoing prosecution of the patent applications owned by the Company</w:t>
      </w:r>
    </w:p>
    <w:p>
      <w:pPr>
        <w:spacing w:after="0" w:line="225" w:lineRule="exact"/>
        <w:rPr>
          <w:rFonts w:ascii="Arial" w:cs="Arial" w:eastAsia="Arial" w:hAnsi="Arial"/>
          <w:sz w:val="18"/>
          <w:szCs w:val="18"/>
          <w:color w:val="auto"/>
        </w:rPr>
      </w:pPr>
    </w:p>
    <w:p>
      <w:pPr>
        <w:ind w:left="2580" w:right="720" w:hanging="317"/>
        <w:spacing w:after="0" w:line="277" w:lineRule="auto"/>
        <w:tabs>
          <w:tab w:leader="none" w:pos="254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Transition Services with respect to SOX controls for Alkermes Gainesville, i.e., documentation that identifies key processes and key controls within those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EXHIBIT B</w:t>
            </w:r>
          </w:p>
        </w:tc>
        <w:tc>
          <w:tcPr>
            <w:tcW w:w="5300" w:type="dxa"/>
            <w:vAlign w:val="bottom"/>
            <w:gridSpan w:val="6"/>
          </w:tcPr>
          <w:p>
            <w:pPr>
              <w:spacing w:after="0"/>
              <w:rPr>
                <w:sz w:val="18"/>
                <w:szCs w:val="18"/>
                <w:color w:val="auto"/>
              </w:rPr>
            </w:pPr>
          </w:p>
        </w:tc>
      </w:tr>
      <w:tr>
        <w:trPr>
          <w:trHeight w:val="453"/>
        </w:trPr>
        <w:tc>
          <w:tcPr>
            <w:tcW w:w="1620" w:type="dxa"/>
            <w:vAlign w:val="bottom"/>
          </w:tcPr>
          <w:p>
            <w:pPr>
              <w:spacing w:after="0"/>
              <w:rPr>
                <w:sz w:val="24"/>
                <w:szCs w:val="24"/>
                <w:color w:val="auto"/>
              </w:rPr>
            </w:pPr>
          </w:p>
        </w:tc>
        <w:tc>
          <w:tcPr>
            <w:tcW w:w="9840" w:type="dxa"/>
            <w:vAlign w:val="bottom"/>
            <w:gridSpan w:val="16"/>
          </w:tcPr>
          <w:p>
            <w:pPr>
              <w:jc w:val="center"/>
              <w:ind w:right="1660"/>
              <w:spacing w:after="0"/>
              <w:rPr>
                <w:sz w:val="20"/>
                <w:szCs w:val="20"/>
                <w:color w:val="auto"/>
              </w:rPr>
            </w:pPr>
            <w:r>
              <w:rPr>
                <w:rFonts w:ascii="Arial" w:cs="Arial" w:eastAsia="Arial" w:hAnsi="Arial"/>
                <w:sz w:val="18"/>
                <w:szCs w:val="18"/>
                <w:b w:val="1"/>
                <w:bCs w:val="1"/>
                <w:color w:val="auto"/>
                <w:w w:val="91"/>
              </w:rPr>
              <w:t>Terms for a Development, Manufacturing and Supply Agreement for BC Parenteral Meloxicam</w:t>
            </w:r>
          </w:p>
        </w:tc>
      </w:tr>
      <w:tr>
        <w:trPr>
          <w:trHeight w:val="418"/>
        </w:trPr>
        <w:tc>
          <w:tcPr>
            <w:tcW w:w="1620" w:type="dxa"/>
            <w:vAlign w:val="bottom"/>
          </w:tcPr>
          <w:p>
            <w:pPr>
              <w:spacing w:after="0"/>
              <w:rPr>
                <w:sz w:val="20"/>
                <w:szCs w:val="20"/>
                <w:color w:val="auto"/>
              </w:rPr>
            </w:pPr>
            <w:r>
              <w:rPr>
                <w:rFonts w:ascii="Arial" w:cs="Arial" w:eastAsia="Arial" w:hAnsi="Arial"/>
                <w:sz w:val="18"/>
                <w:szCs w:val="18"/>
                <w:b w:val="1"/>
                <w:bCs w:val="1"/>
                <w:color w:val="auto"/>
              </w:rPr>
              <w:t>Concept:</w:t>
            </w:r>
          </w:p>
        </w:tc>
        <w:tc>
          <w:tcPr>
            <w:tcW w:w="9840" w:type="dxa"/>
            <w:vAlign w:val="bottom"/>
            <w:gridSpan w:val="16"/>
          </w:tcPr>
          <w:p>
            <w:pPr>
              <w:ind w:left="760"/>
              <w:spacing w:after="0"/>
              <w:rPr>
                <w:sz w:val="20"/>
                <w:szCs w:val="20"/>
                <w:color w:val="auto"/>
              </w:rPr>
            </w:pPr>
            <w:r>
              <w:rPr>
                <w:rFonts w:ascii="Arial" w:cs="Arial" w:eastAsia="Arial" w:hAnsi="Arial"/>
                <w:sz w:val="18"/>
                <w:szCs w:val="18"/>
                <w:color w:val="auto"/>
                <w:w w:val="94"/>
              </w:rPr>
              <w:t>This Exhibit B sets forth certain terms agreed upon by the Parties relating to (A) the clinical supply of Finished Meloxicam</w:t>
            </w:r>
          </w:p>
        </w:tc>
      </w:tr>
      <w:tr>
        <w:trPr>
          <w:trHeight w:val="216"/>
        </w:trPr>
        <w:tc>
          <w:tcPr>
            <w:tcW w:w="1620" w:type="dxa"/>
            <w:vAlign w:val="bottom"/>
          </w:tcPr>
          <w:p>
            <w:pPr>
              <w:spacing w:after="0"/>
              <w:rPr>
                <w:sz w:val="18"/>
                <w:szCs w:val="18"/>
                <w:color w:val="auto"/>
              </w:rPr>
            </w:pPr>
          </w:p>
        </w:tc>
        <w:tc>
          <w:tcPr>
            <w:tcW w:w="9840" w:type="dxa"/>
            <w:vAlign w:val="bottom"/>
            <w:gridSpan w:val="16"/>
          </w:tcPr>
          <w:p>
            <w:pPr>
              <w:ind w:left="760"/>
              <w:spacing w:after="0"/>
              <w:rPr>
                <w:sz w:val="20"/>
                <w:szCs w:val="20"/>
                <w:color w:val="auto"/>
              </w:rPr>
            </w:pPr>
            <w:r>
              <w:rPr>
                <w:rFonts w:ascii="Arial" w:cs="Arial" w:eastAsia="Arial" w:hAnsi="Arial"/>
                <w:sz w:val="18"/>
                <w:szCs w:val="18"/>
                <w:color w:val="auto"/>
                <w:w w:val="92"/>
              </w:rPr>
              <w:t>and BC Parenteral Meloxicam; (B) the provision of development services with respect to the Chemistry, Manufacturing and</w:t>
            </w:r>
          </w:p>
        </w:tc>
      </w:tr>
      <w:tr>
        <w:trPr>
          <w:trHeight w:val="216"/>
        </w:trPr>
        <w:tc>
          <w:tcPr>
            <w:tcW w:w="1620" w:type="dxa"/>
            <w:vAlign w:val="bottom"/>
          </w:tcPr>
          <w:p>
            <w:pPr>
              <w:spacing w:after="0"/>
              <w:rPr>
                <w:sz w:val="18"/>
                <w:szCs w:val="18"/>
                <w:color w:val="auto"/>
              </w:rPr>
            </w:pPr>
          </w:p>
        </w:tc>
        <w:tc>
          <w:tcPr>
            <w:tcW w:w="9840" w:type="dxa"/>
            <w:vAlign w:val="bottom"/>
            <w:gridSpan w:val="16"/>
          </w:tcPr>
          <w:p>
            <w:pPr>
              <w:ind w:left="760"/>
              <w:spacing w:after="0"/>
              <w:rPr>
                <w:sz w:val="20"/>
                <w:szCs w:val="20"/>
                <w:color w:val="auto"/>
              </w:rPr>
            </w:pPr>
            <w:r>
              <w:rPr>
                <w:rFonts w:ascii="Arial" w:cs="Arial" w:eastAsia="Arial" w:hAnsi="Arial"/>
                <w:sz w:val="18"/>
                <w:szCs w:val="18"/>
                <w:color w:val="auto"/>
                <w:w w:val="96"/>
              </w:rPr>
              <w:t>Controls (CMC) section for bulk nanocrystals (in support of clinical trials related to BC Parenteral Meloxicam) of a New</w:t>
            </w:r>
          </w:p>
        </w:tc>
      </w:tr>
      <w:tr>
        <w:trPr>
          <w:trHeight w:val="190"/>
        </w:trPr>
        <w:tc>
          <w:tcPr>
            <w:tcW w:w="1620" w:type="dxa"/>
            <w:vAlign w:val="bottom"/>
          </w:tcPr>
          <w:p>
            <w:pPr>
              <w:spacing w:after="0"/>
              <w:rPr>
                <w:sz w:val="16"/>
                <w:szCs w:val="16"/>
                <w:color w:val="auto"/>
              </w:rPr>
            </w:pPr>
          </w:p>
        </w:tc>
        <w:tc>
          <w:tcPr>
            <w:tcW w:w="9840" w:type="dxa"/>
            <w:vAlign w:val="bottom"/>
            <w:gridSpan w:val="16"/>
          </w:tcPr>
          <w:p>
            <w:pPr>
              <w:ind w:left="760"/>
              <w:spacing w:after="0" w:line="190" w:lineRule="exact"/>
              <w:rPr>
                <w:sz w:val="20"/>
                <w:szCs w:val="20"/>
                <w:color w:val="auto"/>
              </w:rPr>
            </w:pPr>
            <w:r>
              <w:rPr>
                <w:rFonts w:ascii="Arial" w:cs="Arial" w:eastAsia="Arial" w:hAnsi="Arial"/>
                <w:sz w:val="18"/>
                <w:szCs w:val="18"/>
                <w:color w:val="auto"/>
                <w:w w:val="95"/>
              </w:rPr>
              <w:t>Drug Application (“NDA”) for BC Parenteral Meloxicam; and (C) the commercial supply of BC Parenteral Meloxicam (the</w:t>
            </w:r>
          </w:p>
        </w:tc>
      </w:tr>
      <w:tr>
        <w:trPr>
          <w:trHeight w:val="20"/>
        </w:trPr>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840" w:type="dxa"/>
            <w:vAlign w:val="bottom"/>
            <w:gridSpan w:val="16"/>
          </w:tcPr>
          <w:p>
            <w:pPr>
              <w:ind w:left="760"/>
              <w:spacing w:after="0" w:line="196" w:lineRule="exact"/>
              <w:rPr>
                <w:sz w:val="20"/>
                <w:szCs w:val="20"/>
                <w:color w:val="auto"/>
              </w:rPr>
            </w:pPr>
            <w:r>
              <w:rPr>
                <w:rFonts w:ascii="Arial" w:cs="Arial" w:eastAsia="Arial" w:hAnsi="Arial"/>
                <w:sz w:val="18"/>
                <w:szCs w:val="18"/>
                <w:color w:val="auto"/>
                <w:w w:val="94"/>
              </w:rPr>
              <w:t>“Commercial Supply”). The full terms and conditions for each of the foregoing, described in more detail below, will be set</w:t>
            </w:r>
          </w:p>
        </w:tc>
      </w:tr>
      <w:tr>
        <w:trPr>
          <w:trHeight w:val="20"/>
        </w:trPr>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840" w:type="dxa"/>
            <w:vAlign w:val="bottom"/>
            <w:gridSpan w:val="16"/>
          </w:tcPr>
          <w:p>
            <w:pPr>
              <w:ind w:left="760"/>
              <w:spacing w:after="0" w:line="196" w:lineRule="exact"/>
              <w:rPr>
                <w:sz w:val="20"/>
                <w:szCs w:val="20"/>
                <w:color w:val="auto"/>
              </w:rPr>
            </w:pPr>
            <w:r>
              <w:rPr>
                <w:rFonts w:ascii="Arial" w:cs="Arial" w:eastAsia="Arial" w:hAnsi="Arial"/>
                <w:sz w:val="18"/>
                <w:szCs w:val="18"/>
                <w:color w:val="auto"/>
                <w:w w:val="95"/>
              </w:rPr>
              <w:t>forth in a definitive Development, Manufacturing and Supply Agreement (the “Development and Supply Agreement”) by</w:t>
            </w:r>
          </w:p>
        </w:tc>
      </w:tr>
      <w:tr>
        <w:trPr>
          <w:trHeight w:val="20"/>
        </w:trPr>
        <w:tc>
          <w:tcPr>
            <w:tcW w:w="16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840" w:type="dxa"/>
            <w:vAlign w:val="bottom"/>
            <w:gridSpan w:val="16"/>
          </w:tcPr>
          <w:p>
            <w:pPr>
              <w:ind w:left="760"/>
              <w:spacing w:after="0" w:line="196" w:lineRule="exact"/>
              <w:rPr>
                <w:sz w:val="20"/>
                <w:szCs w:val="20"/>
                <w:color w:val="auto"/>
              </w:rPr>
            </w:pPr>
            <w:r>
              <w:rPr>
                <w:rFonts w:ascii="Arial" w:cs="Arial" w:eastAsia="Arial" w:hAnsi="Arial"/>
                <w:sz w:val="18"/>
                <w:szCs w:val="18"/>
                <w:color w:val="auto"/>
              </w:rPr>
              <w:t>and between Alkermes Pharma Ireland Limited (“APIL”) and Recro Pharma LLC (“Recro Sub”) to be executed in</w:t>
            </w:r>
          </w:p>
        </w:tc>
      </w:tr>
      <w:tr>
        <w:trPr>
          <w:trHeight w:val="20"/>
        </w:trPr>
        <w:tc>
          <w:tcPr>
            <w:tcW w:w="16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r>
      <w:tr>
        <w:trPr>
          <w:trHeight w:val="222"/>
        </w:trPr>
        <w:tc>
          <w:tcPr>
            <w:tcW w:w="1620" w:type="dxa"/>
            <w:vAlign w:val="bottom"/>
          </w:tcPr>
          <w:p>
            <w:pPr>
              <w:spacing w:after="0"/>
              <w:rPr>
                <w:sz w:val="19"/>
                <w:szCs w:val="19"/>
                <w:color w:val="auto"/>
              </w:rPr>
            </w:pPr>
          </w:p>
        </w:tc>
        <w:tc>
          <w:tcPr>
            <w:tcW w:w="9840" w:type="dxa"/>
            <w:vAlign w:val="bottom"/>
            <w:gridSpan w:val="16"/>
          </w:tcPr>
          <w:p>
            <w:pPr>
              <w:ind w:left="760"/>
              <w:spacing w:after="0"/>
              <w:rPr>
                <w:sz w:val="20"/>
                <w:szCs w:val="20"/>
                <w:color w:val="auto"/>
              </w:rPr>
            </w:pPr>
            <w:r>
              <w:rPr>
                <w:rFonts w:ascii="Arial" w:cs="Arial" w:eastAsia="Arial" w:hAnsi="Arial"/>
                <w:sz w:val="18"/>
                <w:szCs w:val="18"/>
                <w:color w:val="auto"/>
                <w:w w:val="99"/>
              </w:rPr>
              <w:t>accordance with the terms of the Agreement. Capitalized terms used but not defined in this Exhibit B shall have the</w:t>
            </w:r>
          </w:p>
        </w:tc>
      </w:tr>
      <w:tr>
        <w:trPr>
          <w:trHeight w:val="230"/>
        </w:trPr>
        <w:tc>
          <w:tcPr>
            <w:tcW w:w="1620" w:type="dxa"/>
            <w:vAlign w:val="bottom"/>
          </w:tcPr>
          <w:p>
            <w:pPr>
              <w:spacing w:after="0"/>
              <w:rPr>
                <w:sz w:val="20"/>
                <w:szCs w:val="20"/>
                <w:color w:val="auto"/>
              </w:rPr>
            </w:pPr>
          </w:p>
        </w:tc>
        <w:tc>
          <w:tcPr>
            <w:tcW w:w="9840" w:type="dxa"/>
            <w:vAlign w:val="bottom"/>
            <w:gridSpan w:val="16"/>
          </w:tcPr>
          <w:p>
            <w:pPr>
              <w:ind w:left="760"/>
              <w:spacing w:after="0"/>
              <w:rPr>
                <w:sz w:val="20"/>
                <w:szCs w:val="20"/>
                <w:color w:val="auto"/>
              </w:rPr>
            </w:pPr>
            <w:r>
              <w:rPr>
                <w:rFonts w:ascii="Arial" w:cs="Arial" w:eastAsia="Arial" w:hAnsi="Arial"/>
                <w:sz w:val="18"/>
                <w:szCs w:val="18"/>
                <w:color w:val="auto"/>
              </w:rPr>
              <w:t>meanings set forth in the remainder of the Agreement.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b w:val="1"/>
                <w:bCs w:val="1"/>
                <w:color w:val="auto"/>
              </w:rPr>
              <w:t>Defined Terms:</w:t>
            </w:r>
          </w:p>
        </w:tc>
        <w:tc>
          <w:tcPr>
            <w:tcW w:w="9840" w:type="dxa"/>
            <w:vAlign w:val="bottom"/>
            <w:gridSpan w:val="16"/>
          </w:tcPr>
          <w:p>
            <w:pPr>
              <w:ind w:left="760"/>
              <w:spacing w:after="0"/>
              <w:rPr>
                <w:sz w:val="20"/>
                <w:szCs w:val="20"/>
                <w:color w:val="auto"/>
              </w:rPr>
            </w:pPr>
            <w:r>
              <w:rPr>
                <w:rFonts w:ascii="Arial" w:cs="Arial" w:eastAsia="Arial" w:hAnsi="Arial"/>
                <w:sz w:val="18"/>
                <w:szCs w:val="18"/>
                <w:color w:val="auto"/>
                <w:w w:val="93"/>
              </w:rPr>
              <w:t>“Allocable Overhead” means costs incurred by APIL or for its account which are attributable to APIL’s costs of supervisory</w:t>
            </w:r>
          </w:p>
        </w:tc>
      </w:tr>
      <w:tr>
        <w:trPr>
          <w:trHeight w:val="20"/>
        </w:trPr>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0" w:type="dxa"/>
            <w:vAlign w:val="bottom"/>
            <w:gridSpan w:val="9"/>
          </w:tcPr>
          <w:p>
            <w:pPr>
              <w:spacing w:after="0" w:line="20" w:lineRule="exact"/>
              <w:rPr>
                <w:sz w:val="1"/>
                <w:szCs w:val="1"/>
                <w:color w:val="auto"/>
              </w:rPr>
            </w:pPr>
          </w:p>
        </w:tc>
      </w:tr>
      <w:tr>
        <w:trPr>
          <w:trHeight w:val="222"/>
        </w:trPr>
        <w:tc>
          <w:tcPr>
            <w:tcW w:w="1620" w:type="dxa"/>
            <w:vAlign w:val="bottom"/>
          </w:tcPr>
          <w:p>
            <w:pPr>
              <w:spacing w:after="0"/>
              <w:rPr>
                <w:sz w:val="19"/>
                <w:szCs w:val="19"/>
                <w:color w:val="auto"/>
              </w:rPr>
            </w:pPr>
          </w:p>
        </w:tc>
        <w:tc>
          <w:tcPr>
            <w:tcW w:w="9840" w:type="dxa"/>
            <w:vAlign w:val="bottom"/>
            <w:gridSpan w:val="16"/>
          </w:tcPr>
          <w:p>
            <w:pPr>
              <w:ind w:left="760"/>
              <w:spacing w:after="0"/>
              <w:rPr>
                <w:sz w:val="20"/>
                <w:szCs w:val="20"/>
                <w:color w:val="auto"/>
              </w:rPr>
            </w:pPr>
            <w:r>
              <w:rPr>
                <w:rFonts w:ascii="Arial" w:cs="Arial" w:eastAsia="Arial" w:hAnsi="Arial"/>
                <w:sz w:val="18"/>
                <w:szCs w:val="18"/>
                <w:color w:val="auto"/>
                <w:w w:val="93"/>
              </w:rPr>
              <w:t>services, general and administrative activities, occupancy (including utilities and property taxes), registrations, permits and</w:t>
            </w:r>
          </w:p>
        </w:tc>
      </w:tr>
      <w:tr>
        <w:trPr>
          <w:trHeight w:val="216"/>
        </w:trPr>
        <w:tc>
          <w:tcPr>
            <w:tcW w:w="1620" w:type="dxa"/>
            <w:vAlign w:val="bottom"/>
          </w:tcPr>
          <w:p>
            <w:pPr>
              <w:spacing w:after="0"/>
              <w:rPr>
                <w:sz w:val="18"/>
                <w:szCs w:val="18"/>
                <w:color w:val="auto"/>
              </w:rPr>
            </w:pPr>
          </w:p>
        </w:tc>
        <w:tc>
          <w:tcPr>
            <w:tcW w:w="9840" w:type="dxa"/>
            <w:vAlign w:val="bottom"/>
            <w:gridSpan w:val="16"/>
          </w:tcPr>
          <w:p>
            <w:pPr>
              <w:ind w:left="760"/>
              <w:spacing w:after="0"/>
              <w:rPr>
                <w:sz w:val="20"/>
                <w:szCs w:val="20"/>
                <w:color w:val="auto"/>
              </w:rPr>
            </w:pPr>
            <w:r>
              <w:rPr>
                <w:rFonts w:ascii="Arial" w:cs="Arial" w:eastAsia="Arial" w:hAnsi="Arial"/>
                <w:sz w:val="18"/>
                <w:szCs w:val="18"/>
                <w:color w:val="auto"/>
                <w:w w:val="90"/>
              </w:rPr>
              <w:t>licenses, insurance, depreciation, payroll, non-cash compensation, information systems, human resources and purchasing, as</w:t>
            </w:r>
          </w:p>
        </w:tc>
      </w:tr>
      <w:tr>
        <w:trPr>
          <w:trHeight w:val="216"/>
        </w:trPr>
        <w:tc>
          <w:tcPr>
            <w:tcW w:w="1620" w:type="dxa"/>
            <w:vAlign w:val="bottom"/>
          </w:tcPr>
          <w:p>
            <w:pPr>
              <w:spacing w:after="0"/>
              <w:rPr>
                <w:sz w:val="18"/>
                <w:szCs w:val="18"/>
                <w:color w:val="auto"/>
              </w:rPr>
            </w:pPr>
          </w:p>
        </w:tc>
        <w:tc>
          <w:tcPr>
            <w:tcW w:w="9840" w:type="dxa"/>
            <w:vAlign w:val="bottom"/>
            <w:gridSpan w:val="16"/>
          </w:tcPr>
          <w:p>
            <w:pPr>
              <w:ind w:left="760"/>
              <w:spacing w:after="0"/>
              <w:rPr>
                <w:sz w:val="20"/>
                <w:szCs w:val="20"/>
                <w:color w:val="auto"/>
              </w:rPr>
            </w:pPr>
            <w:r>
              <w:rPr>
                <w:rFonts w:ascii="Arial" w:cs="Arial" w:eastAsia="Arial" w:hAnsi="Arial"/>
                <w:sz w:val="18"/>
                <w:szCs w:val="18"/>
                <w:color w:val="auto"/>
                <w:w w:val="90"/>
              </w:rPr>
              <w:t>allocated to company departments based on space occupied, headcount or activity-based methods, in all cases as applied by</w:t>
            </w:r>
          </w:p>
        </w:tc>
      </w:tr>
      <w:tr>
        <w:trPr>
          <w:trHeight w:val="230"/>
        </w:trPr>
        <w:tc>
          <w:tcPr>
            <w:tcW w:w="1620" w:type="dxa"/>
            <w:vAlign w:val="bottom"/>
          </w:tcPr>
          <w:p>
            <w:pPr>
              <w:spacing w:after="0"/>
              <w:rPr>
                <w:sz w:val="20"/>
                <w:szCs w:val="20"/>
                <w:color w:val="auto"/>
              </w:rPr>
            </w:pPr>
          </w:p>
        </w:tc>
        <w:tc>
          <w:tcPr>
            <w:tcW w:w="9840" w:type="dxa"/>
            <w:vAlign w:val="bottom"/>
            <w:gridSpan w:val="16"/>
          </w:tcPr>
          <w:p>
            <w:pPr>
              <w:ind w:left="760"/>
              <w:spacing w:after="0"/>
              <w:rPr>
                <w:sz w:val="20"/>
                <w:szCs w:val="20"/>
                <w:color w:val="auto"/>
              </w:rPr>
            </w:pPr>
            <w:r>
              <w:rPr>
                <w:rFonts w:ascii="Arial" w:cs="Arial" w:eastAsia="Arial" w:hAnsi="Arial"/>
                <w:sz w:val="18"/>
                <w:szCs w:val="18"/>
                <w:color w:val="auto"/>
              </w:rPr>
              <w:t>APIL in accordance with GAAP and APIL’s accounting standards on a consistent basis.</w:t>
            </w:r>
          </w:p>
        </w:tc>
      </w:tr>
      <w:tr>
        <w:trPr>
          <w:trHeight w:val="392"/>
        </w:trPr>
        <w:tc>
          <w:tcPr>
            <w:tcW w:w="1620" w:type="dxa"/>
            <w:vAlign w:val="bottom"/>
          </w:tcPr>
          <w:p>
            <w:pPr>
              <w:spacing w:after="0"/>
              <w:rPr>
                <w:sz w:val="24"/>
                <w:szCs w:val="24"/>
                <w:color w:val="auto"/>
              </w:rPr>
            </w:pPr>
          </w:p>
        </w:tc>
        <w:tc>
          <w:tcPr>
            <w:tcW w:w="9840" w:type="dxa"/>
            <w:vAlign w:val="bottom"/>
            <w:gridSpan w:val="16"/>
          </w:tcPr>
          <w:p>
            <w:pPr>
              <w:ind w:left="760"/>
              <w:spacing w:after="0"/>
              <w:rPr>
                <w:sz w:val="20"/>
                <w:szCs w:val="20"/>
                <w:color w:val="auto"/>
              </w:rPr>
            </w:pPr>
            <w:r>
              <w:rPr>
                <w:rFonts w:ascii="Arial" w:cs="Arial" w:eastAsia="Arial" w:hAnsi="Arial"/>
                <w:sz w:val="18"/>
                <w:szCs w:val="18"/>
                <w:color w:val="auto"/>
              </w:rPr>
              <w:t>“BC Meloxicam SC” means BC Parenteral Meloxicam that may not be designed for IV or IM administration.</w:t>
            </w:r>
          </w:p>
        </w:tc>
      </w:tr>
      <w:tr>
        <w:trPr>
          <w:trHeight w:val="20"/>
        </w:trPr>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0" w:type="dxa"/>
            <w:vAlign w:val="bottom"/>
            <w:gridSpan w:val="9"/>
          </w:tcPr>
          <w:p>
            <w:pPr>
              <w:spacing w:after="0" w:line="20" w:lineRule="exact"/>
              <w:rPr>
                <w:sz w:val="1"/>
                <w:szCs w:val="1"/>
                <w:color w:val="auto"/>
              </w:rPr>
            </w:pPr>
          </w:p>
        </w:tc>
      </w:tr>
      <w:tr>
        <w:trPr>
          <w:trHeight w:val="412"/>
        </w:trPr>
        <w:tc>
          <w:tcPr>
            <w:tcW w:w="1620" w:type="dxa"/>
            <w:vAlign w:val="bottom"/>
          </w:tcPr>
          <w:p>
            <w:pPr>
              <w:spacing w:after="0"/>
              <w:rPr>
                <w:sz w:val="24"/>
                <w:szCs w:val="24"/>
                <w:color w:val="auto"/>
              </w:rPr>
            </w:pPr>
          </w:p>
        </w:tc>
        <w:tc>
          <w:tcPr>
            <w:tcW w:w="9840" w:type="dxa"/>
            <w:vAlign w:val="bottom"/>
            <w:gridSpan w:val="16"/>
          </w:tcPr>
          <w:p>
            <w:pPr>
              <w:ind w:left="760"/>
              <w:spacing w:after="0"/>
              <w:rPr>
                <w:sz w:val="20"/>
                <w:szCs w:val="20"/>
                <w:color w:val="auto"/>
              </w:rPr>
            </w:pPr>
            <w:r>
              <w:rPr>
                <w:rFonts w:ascii="Arial" w:cs="Arial" w:eastAsia="Arial" w:hAnsi="Arial"/>
                <w:sz w:val="18"/>
                <w:szCs w:val="18"/>
                <w:color w:val="auto"/>
              </w:rPr>
              <w:t>“BC Parenteral Meloxicam” means any parenteral Meloxicam in bulk crystal/formulated nanocrystal form.</w:t>
            </w:r>
          </w:p>
        </w:tc>
      </w:tr>
      <w:tr>
        <w:trPr>
          <w:trHeight w:val="20"/>
        </w:trPr>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0" w:type="dxa"/>
            <w:vAlign w:val="bottom"/>
            <w:gridSpan w:val="9"/>
          </w:tcPr>
          <w:p>
            <w:pPr>
              <w:spacing w:after="0" w:line="20" w:lineRule="exact"/>
              <w:rPr>
                <w:sz w:val="1"/>
                <w:szCs w:val="1"/>
                <w:color w:val="auto"/>
              </w:rPr>
            </w:pPr>
          </w:p>
        </w:tc>
      </w:tr>
      <w:tr>
        <w:trPr>
          <w:trHeight w:val="412"/>
        </w:trPr>
        <w:tc>
          <w:tcPr>
            <w:tcW w:w="1620" w:type="dxa"/>
            <w:vAlign w:val="bottom"/>
          </w:tcPr>
          <w:p>
            <w:pPr>
              <w:spacing w:after="0"/>
              <w:rPr>
                <w:sz w:val="24"/>
                <w:szCs w:val="24"/>
                <w:color w:val="auto"/>
              </w:rPr>
            </w:pPr>
          </w:p>
        </w:tc>
        <w:tc>
          <w:tcPr>
            <w:tcW w:w="9840" w:type="dxa"/>
            <w:vAlign w:val="bottom"/>
            <w:gridSpan w:val="16"/>
          </w:tcPr>
          <w:p>
            <w:pPr>
              <w:ind w:left="760"/>
              <w:spacing w:after="0"/>
              <w:rPr>
                <w:sz w:val="20"/>
                <w:szCs w:val="20"/>
                <w:color w:val="auto"/>
              </w:rPr>
            </w:pPr>
            <w:r>
              <w:rPr>
                <w:rFonts w:ascii="Arial" w:cs="Arial" w:eastAsia="Arial" w:hAnsi="Arial"/>
                <w:sz w:val="18"/>
                <w:szCs w:val="18"/>
                <w:color w:val="auto"/>
              </w:rPr>
              <w:t>“Finished Meloxicam” means BC Parenteral Meloxicam in appropriate sealed injectable filled vials.</w:t>
            </w:r>
          </w:p>
        </w:tc>
      </w:tr>
      <w:tr>
        <w:trPr>
          <w:trHeight w:val="20"/>
        </w:trPr>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0" w:type="dxa"/>
            <w:vAlign w:val="bottom"/>
            <w:gridSpan w:val="9"/>
          </w:tcPr>
          <w:p>
            <w:pPr>
              <w:spacing w:after="0" w:line="20" w:lineRule="exact"/>
              <w:rPr>
                <w:sz w:val="1"/>
                <w:szCs w:val="1"/>
                <w:color w:val="auto"/>
              </w:rPr>
            </w:pPr>
          </w:p>
        </w:tc>
      </w:tr>
      <w:tr>
        <w:trPr>
          <w:trHeight w:val="412"/>
        </w:trPr>
        <w:tc>
          <w:tcPr>
            <w:tcW w:w="1620" w:type="dxa"/>
            <w:vAlign w:val="bottom"/>
          </w:tcPr>
          <w:p>
            <w:pPr>
              <w:spacing w:after="0"/>
              <w:rPr>
                <w:sz w:val="24"/>
                <w:szCs w:val="24"/>
                <w:color w:val="auto"/>
              </w:rPr>
            </w:pPr>
          </w:p>
        </w:tc>
        <w:tc>
          <w:tcPr>
            <w:tcW w:w="9840" w:type="dxa"/>
            <w:vAlign w:val="bottom"/>
            <w:gridSpan w:val="16"/>
          </w:tcPr>
          <w:p>
            <w:pPr>
              <w:ind w:left="760"/>
              <w:spacing w:after="0"/>
              <w:rPr>
                <w:sz w:val="20"/>
                <w:szCs w:val="20"/>
                <w:color w:val="auto"/>
              </w:rPr>
            </w:pPr>
            <w:r>
              <w:rPr>
                <w:rFonts w:ascii="Arial" w:cs="Arial" w:eastAsia="Arial" w:hAnsi="Arial"/>
                <w:sz w:val="18"/>
                <w:szCs w:val="18"/>
                <w:color w:val="auto"/>
              </w:rPr>
              <w:t>“Finished Meloxicam SC” means Finished Meloxicam that may not be designed for IV or IM administration.</w:t>
            </w:r>
          </w:p>
        </w:tc>
      </w:tr>
      <w:tr>
        <w:trPr>
          <w:trHeight w:val="20"/>
        </w:trPr>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40" w:type="dxa"/>
            <w:vAlign w:val="bottom"/>
            <w:gridSpan w:val="4"/>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0" w:type="dxa"/>
            <w:vAlign w:val="bottom"/>
            <w:gridSpan w:val="9"/>
          </w:tcPr>
          <w:p>
            <w:pPr>
              <w:spacing w:after="0" w:line="20" w:lineRule="exact"/>
              <w:rPr>
                <w:sz w:val="1"/>
                <w:szCs w:val="1"/>
                <w:color w:val="auto"/>
              </w:rPr>
            </w:pPr>
          </w:p>
        </w:tc>
      </w:tr>
      <w:tr>
        <w:trPr>
          <w:trHeight w:val="412"/>
        </w:trPr>
        <w:tc>
          <w:tcPr>
            <w:tcW w:w="1620" w:type="dxa"/>
            <w:vAlign w:val="bottom"/>
          </w:tcPr>
          <w:p>
            <w:pPr>
              <w:spacing w:after="0"/>
              <w:rPr>
                <w:sz w:val="24"/>
                <w:szCs w:val="24"/>
                <w:color w:val="auto"/>
              </w:rPr>
            </w:pPr>
          </w:p>
        </w:tc>
        <w:tc>
          <w:tcPr>
            <w:tcW w:w="9840" w:type="dxa"/>
            <w:vAlign w:val="bottom"/>
            <w:gridSpan w:val="16"/>
          </w:tcPr>
          <w:p>
            <w:pPr>
              <w:ind w:left="760"/>
              <w:spacing w:after="0"/>
              <w:rPr>
                <w:sz w:val="20"/>
                <w:szCs w:val="20"/>
                <w:color w:val="auto"/>
              </w:rPr>
            </w:pPr>
            <w:r>
              <w:rPr>
                <w:rFonts w:ascii="Arial" w:cs="Arial" w:eastAsia="Arial" w:hAnsi="Arial"/>
                <w:sz w:val="18"/>
                <w:szCs w:val="18"/>
                <w:color w:val="auto"/>
                <w:w w:val="95"/>
              </w:rPr>
              <w:t>“Fully Burdened Manufacturing Cost” means 100% of APIL’s manufacturing cost of BC Parenteral Meloxicam, Finished</w:t>
            </w:r>
          </w:p>
        </w:tc>
      </w:tr>
      <w:tr>
        <w:trPr>
          <w:trHeight w:val="20"/>
        </w:trPr>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0" w:type="dxa"/>
            <w:vAlign w:val="bottom"/>
            <w:gridSpan w:val="6"/>
            <w:shd w:val="clear" w:color="auto" w:fill="000000"/>
          </w:tcPr>
          <w:p>
            <w:pPr>
              <w:spacing w:after="0" w:line="20" w:lineRule="exact"/>
              <w:rPr>
                <w:sz w:val="1"/>
                <w:szCs w:val="1"/>
                <w:color w:val="auto"/>
              </w:rPr>
            </w:pPr>
          </w:p>
        </w:tc>
        <w:tc>
          <w:tcPr>
            <w:tcW w:w="6400" w:type="dxa"/>
            <w:vAlign w:val="bottom"/>
            <w:gridSpan w:val="9"/>
          </w:tcPr>
          <w:p>
            <w:pPr>
              <w:spacing w:after="0" w:line="20" w:lineRule="exact"/>
              <w:rPr>
                <w:sz w:val="1"/>
                <w:szCs w:val="1"/>
                <w:color w:val="auto"/>
              </w:rPr>
            </w:pPr>
          </w:p>
        </w:tc>
      </w:tr>
      <w:tr>
        <w:trPr>
          <w:trHeight w:val="222"/>
        </w:trPr>
        <w:tc>
          <w:tcPr>
            <w:tcW w:w="1620" w:type="dxa"/>
            <w:vAlign w:val="bottom"/>
          </w:tcPr>
          <w:p>
            <w:pPr>
              <w:spacing w:after="0"/>
              <w:rPr>
                <w:sz w:val="19"/>
                <w:szCs w:val="19"/>
                <w:color w:val="auto"/>
              </w:rPr>
            </w:pPr>
          </w:p>
        </w:tc>
        <w:tc>
          <w:tcPr>
            <w:tcW w:w="9840" w:type="dxa"/>
            <w:vAlign w:val="bottom"/>
            <w:gridSpan w:val="16"/>
          </w:tcPr>
          <w:p>
            <w:pPr>
              <w:ind w:left="760"/>
              <w:spacing w:after="0"/>
              <w:rPr>
                <w:sz w:val="20"/>
                <w:szCs w:val="20"/>
                <w:color w:val="auto"/>
              </w:rPr>
            </w:pPr>
            <w:r>
              <w:rPr>
                <w:rFonts w:ascii="Arial" w:cs="Arial" w:eastAsia="Arial" w:hAnsi="Arial"/>
                <w:sz w:val="18"/>
                <w:szCs w:val="18"/>
                <w:color w:val="auto"/>
                <w:w w:val="92"/>
              </w:rPr>
              <w:t>Meloxicam, and subject to additional agreement between the parties, BC Meloxicam SC and Finished Meloxicam SC, which</w:t>
            </w:r>
          </w:p>
        </w:tc>
      </w:tr>
      <w:tr>
        <w:trPr>
          <w:trHeight w:val="230"/>
        </w:trPr>
        <w:tc>
          <w:tcPr>
            <w:tcW w:w="1620" w:type="dxa"/>
            <w:vAlign w:val="bottom"/>
          </w:tcPr>
          <w:p>
            <w:pPr>
              <w:spacing w:after="0"/>
              <w:rPr>
                <w:sz w:val="20"/>
                <w:szCs w:val="20"/>
                <w:color w:val="auto"/>
              </w:rPr>
            </w:pPr>
          </w:p>
        </w:tc>
        <w:tc>
          <w:tcPr>
            <w:tcW w:w="9840" w:type="dxa"/>
            <w:vAlign w:val="bottom"/>
            <w:gridSpan w:val="16"/>
          </w:tcPr>
          <w:p>
            <w:pPr>
              <w:ind w:left="760"/>
              <w:spacing w:after="0"/>
              <w:rPr>
                <w:sz w:val="20"/>
                <w:szCs w:val="20"/>
                <w:color w:val="auto"/>
              </w:rPr>
            </w:pPr>
            <w:r>
              <w:rPr>
                <w:rFonts w:ascii="Arial" w:cs="Arial" w:eastAsia="Arial" w:hAnsi="Arial"/>
                <w:sz w:val="18"/>
                <w:szCs w:val="18"/>
                <w:color w:val="auto"/>
              </w:rPr>
              <w:t>shall include APIL’s costs of materials, labor, warehousing, quality assurance/control, delivery,</w:t>
            </w:r>
          </w:p>
        </w:tc>
      </w:tr>
      <w:tr>
        <w:trPr>
          <w:trHeight w:val="375"/>
        </w:trPr>
        <w:tc>
          <w:tcPr>
            <w:tcW w:w="162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138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74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5"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50" w:lineRule="exact"/>
        <w:rPr>
          <w:sz w:val="20"/>
          <w:szCs w:val="20"/>
          <w:color w:val="auto"/>
        </w:rPr>
      </w:pPr>
    </w:p>
    <w:p>
      <w:pPr>
        <w:ind w:left="2380" w:right="360"/>
        <w:spacing w:after="0" w:line="277" w:lineRule="auto"/>
        <w:rPr>
          <w:sz w:val="20"/>
          <w:szCs w:val="20"/>
          <w:color w:val="auto"/>
        </w:rPr>
      </w:pPr>
      <w:r>
        <w:rPr>
          <w:rFonts w:ascii="Arial" w:cs="Arial" w:eastAsia="Arial" w:hAnsi="Arial"/>
          <w:sz w:val="18"/>
          <w:szCs w:val="18"/>
          <w:color w:val="auto"/>
        </w:rPr>
        <w:t>storage, and Allocable Overhead. The Fully Burdened Manufacturing Cost will be calculated in a manner consistent with GAAP and APIL’s accounting standards on a consistent basis.</w:t>
      </w:r>
    </w:p>
    <w:p>
      <w:pPr>
        <w:sectPr>
          <w:pgSz w:w="11900" w:h="16875" w:orient="portrait"/>
          <w:cols w:equalWidth="0" w:num="1">
            <w:col w:w="11460"/>
          </w:cols>
          <w:pgMar w:left="240" w:top="125" w:right="199" w:bottom="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20"/>
        </w:trPr>
        <w:tc>
          <w:tcPr>
            <w:tcW w:w="2380" w:type="dxa"/>
            <w:vAlign w:val="bottom"/>
          </w:tcPr>
          <w:p>
            <w:pPr>
              <w:spacing w:after="0"/>
              <w:rPr>
                <w:sz w:val="20"/>
                <w:szCs w:val="20"/>
                <w:color w:val="auto"/>
              </w:rPr>
            </w:pPr>
            <w:r>
              <w:rPr>
                <w:rFonts w:ascii="Arial" w:cs="Arial" w:eastAsia="Arial" w:hAnsi="Arial"/>
                <w:sz w:val="18"/>
                <w:szCs w:val="18"/>
                <w:b w:val="1"/>
                <w:bCs w:val="1"/>
                <w:color w:val="auto"/>
              </w:rPr>
              <w:t>Commercial Supply:</w:t>
            </w:r>
          </w:p>
        </w:tc>
        <w:tc>
          <w:tcPr>
            <w:tcW w:w="9000" w:type="dxa"/>
            <w:vAlign w:val="bottom"/>
            <w:gridSpan w:val="3"/>
          </w:tcPr>
          <w:p>
            <w:pPr>
              <w:spacing w:after="0"/>
              <w:rPr>
                <w:sz w:val="20"/>
                <w:szCs w:val="20"/>
                <w:color w:val="auto"/>
              </w:rPr>
            </w:pPr>
            <w:r>
              <w:rPr>
                <w:rFonts w:ascii="Arial" w:cs="Arial" w:eastAsia="Arial" w:hAnsi="Arial"/>
                <w:sz w:val="18"/>
                <w:szCs w:val="18"/>
                <w:color w:val="auto"/>
                <w:w w:val="94"/>
              </w:rPr>
              <w:t>Prior to the initiation of the first Phase III Clinical Trial for Finished Meloxicam, Recro Sub shall notify APIL as to whether</w:t>
            </w:r>
          </w:p>
        </w:tc>
      </w:tr>
      <w:tr>
        <w:trPr>
          <w:trHeight w:val="216"/>
        </w:trPr>
        <w:tc>
          <w:tcPr>
            <w:tcW w:w="2380" w:type="dxa"/>
            <w:vAlign w:val="bottom"/>
          </w:tcPr>
          <w:p>
            <w:pPr>
              <w:spacing w:after="0"/>
              <w:rPr>
                <w:sz w:val="18"/>
                <w:szCs w:val="18"/>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w w:val="92"/>
              </w:rPr>
              <w:t>APIL shall be required to supply Recro Sub (and such affiliates, licensees or distributors as Recro Sub may nominate) with</w:t>
            </w:r>
          </w:p>
        </w:tc>
      </w:tr>
      <w:tr>
        <w:trPr>
          <w:trHeight w:val="216"/>
        </w:trPr>
        <w:tc>
          <w:tcPr>
            <w:tcW w:w="2380" w:type="dxa"/>
            <w:vAlign w:val="bottom"/>
          </w:tcPr>
          <w:p>
            <w:pPr>
              <w:spacing w:after="0"/>
              <w:rPr>
                <w:sz w:val="18"/>
                <w:szCs w:val="18"/>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w w:val="94"/>
              </w:rPr>
              <w:t>100% of their worldwide commercial requirements for BC Parenteral Meloxicam including BC Meloxicam SC (subject to</w:t>
            </w:r>
          </w:p>
        </w:tc>
      </w:tr>
      <w:tr>
        <w:trPr>
          <w:trHeight w:val="216"/>
        </w:trPr>
        <w:tc>
          <w:tcPr>
            <w:tcW w:w="2380" w:type="dxa"/>
            <w:vAlign w:val="bottom"/>
          </w:tcPr>
          <w:p>
            <w:pPr>
              <w:spacing w:after="0"/>
              <w:rPr>
                <w:sz w:val="18"/>
                <w:szCs w:val="18"/>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w w:val="93"/>
              </w:rPr>
              <w:t>additional agreement between the parties). If APIL shall be nominated as Recro Sub’s supplier, then in exchange for this</w:t>
            </w:r>
          </w:p>
        </w:tc>
      </w:tr>
      <w:tr>
        <w:trPr>
          <w:trHeight w:val="230"/>
        </w:trPr>
        <w:tc>
          <w:tcPr>
            <w:tcW w:w="238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rPr>
              <w:t>supply, Recro Sub shall pay APIL on a cost-plus basis as set forth below.</w:t>
            </w:r>
          </w:p>
        </w:tc>
      </w:tr>
      <w:tr>
        <w:trPr>
          <w:trHeight w:val="418"/>
        </w:trPr>
        <w:tc>
          <w:tcPr>
            <w:tcW w:w="2380" w:type="dxa"/>
            <w:vAlign w:val="bottom"/>
          </w:tcPr>
          <w:p>
            <w:pPr>
              <w:spacing w:after="0"/>
              <w:rPr>
                <w:sz w:val="20"/>
                <w:szCs w:val="20"/>
                <w:color w:val="auto"/>
              </w:rPr>
            </w:pPr>
            <w:r>
              <w:rPr>
                <w:rFonts w:ascii="Arial" w:cs="Arial" w:eastAsia="Arial" w:hAnsi="Arial"/>
                <w:sz w:val="18"/>
                <w:szCs w:val="18"/>
                <w:b w:val="1"/>
                <w:bCs w:val="1"/>
                <w:color w:val="auto"/>
              </w:rPr>
              <w:t>Clinical Supply:</w:t>
            </w:r>
          </w:p>
        </w:tc>
        <w:tc>
          <w:tcPr>
            <w:tcW w:w="9000" w:type="dxa"/>
            <w:vAlign w:val="bottom"/>
            <w:gridSpan w:val="3"/>
          </w:tcPr>
          <w:p>
            <w:pPr>
              <w:spacing w:after="0"/>
              <w:rPr>
                <w:sz w:val="20"/>
                <w:szCs w:val="20"/>
                <w:color w:val="auto"/>
              </w:rPr>
            </w:pPr>
            <w:r>
              <w:rPr>
                <w:rFonts w:ascii="Arial" w:cs="Arial" w:eastAsia="Arial" w:hAnsi="Arial"/>
                <w:sz w:val="18"/>
                <w:szCs w:val="18"/>
                <w:color w:val="auto"/>
                <w:w w:val="95"/>
              </w:rPr>
              <w:t>APIL shall supply Recro Sub (and its affiliates) with 100% of their clinical supply requirements for Finished Meloxicam,</w:t>
            </w:r>
          </w:p>
        </w:tc>
      </w:tr>
      <w:tr>
        <w:trPr>
          <w:trHeight w:val="216"/>
        </w:trPr>
        <w:tc>
          <w:tcPr>
            <w:tcW w:w="2380" w:type="dxa"/>
            <w:vAlign w:val="bottom"/>
          </w:tcPr>
          <w:p>
            <w:pPr>
              <w:spacing w:after="0"/>
              <w:rPr>
                <w:sz w:val="18"/>
                <w:szCs w:val="18"/>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w w:val="99"/>
              </w:rPr>
              <w:t>Finished Meloxicam SC (subject to additional agreement between the parties), BC Parenteral Meloxicam, and BC</w:t>
            </w:r>
          </w:p>
        </w:tc>
      </w:tr>
      <w:tr>
        <w:trPr>
          <w:trHeight w:val="216"/>
        </w:trPr>
        <w:tc>
          <w:tcPr>
            <w:tcW w:w="2380" w:type="dxa"/>
            <w:vAlign w:val="bottom"/>
          </w:tcPr>
          <w:p>
            <w:pPr>
              <w:spacing w:after="0"/>
              <w:rPr>
                <w:sz w:val="18"/>
                <w:szCs w:val="18"/>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w w:val="91"/>
              </w:rPr>
              <w:t>Meloxicam SC (subject to additional agreement between the parties), and Recro Sub shall pay APIL for such clinical supply</w:t>
            </w:r>
          </w:p>
        </w:tc>
      </w:tr>
      <w:tr>
        <w:trPr>
          <w:trHeight w:val="230"/>
        </w:trPr>
        <w:tc>
          <w:tcPr>
            <w:tcW w:w="238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rPr>
              <w:t>requirements in accordance with the terms set forth below.</w:t>
            </w:r>
          </w:p>
        </w:tc>
      </w:tr>
      <w:tr>
        <w:trPr>
          <w:trHeight w:val="392"/>
        </w:trPr>
        <w:tc>
          <w:tcPr>
            <w:tcW w:w="2380" w:type="dxa"/>
            <w:vAlign w:val="bottom"/>
          </w:tcPr>
          <w:p>
            <w:pPr>
              <w:spacing w:after="0"/>
              <w:rPr>
                <w:sz w:val="20"/>
                <w:szCs w:val="20"/>
                <w:color w:val="auto"/>
              </w:rPr>
            </w:pPr>
            <w:r>
              <w:rPr>
                <w:rFonts w:ascii="Arial" w:cs="Arial" w:eastAsia="Arial" w:hAnsi="Arial"/>
                <w:sz w:val="18"/>
                <w:szCs w:val="18"/>
                <w:b w:val="1"/>
                <w:bCs w:val="1"/>
                <w:color w:val="auto"/>
              </w:rPr>
              <w:t>Pricing:</w:t>
            </w:r>
          </w:p>
        </w:tc>
        <w:tc>
          <w:tcPr>
            <w:tcW w:w="9000" w:type="dxa"/>
            <w:vAlign w:val="bottom"/>
            <w:gridSpan w:val="3"/>
          </w:tcPr>
          <w:p>
            <w:pPr>
              <w:spacing w:after="0"/>
              <w:rPr>
                <w:sz w:val="20"/>
                <w:szCs w:val="20"/>
                <w:color w:val="auto"/>
              </w:rPr>
            </w:pPr>
            <w:r>
              <w:rPr>
                <w:rFonts w:ascii="Arial" w:cs="Arial" w:eastAsia="Arial" w:hAnsi="Arial"/>
                <w:sz w:val="18"/>
                <w:szCs w:val="18"/>
                <w:i w:val="1"/>
                <w:iCs w:val="1"/>
                <w:color w:val="auto"/>
                <w:w w:val="95"/>
              </w:rPr>
              <w:t xml:space="preserve">Commercial Supply. </w:t>
            </w:r>
            <w:r>
              <w:rPr>
                <w:rFonts w:ascii="Arial" w:cs="Arial" w:eastAsia="Arial" w:hAnsi="Arial"/>
                <w:sz w:val="18"/>
                <w:szCs w:val="18"/>
                <w:color w:val="auto"/>
                <w:w w:val="95"/>
              </w:rPr>
              <w:t>For APIL’s supply to Recro Sub (and such affiliates, licensees and distributors as Recro Sub may</w:t>
            </w:r>
          </w:p>
        </w:tc>
      </w:tr>
      <w:tr>
        <w:trPr>
          <w:trHeight w:val="20"/>
        </w:trPr>
        <w:tc>
          <w:tcPr>
            <w:tcW w:w="2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222"/>
        </w:trPr>
        <w:tc>
          <w:tcPr>
            <w:tcW w:w="2380" w:type="dxa"/>
            <w:vAlign w:val="bottom"/>
          </w:tcPr>
          <w:p>
            <w:pPr>
              <w:spacing w:after="0"/>
              <w:rPr>
                <w:sz w:val="19"/>
                <w:szCs w:val="19"/>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w w:val="93"/>
              </w:rPr>
              <w:t>nominate) of BC Parenteral Meloxicam for commercial sale, Recro Sub shall pay APIL the Fully Burdened Manufacturing</w:t>
            </w:r>
          </w:p>
        </w:tc>
      </w:tr>
      <w:tr>
        <w:trPr>
          <w:trHeight w:val="230"/>
        </w:trPr>
        <w:tc>
          <w:tcPr>
            <w:tcW w:w="238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rPr>
              <w:t>Cost plus [***].</w:t>
            </w:r>
          </w:p>
        </w:tc>
      </w:tr>
      <w:tr>
        <w:trPr>
          <w:trHeight w:val="392"/>
        </w:trPr>
        <w:tc>
          <w:tcPr>
            <w:tcW w:w="2380" w:type="dxa"/>
            <w:vAlign w:val="bottom"/>
          </w:tcPr>
          <w:p>
            <w:pPr>
              <w:spacing w:after="0"/>
              <w:rPr>
                <w:sz w:val="24"/>
                <w:szCs w:val="24"/>
                <w:color w:val="auto"/>
              </w:rPr>
            </w:pPr>
          </w:p>
        </w:tc>
        <w:tc>
          <w:tcPr>
            <w:tcW w:w="9000" w:type="dxa"/>
            <w:vAlign w:val="bottom"/>
            <w:gridSpan w:val="3"/>
          </w:tcPr>
          <w:p>
            <w:pPr>
              <w:spacing w:after="0"/>
              <w:rPr>
                <w:sz w:val="20"/>
                <w:szCs w:val="20"/>
                <w:color w:val="auto"/>
              </w:rPr>
            </w:pPr>
            <w:r>
              <w:rPr>
                <w:rFonts w:ascii="Arial" w:cs="Arial" w:eastAsia="Arial" w:hAnsi="Arial"/>
                <w:sz w:val="18"/>
                <w:szCs w:val="18"/>
                <w:i w:val="1"/>
                <w:iCs w:val="1"/>
                <w:color w:val="auto"/>
                <w:w w:val="95"/>
              </w:rPr>
              <w:t xml:space="preserve">Clinical Supply. </w:t>
            </w:r>
            <w:r>
              <w:rPr>
                <w:rFonts w:ascii="Arial" w:cs="Arial" w:eastAsia="Arial" w:hAnsi="Arial"/>
                <w:sz w:val="18"/>
                <w:szCs w:val="18"/>
                <w:color w:val="auto"/>
                <w:w w:val="95"/>
              </w:rPr>
              <w:t>Recro Sub shall pay APIL [***] for (i) Finished Meloxicam supplied by APIL for clinical use prior to FDA</w:t>
            </w:r>
          </w:p>
        </w:tc>
      </w:tr>
      <w:tr>
        <w:trPr>
          <w:trHeight w:val="20"/>
        </w:trPr>
        <w:tc>
          <w:tcPr>
            <w:tcW w:w="2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900" w:type="dxa"/>
            <w:vAlign w:val="bottom"/>
            <w:gridSpan w:val="2"/>
          </w:tcPr>
          <w:p>
            <w:pPr>
              <w:spacing w:after="0" w:line="20" w:lineRule="exact"/>
              <w:rPr>
                <w:sz w:val="1"/>
                <w:szCs w:val="1"/>
                <w:color w:val="auto"/>
              </w:rPr>
            </w:pPr>
          </w:p>
        </w:tc>
      </w:tr>
      <w:tr>
        <w:trPr>
          <w:trHeight w:val="222"/>
        </w:trPr>
        <w:tc>
          <w:tcPr>
            <w:tcW w:w="2380" w:type="dxa"/>
            <w:vAlign w:val="bottom"/>
          </w:tcPr>
          <w:p>
            <w:pPr>
              <w:spacing w:after="0"/>
              <w:rPr>
                <w:sz w:val="19"/>
                <w:szCs w:val="19"/>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w w:val="93"/>
              </w:rPr>
              <w:t>approval and (ii) BC Parenteral Meloxicam supplied by APIL for clinical use prior to FDA approval. The maximum amount</w:t>
            </w:r>
          </w:p>
        </w:tc>
      </w:tr>
      <w:tr>
        <w:trPr>
          <w:trHeight w:val="216"/>
        </w:trPr>
        <w:tc>
          <w:tcPr>
            <w:tcW w:w="2380" w:type="dxa"/>
            <w:vAlign w:val="bottom"/>
          </w:tcPr>
          <w:p>
            <w:pPr>
              <w:spacing w:after="0"/>
              <w:rPr>
                <w:sz w:val="18"/>
                <w:szCs w:val="18"/>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w w:val="97"/>
              </w:rPr>
              <w:t>of Finished Meloxicam and BC Parenteral Meloxicam that will be supplied by APIL to Recro Sub (or its affiliates) for</w:t>
            </w:r>
          </w:p>
        </w:tc>
      </w:tr>
      <w:tr>
        <w:trPr>
          <w:trHeight w:val="216"/>
        </w:trPr>
        <w:tc>
          <w:tcPr>
            <w:tcW w:w="2380" w:type="dxa"/>
            <w:vAlign w:val="bottom"/>
          </w:tcPr>
          <w:p>
            <w:pPr>
              <w:spacing w:after="0"/>
              <w:rPr>
                <w:sz w:val="18"/>
                <w:szCs w:val="18"/>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w w:val="90"/>
              </w:rPr>
              <w:t>clinical use shall be agreed by the parties in the Development and Supply Agreement but shall be no less than Recro Sub (or</w:t>
            </w:r>
          </w:p>
        </w:tc>
      </w:tr>
      <w:tr>
        <w:trPr>
          <w:trHeight w:val="216"/>
        </w:trPr>
        <w:tc>
          <w:tcPr>
            <w:tcW w:w="2380" w:type="dxa"/>
            <w:vAlign w:val="bottom"/>
          </w:tcPr>
          <w:p>
            <w:pPr>
              <w:spacing w:after="0"/>
              <w:rPr>
                <w:sz w:val="18"/>
                <w:szCs w:val="18"/>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w w:val="91"/>
              </w:rPr>
              <w:t>its affiliates) reasonably require to complete any clinical work relating to Finished Meloxicam, provided that, such maximum</w:t>
            </w:r>
          </w:p>
        </w:tc>
      </w:tr>
      <w:tr>
        <w:trPr>
          <w:trHeight w:val="216"/>
        </w:trPr>
        <w:tc>
          <w:tcPr>
            <w:tcW w:w="2380" w:type="dxa"/>
            <w:vAlign w:val="bottom"/>
          </w:tcPr>
          <w:p>
            <w:pPr>
              <w:spacing w:after="0"/>
              <w:rPr>
                <w:sz w:val="18"/>
                <w:szCs w:val="18"/>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w w:val="90"/>
              </w:rPr>
              <w:t>amount is subject to change as agreed between such parties and based on periodic updates of the development plan, clinical</w:t>
            </w:r>
          </w:p>
        </w:tc>
      </w:tr>
      <w:tr>
        <w:trPr>
          <w:trHeight w:val="216"/>
        </w:trPr>
        <w:tc>
          <w:tcPr>
            <w:tcW w:w="2380" w:type="dxa"/>
            <w:vAlign w:val="bottom"/>
          </w:tcPr>
          <w:p>
            <w:pPr>
              <w:spacing w:after="0"/>
              <w:rPr>
                <w:sz w:val="18"/>
                <w:szCs w:val="18"/>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w w:val="91"/>
              </w:rPr>
              <w:t>trial results and implications of such results, as well as feedback from regulatory authorities. Notwithstanding the foregoing,</w:t>
            </w:r>
          </w:p>
        </w:tc>
      </w:tr>
      <w:tr>
        <w:trPr>
          <w:trHeight w:val="230"/>
        </w:trPr>
        <w:tc>
          <w:tcPr>
            <w:tcW w:w="238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w w:val="91"/>
              </w:rPr>
              <w:t>currently produced batches and stability work completed prior to the Closing Date shall be provided to Recro Sub at no cost.</w:t>
            </w:r>
          </w:p>
        </w:tc>
      </w:tr>
      <w:tr>
        <w:trPr>
          <w:trHeight w:val="418"/>
        </w:trPr>
        <w:tc>
          <w:tcPr>
            <w:tcW w:w="2380" w:type="dxa"/>
            <w:vAlign w:val="bottom"/>
          </w:tcPr>
          <w:p>
            <w:pPr>
              <w:spacing w:after="0"/>
              <w:rPr>
                <w:sz w:val="24"/>
                <w:szCs w:val="24"/>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w w:val="95"/>
              </w:rPr>
              <w:t>APIL shall be responsible for procuring all components and materials, including active pharmaceutical ingredient (API),</w:t>
            </w:r>
          </w:p>
        </w:tc>
      </w:tr>
      <w:tr>
        <w:trPr>
          <w:trHeight w:val="216"/>
        </w:trPr>
        <w:tc>
          <w:tcPr>
            <w:tcW w:w="2380" w:type="dxa"/>
            <w:vAlign w:val="bottom"/>
          </w:tcPr>
          <w:p>
            <w:pPr>
              <w:spacing w:after="0"/>
              <w:rPr>
                <w:sz w:val="18"/>
                <w:szCs w:val="18"/>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w w:val="93"/>
              </w:rPr>
              <w:t>required to prepare, manufacture, test, store and supply BC Parenteral Meloxicam and Finished Meloxicam, prior to final</w:t>
            </w:r>
          </w:p>
        </w:tc>
      </w:tr>
      <w:tr>
        <w:trPr>
          <w:trHeight w:val="230"/>
        </w:trPr>
        <w:tc>
          <w:tcPr>
            <w:tcW w:w="238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rPr>
              <w:t>clinical or commercial labeling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520" w:firstLine="8"/>
        <w:spacing w:after="0" w:line="282" w:lineRule="auto"/>
        <w:tabs>
          <w:tab w:leader="none" w:pos="435"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380" w:right="340"/>
        <w:spacing w:after="0" w:line="277" w:lineRule="auto"/>
        <w:rPr>
          <w:sz w:val="20"/>
          <w:szCs w:val="20"/>
          <w:color w:val="auto"/>
        </w:rPr>
      </w:pPr>
      <w:r>
        <w:rPr>
          <w:rFonts w:ascii="Arial" w:cs="Arial" w:eastAsia="Arial" w:hAnsi="Arial"/>
          <w:sz w:val="18"/>
          <w:szCs w:val="18"/>
          <w:color w:val="auto"/>
        </w:rPr>
        <w:t>packaging, for commercial and clinical use; provided, that, in the case of clinical use of Finished Meloxicam only, APIL shall supply finished product prior to labeling.</w:t>
      </w:r>
    </w:p>
    <w:p>
      <w:pPr>
        <w:spacing w:after="0" w:line="170" w:lineRule="exact"/>
        <w:rPr>
          <w:sz w:val="20"/>
          <w:szCs w:val="20"/>
          <w:color w:val="auto"/>
        </w:rPr>
      </w:pPr>
    </w:p>
    <w:p>
      <w:pPr>
        <w:ind w:left="2380" w:right="500"/>
        <w:spacing w:after="0" w:line="277" w:lineRule="auto"/>
        <w:rPr>
          <w:sz w:val="20"/>
          <w:szCs w:val="20"/>
          <w:color w:val="auto"/>
        </w:rPr>
      </w:pPr>
      <w:r>
        <w:rPr>
          <w:rFonts w:ascii="Arial" w:cs="Arial" w:eastAsia="Arial" w:hAnsi="Arial"/>
          <w:sz w:val="18"/>
          <w:szCs w:val="18"/>
          <w:color w:val="auto"/>
        </w:rPr>
        <w:t>Recro Sub shall be responsible for product labeling and distribution to clinical sites or commercial distribution for BC Parenteral Meloxicam and Finished Meloxicam.</w:t>
      </w:r>
    </w:p>
    <w:p>
      <w:pPr>
        <w:sectPr>
          <w:pgSz w:w="11900" w:h="16838" w:orient="portrait"/>
          <w:cols w:equalWidth="0" w:num="1">
            <w:col w:w="11380"/>
          </w:cols>
          <w:pgMar w:left="240" w:top="337" w:right="279" w:bottom="13"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Expenses: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APIL shall pay all capital expenses required for the commercial manufacture of BC Parenteral Meloxicam at a 5-kilogram scale.</w:t>
      </w:r>
    </w:p>
    <w:p>
      <w:pPr>
        <w:spacing w:after="0" w:line="170" w:lineRule="exact"/>
        <w:rPr>
          <w:sz w:val="20"/>
          <w:szCs w:val="20"/>
          <w:color w:val="auto"/>
        </w:rPr>
      </w:pPr>
    </w:p>
    <w:p>
      <w:pPr>
        <w:sectPr>
          <w:pgSz w:w="11900" w:h="16838" w:orient="portrait"/>
          <w:cols w:equalWidth="0" w:num="2">
            <w:col w:w="1660" w:space="720"/>
            <w:col w:w="9000"/>
          </w:cols>
          <w:pgMar w:left="240" w:top="337" w:right="279" w:bottom="13" w:gutter="0" w:footer="0" w:header="0"/>
          <w:type w:val="continuous"/>
        </w:sectPr>
      </w:pPr>
    </w:p>
    <w:p>
      <w:pPr>
        <w:ind w:left="2380" w:right="220"/>
        <w:spacing w:after="0" w:line="277" w:lineRule="auto"/>
        <w:rPr>
          <w:sz w:val="20"/>
          <w:szCs w:val="20"/>
          <w:color w:val="auto"/>
        </w:rPr>
      </w:pPr>
      <w:r>
        <w:rPr>
          <w:rFonts w:ascii="Arial" w:cs="Arial" w:eastAsia="Arial" w:hAnsi="Arial"/>
          <w:sz w:val="18"/>
          <w:szCs w:val="18"/>
          <w:color w:val="auto"/>
        </w:rPr>
        <w:t>If a NanoMill is required for the scale up of commercial manufacture of BC Parenteral Meloxicam to a 10-kilogram scale, Recro Sub shall be required to pay all capital expenses required for such scale up.</w:t>
      </w:r>
    </w:p>
    <w:p>
      <w:pPr>
        <w:sectPr>
          <w:pgSz w:w="11900" w:h="16838" w:orient="portrait"/>
          <w:cols w:equalWidth="0" w:num="1">
            <w:col w:w="11380"/>
          </w:cols>
          <w:pgMar w:left="240" w:top="337" w:right="279" w:bottom="13" w:gutter="0" w:footer="0" w:header="0"/>
          <w:type w:val="continuous"/>
        </w:sectPr>
      </w:pPr>
    </w:p>
    <w:p>
      <w:pPr>
        <w:spacing w:after="0" w:line="170" w:lineRule="exact"/>
        <w:rPr>
          <w:sz w:val="20"/>
          <w:szCs w:val="20"/>
          <w:color w:val="auto"/>
        </w:rPr>
      </w:pPr>
    </w:p>
    <w:p>
      <w:pPr>
        <w:ind w:left="2380" w:right="80"/>
        <w:spacing w:after="0" w:line="288" w:lineRule="auto"/>
        <w:rPr>
          <w:sz w:val="20"/>
          <w:szCs w:val="20"/>
          <w:color w:val="auto"/>
        </w:rPr>
      </w:pPr>
      <w:r>
        <w:rPr>
          <w:rFonts w:ascii="Arial" w:cs="Arial" w:eastAsia="Arial" w:hAnsi="Arial"/>
          <w:sz w:val="16"/>
          <w:szCs w:val="16"/>
          <w:color w:val="auto"/>
        </w:rPr>
        <w:t>Upon tech transfer of the commercial manufacture of BC Parenteral Meloxicam to Recro Sub or its designated third party manufacturer, in accordance with the terms of the Development and Supply Agreement, (i) if Recro Sub has paid all capital expenses for such scale up, then APIL shall ship such NanoMill to Recro Sub or its designated third party manufacturer and</w:t>
      </w:r>
    </w:p>
    <w:p>
      <w:pPr>
        <w:ind w:left="2380" w:right="200" w:hanging="9"/>
        <w:spacing w:after="0" w:line="255" w:lineRule="auto"/>
        <w:tabs>
          <w:tab w:leader="none" w:pos="264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Recro Sub shall pay APIL, pursuant to such tech transfer, any of APIL’s capital expenditures that were required for the commercial manufacture of BC Parenteral Meloxicam and have not been recouped through the Fully Burdened Manufacturing Cost for the cost of goods sold.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20" w:type="dxa"/>
            <w:vAlign w:val="bottom"/>
          </w:tcPr>
          <w:p>
            <w:pPr>
              <w:spacing w:after="0"/>
              <w:rPr>
                <w:sz w:val="20"/>
                <w:szCs w:val="20"/>
                <w:color w:val="auto"/>
              </w:rPr>
            </w:pPr>
            <w:r>
              <w:rPr>
                <w:rFonts w:ascii="Arial" w:cs="Arial" w:eastAsia="Arial" w:hAnsi="Arial"/>
                <w:sz w:val="18"/>
                <w:szCs w:val="18"/>
                <w:b w:val="1"/>
                <w:bCs w:val="1"/>
                <w:color w:val="auto"/>
              </w:rPr>
              <w:t>Exclusivity:</w:t>
            </w:r>
          </w:p>
        </w:tc>
        <w:tc>
          <w:tcPr>
            <w:tcW w:w="9600" w:type="dxa"/>
            <w:vAlign w:val="bottom"/>
            <w:gridSpan w:val="3"/>
          </w:tcPr>
          <w:p>
            <w:pPr>
              <w:ind w:left="660"/>
              <w:spacing w:after="0"/>
              <w:rPr>
                <w:sz w:val="20"/>
                <w:szCs w:val="20"/>
                <w:color w:val="auto"/>
              </w:rPr>
            </w:pPr>
            <w:r>
              <w:rPr>
                <w:rFonts w:ascii="Arial" w:cs="Arial" w:eastAsia="Arial" w:hAnsi="Arial"/>
                <w:sz w:val="18"/>
                <w:szCs w:val="18"/>
                <w:color w:val="auto"/>
                <w:w w:val="92"/>
              </w:rPr>
              <w:t>APIL shall supply BC Parenteral Meloxicam exclusively to Recro Sub (and its affiliates, licensees and/or distributors) and</w:t>
            </w:r>
          </w:p>
        </w:tc>
      </w:tr>
      <w:tr>
        <w:trPr>
          <w:trHeight w:val="230"/>
        </w:trPr>
        <w:tc>
          <w:tcPr>
            <w:tcW w:w="1720" w:type="dxa"/>
            <w:vAlign w:val="bottom"/>
          </w:tcPr>
          <w:p>
            <w:pPr>
              <w:spacing w:after="0"/>
              <w:rPr>
                <w:sz w:val="20"/>
                <w:szCs w:val="20"/>
                <w:color w:val="auto"/>
              </w:rPr>
            </w:pPr>
          </w:p>
        </w:tc>
        <w:tc>
          <w:tcPr>
            <w:tcW w:w="9600" w:type="dxa"/>
            <w:vAlign w:val="bottom"/>
            <w:gridSpan w:val="3"/>
          </w:tcPr>
          <w:p>
            <w:pPr>
              <w:ind w:left="660"/>
              <w:spacing w:after="0"/>
              <w:rPr>
                <w:sz w:val="20"/>
                <w:szCs w:val="20"/>
                <w:color w:val="auto"/>
              </w:rPr>
            </w:pPr>
            <w:r>
              <w:rPr>
                <w:rFonts w:ascii="Arial" w:cs="Arial" w:eastAsia="Arial" w:hAnsi="Arial"/>
                <w:sz w:val="18"/>
                <w:szCs w:val="18"/>
                <w:color w:val="auto"/>
              </w:rPr>
              <w:t>shall not supply BC Parenteral Meloxicam to any other person.</w:t>
            </w:r>
          </w:p>
        </w:tc>
      </w:tr>
      <w:tr>
        <w:trPr>
          <w:trHeight w:val="418"/>
        </w:trPr>
        <w:tc>
          <w:tcPr>
            <w:tcW w:w="1720" w:type="dxa"/>
            <w:vAlign w:val="bottom"/>
          </w:tcPr>
          <w:p>
            <w:pPr>
              <w:spacing w:after="0"/>
              <w:rPr>
                <w:sz w:val="20"/>
                <w:szCs w:val="20"/>
                <w:color w:val="auto"/>
              </w:rPr>
            </w:pPr>
            <w:r>
              <w:rPr>
                <w:rFonts w:ascii="Arial" w:cs="Arial" w:eastAsia="Arial" w:hAnsi="Arial"/>
                <w:sz w:val="18"/>
                <w:szCs w:val="18"/>
                <w:b w:val="1"/>
                <w:bCs w:val="1"/>
                <w:color w:val="auto"/>
              </w:rPr>
              <w:t>Development:</w:t>
            </w:r>
          </w:p>
        </w:tc>
        <w:tc>
          <w:tcPr>
            <w:tcW w:w="9600" w:type="dxa"/>
            <w:vAlign w:val="bottom"/>
            <w:gridSpan w:val="3"/>
          </w:tcPr>
          <w:p>
            <w:pPr>
              <w:ind w:left="660"/>
              <w:spacing w:after="0"/>
              <w:rPr>
                <w:sz w:val="20"/>
                <w:szCs w:val="20"/>
                <w:color w:val="auto"/>
              </w:rPr>
            </w:pPr>
            <w:r>
              <w:rPr>
                <w:rFonts w:ascii="Arial" w:cs="Arial" w:eastAsia="Arial" w:hAnsi="Arial"/>
                <w:sz w:val="18"/>
                <w:szCs w:val="18"/>
                <w:color w:val="auto"/>
                <w:w w:val="92"/>
              </w:rPr>
              <w:t>Recro Sub and APIL shall establish a joint committee to coordinate, review and approve the CMC Development Services</w:t>
            </w:r>
          </w:p>
        </w:tc>
      </w:tr>
      <w:tr>
        <w:trPr>
          <w:trHeight w:val="230"/>
        </w:trPr>
        <w:tc>
          <w:tcPr>
            <w:tcW w:w="1720" w:type="dxa"/>
            <w:vAlign w:val="bottom"/>
          </w:tcPr>
          <w:p>
            <w:pPr>
              <w:spacing w:after="0"/>
              <w:rPr>
                <w:sz w:val="20"/>
                <w:szCs w:val="20"/>
                <w:color w:val="auto"/>
              </w:rPr>
            </w:pPr>
          </w:p>
        </w:tc>
        <w:tc>
          <w:tcPr>
            <w:tcW w:w="9600" w:type="dxa"/>
            <w:vAlign w:val="bottom"/>
            <w:gridSpan w:val="3"/>
          </w:tcPr>
          <w:p>
            <w:pPr>
              <w:ind w:left="660"/>
              <w:spacing w:after="0"/>
              <w:rPr>
                <w:sz w:val="20"/>
                <w:szCs w:val="20"/>
                <w:color w:val="auto"/>
              </w:rPr>
            </w:pPr>
            <w:r>
              <w:rPr>
                <w:rFonts w:ascii="Arial" w:cs="Arial" w:eastAsia="Arial" w:hAnsi="Arial"/>
                <w:sz w:val="18"/>
                <w:szCs w:val="18"/>
                <w:color w:val="auto"/>
              </w:rPr>
              <w:t>(defined below).</w:t>
            </w:r>
          </w:p>
        </w:tc>
      </w:tr>
      <w:tr>
        <w:trPr>
          <w:trHeight w:val="418"/>
        </w:trPr>
        <w:tc>
          <w:tcPr>
            <w:tcW w:w="1720" w:type="dxa"/>
            <w:vAlign w:val="bottom"/>
          </w:tcPr>
          <w:p>
            <w:pPr>
              <w:spacing w:after="0"/>
              <w:rPr>
                <w:sz w:val="24"/>
                <w:szCs w:val="24"/>
                <w:color w:val="auto"/>
              </w:rPr>
            </w:pPr>
          </w:p>
        </w:tc>
        <w:tc>
          <w:tcPr>
            <w:tcW w:w="9600" w:type="dxa"/>
            <w:vAlign w:val="bottom"/>
            <w:gridSpan w:val="3"/>
          </w:tcPr>
          <w:p>
            <w:pPr>
              <w:ind w:left="660"/>
              <w:spacing w:after="0"/>
              <w:rPr>
                <w:sz w:val="20"/>
                <w:szCs w:val="20"/>
                <w:color w:val="auto"/>
              </w:rPr>
            </w:pPr>
            <w:r>
              <w:rPr>
                <w:rFonts w:ascii="Arial" w:cs="Arial" w:eastAsia="Arial" w:hAnsi="Arial"/>
                <w:sz w:val="18"/>
                <w:szCs w:val="18"/>
                <w:color w:val="auto"/>
                <w:w w:val="92"/>
              </w:rPr>
              <w:t>Subject to such approval by such joint committee, APIL shall provide to Recro Sub (or such affiliate(s) as Recro Sub shall</w:t>
            </w:r>
          </w:p>
        </w:tc>
      </w:tr>
      <w:tr>
        <w:trPr>
          <w:trHeight w:val="216"/>
        </w:trPr>
        <w:tc>
          <w:tcPr>
            <w:tcW w:w="1720" w:type="dxa"/>
            <w:vAlign w:val="bottom"/>
          </w:tcPr>
          <w:p>
            <w:pPr>
              <w:spacing w:after="0"/>
              <w:rPr>
                <w:sz w:val="18"/>
                <w:szCs w:val="18"/>
                <w:color w:val="auto"/>
              </w:rPr>
            </w:pPr>
          </w:p>
        </w:tc>
        <w:tc>
          <w:tcPr>
            <w:tcW w:w="9600" w:type="dxa"/>
            <w:vAlign w:val="bottom"/>
            <w:gridSpan w:val="3"/>
          </w:tcPr>
          <w:p>
            <w:pPr>
              <w:ind w:left="660"/>
              <w:spacing w:after="0"/>
              <w:rPr>
                <w:sz w:val="20"/>
                <w:szCs w:val="20"/>
                <w:color w:val="auto"/>
              </w:rPr>
            </w:pPr>
            <w:r>
              <w:rPr>
                <w:rFonts w:ascii="Arial" w:cs="Arial" w:eastAsia="Arial" w:hAnsi="Arial"/>
                <w:sz w:val="18"/>
                <w:szCs w:val="18"/>
                <w:color w:val="auto"/>
                <w:w w:val="94"/>
              </w:rPr>
              <w:t>designate in writing) (i) reasonable support with respect to the CMC section of the NDA(s) for BC Parenteral Meloxicam</w:t>
            </w:r>
          </w:p>
        </w:tc>
      </w:tr>
      <w:tr>
        <w:trPr>
          <w:trHeight w:val="216"/>
        </w:trPr>
        <w:tc>
          <w:tcPr>
            <w:tcW w:w="1720" w:type="dxa"/>
            <w:vAlign w:val="bottom"/>
          </w:tcPr>
          <w:p>
            <w:pPr>
              <w:spacing w:after="0"/>
              <w:rPr>
                <w:sz w:val="18"/>
                <w:szCs w:val="18"/>
                <w:color w:val="auto"/>
              </w:rPr>
            </w:pPr>
          </w:p>
        </w:tc>
        <w:tc>
          <w:tcPr>
            <w:tcW w:w="9600" w:type="dxa"/>
            <w:vAlign w:val="bottom"/>
            <w:gridSpan w:val="3"/>
          </w:tcPr>
          <w:p>
            <w:pPr>
              <w:ind w:left="660"/>
              <w:spacing w:after="0"/>
              <w:rPr>
                <w:sz w:val="20"/>
                <w:szCs w:val="20"/>
                <w:color w:val="auto"/>
              </w:rPr>
            </w:pPr>
            <w:r>
              <w:rPr>
                <w:rFonts w:ascii="Arial" w:cs="Arial" w:eastAsia="Arial" w:hAnsi="Arial"/>
                <w:sz w:val="18"/>
                <w:szCs w:val="18"/>
                <w:color w:val="auto"/>
                <w:w w:val="98"/>
              </w:rPr>
              <w:t>sufficient to allow Recro Sub to complete and file such CMC sections to the same standard as APIL would apply in</w:t>
            </w:r>
          </w:p>
        </w:tc>
      </w:tr>
      <w:tr>
        <w:trPr>
          <w:trHeight w:val="216"/>
        </w:trPr>
        <w:tc>
          <w:tcPr>
            <w:tcW w:w="1720" w:type="dxa"/>
            <w:vAlign w:val="bottom"/>
          </w:tcPr>
          <w:p>
            <w:pPr>
              <w:spacing w:after="0"/>
              <w:rPr>
                <w:sz w:val="18"/>
                <w:szCs w:val="18"/>
                <w:color w:val="auto"/>
              </w:rPr>
            </w:pPr>
          </w:p>
        </w:tc>
        <w:tc>
          <w:tcPr>
            <w:tcW w:w="9600" w:type="dxa"/>
            <w:vAlign w:val="bottom"/>
            <w:gridSpan w:val="3"/>
          </w:tcPr>
          <w:p>
            <w:pPr>
              <w:ind w:left="660"/>
              <w:spacing w:after="0"/>
              <w:rPr>
                <w:sz w:val="20"/>
                <w:szCs w:val="20"/>
                <w:color w:val="auto"/>
              </w:rPr>
            </w:pPr>
            <w:r>
              <w:rPr>
                <w:rFonts w:ascii="Arial" w:cs="Arial" w:eastAsia="Arial" w:hAnsi="Arial"/>
                <w:sz w:val="18"/>
                <w:szCs w:val="18"/>
                <w:color w:val="auto"/>
                <w:w w:val="98"/>
              </w:rPr>
              <w:t>submission of an NDA for its own similar products, (ii) information and expertise, including advisory, related to BC</w:t>
            </w:r>
          </w:p>
        </w:tc>
      </w:tr>
      <w:tr>
        <w:trPr>
          <w:trHeight w:val="216"/>
        </w:trPr>
        <w:tc>
          <w:tcPr>
            <w:tcW w:w="1720" w:type="dxa"/>
            <w:vAlign w:val="bottom"/>
          </w:tcPr>
          <w:p>
            <w:pPr>
              <w:spacing w:after="0"/>
              <w:rPr>
                <w:sz w:val="18"/>
                <w:szCs w:val="18"/>
                <w:color w:val="auto"/>
              </w:rPr>
            </w:pPr>
          </w:p>
        </w:tc>
        <w:tc>
          <w:tcPr>
            <w:tcW w:w="9600" w:type="dxa"/>
            <w:vAlign w:val="bottom"/>
            <w:gridSpan w:val="3"/>
          </w:tcPr>
          <w:p>
            <w:pPr>
              <w:ind w:left="660"/>
              <w:spacing w:after="0"/>
              <w:rPr>
                <w:sz w:val="20"/>
                <w:szCs w:val="20"/>
                <w:color w:val="auto"/>
              </w:rPr>
            </w:pPr>
            <w:r>
              <w:rPr>
                <w:rFonts w:ascii="Arial" w:cs="Arial" w:eastAsia="Arial" w:hAnsi="Arial"/>
                <w:sz w:val="18"/>
                <w:szCs w:val="18"/>
                <w:color w:val="auto"/>
                <w:w w:val="97"/>
              </w:rPr>
              <w:t>Parenteral Meloxicam and (iii) CMC regulatory assistance during the clinical work for BC Parenteral Meloxicam (the</w:t>
            </w:r>
          </w:p>
        </w:tc>
      </w:tr>
      <w:tr>
        <w:trPr>
          <w:trHeight w:val="190"/>
        </w:trPr>
        <w:tc>
          <w:tcPr>
            <w:tcW w:w="1720" w:type="dxa"/>
            <w:vAlign w:val="bottom"/>
          </w:tcPr>
          <w:p>
            <w:pPr>
              <w:spacing w:after="0"/>
              <w:rPr>
                <w:sz w:val="16"/>
                <w:szCs w:val="16"/>
                <w:color w:val="auto"/>
              </w:rPr>
            </w:pPr>
          </w:p>
        </w:tc>
        <w:tc>
          <w:tcPr>
            <w:tcW w:w="9600" w:type="dxa"/>
            <w:vAlign w:val="bottom"/>
            <w:gridSpan w:val="3"/>
          </w:tcPr>
          <w:p>
            <w:pPr>
              <w:ind w:left="660"/>
              <w:spacing w:after="0" w:line="190" w:lineRule="exact"/>
              <w:rPr>
                <w:sz w:val="20"/>
                <w:szCs w:val="20"/>
                <w:color w:val="auto"/>
              </w:rPr>
            </w:pPr>
            <w:r>
              <w:rPr>
                <w:rFonts w:ascii="Arial" w:cs="Arial" w:eastAsia="Arial" w:hAnsi="Arial"/>
                <w:sz w:val="18"/>
                <w:szCs w:val="18"/>
                <w:color w:val="auto"/>
              </w:rPr>
              <w:t>services described in clauses (i) through (iii), the “CMC Development Services”). APIL shall provide such CMC</w:t>
            </w:r>
          </w:p>
        </w:tc>
      </w:tr>
      <w:tr>
        <w:trPr>
          <w:trHeight w:val="20"/>
        </w:trPr>
        <w:tc>
          <w:tcPr>
            <w:tcW w:w="17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22"/>
        </w:trPr>
        <w:tc>
          <w:tcPr>
            <w:tcW w:w="1720" w:type="dxa"/>
            <w:vAlign w:val="bottom"/>
          </w:tcPr>
          <w:p>
            <w:pPr>
              <w:spacing w:after="0"/>
              <w:rPr>
                <w:sz w:val="19"/>
                <w:szCs w:val="19"/>
                <w:color w:val="auto"/>
              </w:rPr>
            </w:pPr>
          </w:p>
        </w:tc>
        <w:tc>
          <w:tcPr>
            <w:tcW w:w="9600" w:type="dxa"/>
            <w:vAlign w:val="bottom"/>
            <w:gridSpan w:val="3"/>
          </w:tcPr>
          <w:p>
            <w:pPr>
              <w:ind w:left="660"/>
              <w:spacing w:after="0"/>
              <w:rPr>
                <w:sz w:val="20"/>
                <w:szCs w:val="20"/>
                <w:color w:val="auto"/>
              </w:rPr>
            </w:pPr>
            <w:r>
              <w:rPr>
                <w:rFonts w:ascii="Arial" w:cs="Arial" w:eastAsia="Arial" w:hAnsi="Arial"/>
                <w:sz w:val="18"/>
                <w:szCs w:val="18"/>
                <w:color w:val="auto"/>
                <w:w w:val="93"/>
              </w:rPr>
              <w:t>Development Services at [***]. The maximum number of full time equivalent (FTE) hours that will be provided by APIL to</w:t>
            </w:r>
          </w:p>
        </w:tc>
      </w:tr>
      <w:tr>
        <w:trPr>
          <w:trHeight w:val="216"/>
        </w:trPr>
        <w:tc>
          <w:tcPr>
            <w:tcW w:w="1720" w:type="dxa"/>
            <w:vAlign w:val="bottom"/>
          </w:tcPr>
          <w:p>
            <w:pPr>
              <w:spacing w:after="0"/>
              <w:rPr>
                <w:sz w:val="18"/>
                <w:szCs w:val="18"/>
                <w:color w:val="auto"/>
              </w:rPr>
            </w:pPr>
          </w:p>
        </w:tc>
        <w:tc>
          <w:tcPr>
            <w:tcW w:w="9600" w:type="dxa"/>
            <w:vAlign w:val="bottom"/>
            <w:gridSpan w:val="3"/>
          </w:tcPr>
          <w:p>
            <w:pPr>
              <w:ind w:left="660"/>
              <w:spacing w:after="0"/>
              <w:rPr>
                <w:sz w:val="20"/>
                <w:szCs w:val="20"/>
                <w:color w:val="auto"/>
              </w:rPr>
            </w:pPr>
            <w:r>
              <w:rPr>
                <w:rFonts w:ascii="Arial" w:cs="Arial" w:eastAsia="Arial" w:hAnsi="Arial"/>
                <w:sz w:val="18"/>
                <w:szCs w:val="18"/>
                <w:color w:val="auto"/>
                <w:w w:val="96"/>
              </w:rPr>
              <w:t>Recro Sub (or its affiliates) in connection with such CMC Development Services shall be agreed by the parties in the</w:t>
            </w:r>
          </w:p>
        </w:tc>
      </w:tr>
      <w:tr>
        <w:trPr>
          <w:trHeight w:val="230"/>
        </w:trPr>
        <w:tc>
          <w:tcPr>
            <w:tcW w:w="1720" w:type="dxa"/>
            <w:vAlign w:val="bottom"/>
          </w:tcPr>
          <w:p>
            <w:pPr>
              <w:spacing w:after="0"/>
              <w:rPr>
                <w:sz w:val="20"/>
                <w:szCs w:val="20"/>
                <w:color w:val="auto"/>
              </w:rPr>
            </w:pPr>
          </w:p>
        </w:tc>
        <w:tc>
          <w:tcPr>
            <w:tcW w:w="9600" w:type="dxa"/>
            <w:vAlign w:val="bottom"/>
            <w:gridSpan w:val="3"/>
          </w:tcPr>
          <w:p>
            <w:pPr>
              <w:ind w:left="660"/>
              <w:spacing w:after="0"/>
              <w:rPr>
                <w:sz w:val="20"/>
                <w:szCs w:val="20"/>
                <w:color w:val="auto"/>
              </w:rPr>
            </w:pPr>
            <w:r>
              <w:rPr>
                <w:rFonts w:ascii="Arial" w:cs="Arial" w:eastAsia="Arial" w:hAnsi="Arial"/>
                <w:sz w:val="18"/>
                <w:szCs w:val="18"/>
                <w:color w:val="auto"/>
              </w:rPr>
              <w:t>Development and Supply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520" w:firstLine="8"/>
        <w:spacing w:after="0" w:line="282" w:lineRule="auto"/>
        <w:tabs>
          <w:tab w:leader="none" w:pos="435"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3" w:gutter="0" w:footer="0" w:header="0"/>
          <w:type w:val="continuous"/>
        </w:sectPr>
      </w:pPr>
    </w:p>
    <w:bookmarkStart w:id="50" w:name="page51"/>
    <w:bookmarkEnd w:id="50"/>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2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w w:val="94"/>
              </w:rPr>
              <w:t>The term of the Development and Supply Agreement will commence when executed in accordance with the terms of the</w:t>
            </w:r>
          </w:p>
        </w:tc>
      </w:tr>
      <w:tr>
        <w:trPr>
          <w:trHeight w:val="216"/>
        </w:trPr>
        <w:tc>
          <w:tcPr>
            <w:tcW w:w="1720" w:type="dxa"/>
            <w:vAlign w:val="bottom"/>
          </w:tcPr>
          <w:p>
            <w:pPr>
              <w:spacing w:after="0"/>
              <w:rPr>
                <w:sz w:val="18"/>
                <w:szCs w:val="18"/>
                <w:color w:val="auto"/>
              </w:rPr>
            </w:pP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w w:val="95"/>
              </w:rPr>
              <w:t>Agreement and extend until (i) ten (10) years from the date of the first commercial sale of Finished Meloxicam to a third</w:t>
            </w:r>
          </w:p>
        </w:tc>
      </w:tr>
      <w:tr>
        <w:trPr>
          <w:trHeight w:val="190"/>
        </w:trPr>
        <w:tc>
          <w:tcPr>
            <w:tcW w:w="1720" w:type="dxa"/>
            <w:vAlign w:val="bottom"/>
          </w:tcPr>
          <w:p>
            <w:pPr>
              <w:spacing w:after="0"/>
              <w:rPr>
                <w:sz w:val="16"/>
                <w:szCs w:val="16"/>
                <w:color w:val="auto"/>
              </w:rPr>
            </w:pPr>
          </w:p>
        </w:tc>
        <w:tc>
          <w:tcPr>
            <w:tcW w:w="9740" w:type="dxa"/>
            <w:vAlign w:val="bottom"/>
            <w:gridSpan w:val="9"/>
          </w:tcPr>
          <w:p>
            <w:pPr>
              <w:ind w:left="660"/>
              <w:spacing w:after="0" w:line="190" w:lineRule="exact"/>
              <w:rPr>
                <w:sz w:val="20"/>
                <w:szCs w:val="20"/>
                <w:color w:val="auto"/>
              </w:rPr>
            </w:pPr>
            <w:r>
              <w:rPr>
                <w:rFonts w:ascii="Arial" w:cs="Arial" w:eastAsia="Arial" w:hAnsi="Arial"/>
                <w:sz w:val="18"/>
                <w:szCs w:val="18"/>
                <w:color w:val="auto"/>
              </w:rPr>
              <w:t>party (the “First-Sale Term”), if the first commercial sale of Finished Meloxicam to a third party occurs on or before</w:t>
            </w:r>
          </w:p>
        </w:tc>
      </w:tr>
      <w:tr>
        <w:trPr>
          <w:trHeight w:val="20"/>
        </w:trPr>
        <w:tc>
          <w:tcPr>
            <w:tcW w:w="1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9740" w:type="dxa"/>
            <w:vAlign w:val="bottom"/>
            <w:gridSpan w:val="9"/>
          </w:tcPr>
          <w:p>
            <w:pPr>
              <w:ind w:left="660"/>
              <w:spacing w:after="0" w:line="196" w:lineRule="exact"/>
              <w:rPr>
                <w:sz w:val="20"/>
                <w:szCs w:val="20"/>
                <w:color w:val="auto"/>
              </w:rPr>
            </w:pPr>
            <w:r>
              <w:rPr>
                <w:rFonts w:ascii="Arial" w:cs="Arial" w:eastAsia="Arial" w:hAnsi="Arial"/>
                <w:sz w:val="18"/>
                <w:szCs w:val="18"/>
                <w:color w:val="auto"/>
                <w:w w:val="94"/>
              </w:rPr>
              <w:t>December31, 2020 or (ii) December 31, 2020, if the first commercial sale of Finished Meloxicam to a third party does not</w:t>
            </w:r>
          </w:p>
        </w:tc>
      </w:tr>
      <w:tr>
        <w:trPr>
          <w:trHeight w:val="20"/>
        </w:trPr>
        <w:tc>
          <w:tcPr>
            <w:tcW w:w="17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9740" w:type="dxa"/>
            <w:vAlign w:val="bottom"/>
            <w:gridSpan w:val="9"/>
          </w:tcPr>
          <w:p>
            <w:pPr>
              <w:ind w:left="660"/>
              <w:spacing w:after="0" w:line="196" w:lineRule="exact"/>
              <w:rPr>
                <w:sz w:val="20"/>
                <w:szCs w:val="20"/>
                <w:color w:val="auto"/>
              </w:rPr>
            </w:pPr>
            <w:r>
              <w:rPr>
                <w:rFonts w:ascii="Arial" w:cs="Arial" w:eastAsia="Arial" w:hAnsi="Arial"/>
                <w:sz w:val="18"/>
                <w:szCs w:val="18"/>
                <w:color w:val="auto"/>
              </w:rPr>
              <w:t>occur on or before December 31, 2020 (the foregoing (i) and (ii), collectively, (the “Initial Period”)).</w:t>
            </w:r>
          </w:p>
        </w:tc>
      </w:tr>
      <w:tr>
        <w:trPr>
          <w:trHeight w:val="20"/>
        </w:trPr>
        <w:tc>
          <w:tcPr>
            <w:tcW w:w="17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38"/>
        </w:trPr>
        <w:tc>
          <w:tcPr>
            <w:tcW w:w="1720" w:type="dxa"/>
            <w:vAlign w:val="bottom"/>
          </w:tcPr>
          <w:p>
            <w:pPr>
              <w:spacing w:after="0"/>
              <w:rPr>
                <w:sz w:val="24"/>
                <w:szCs w:val="24"/>
                <w:color w:val="auto"/>
              </w:rPr>
            </w:pP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w w:val="92"/>
              </w:rPr>
              <w:t>During the Initial Period, Recro Sub can terminate the Development and Supply Agreement on 180 days’ prior written notice</w:t>
            </w:r>
          </w:p>
        </w:tc>
      </w:tr>
      <w:tr>
        <w:trPr>
          <w:trHeight w:val="216"/>
        </w:trPr>
        <w:tc>
          <w:tcPr>
            <w:tcW w:w="1720" w:type="dxa"/>
            <w:vAlign w:val="bottom"/>
          </w:tcPr>
          <w:p>
            <w:pPr>
              <w:spacing w:after="0"/>
              <w:rPr>
                <w:sz w:val="18"/>
                <w:szCs w:val="18"/>
                <w:color w:val="auto"/>
              </w:rPr>
            </w:pP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w w:val="92"/>
              </w:rPr>
              <w:t>at any time subsequent to the first day on which a product is marketed by a third party pursuant to an abbreviated new drug</w:t>
            </w:r>
          </w:p>
        </w:tc>
      </w:tr>
      <w:tr>
        <w:trPr>
          <w:trHeight w:val="230"/>
        </w:trPr>
        <w:tc>
          <w:tcPr>
            <w:tcW w:w="1720" w:type="dxa"/>
            <w:vAlign w:val="bottom"/>
          </w:tcPr>
          <w:p>
            <w:pPr>
              <w:spacing w:after="0"/>
              <w:rPr>
                <w:sz w:val="20"/>
                <w:szCs w:val="20"/>
                <w:color w:val="auto"/>
              </w:rPr>
            </w:pP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rPr>
              <w:t>application referencing Finished Meloxicam (i.e. the date of first generic entry).</w:t>
            </w:r>
          </w:p>
        </w:tc>
      </w:tr>
      <w:tr>
        <w:trPr>
          <w:trHeight w:val="418"/>
        </w:trPr>
        <w:tc>
          <w:tcPr>
            <w:tcW w:w="1720" w:type="dxa"/>
            <w:vAlign w:val="bottom"/>
          </w:tcPr>
          <w:p>
            <w:pPr>
              <w:spacing w:after="0"/>
              <w:rPr>
                <w:sz w:val="24"/>
                <w:szCs w:val="24"/>
                <w:color w:val="auto"/>
              </w:rPr>
            </w:pP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w w:val="95"/>
              </w:rPr>
              <w:t>After the First-Sale Term, the Development and Supply Agreement will automatically renew for successive one (1) year</w:t>
            </w:r>
          </w:p>
        </w:tc>
      </w:tr>
      <w:tr>
        <w:trPr>
          <w:trHeight w:val="190"/>
        </w:trPr>
        <w:tc>
          <w:tcPr>
            <w:tcW w:w="1720" w:type="dxa"/>
            <w:vAlign w:val="bottom"/>
          </w:tcPr>
          <w:p>
            <w:pPr>
              <w:spacing w:after="0"/>
              <w:rPr>
                <w:sz w:val="16"/>
                <w:szCs w:val="16"/>
                <w:color w:val="auto"/>
              </w:rPr>
            </w:pPr>
          </w:p>
        </w:tc>
        <w:tc>
          <w:tcPr>
            <w:tcW w:w="9740" w:type="dxa"/>
            <w:vAlign w:val="bottom"/>
            <w:gridSpan w:val="9"/>
          </w:tcPr>
          <w:p>
            <w:pPr>
              <w:ind w:left="660"/>
              <w:spacing w:after="0" w:line="190" w:lineRule="exact"/>
              <w:rPr>
                <w:sz w:val="20"/>
                <w:szCs w:val="20"/>
                <w:color w:val="auto"/>
              </w:rPr>
            </w:pPr>
            <w:r>
              <w:rPr>
                <w:rFonts w:ascii="Arial" w:cs="Arial" w:eastAsia="Arial" w:hAnsi="Arial"/>
                <w:sz w:val="18"/>
                <w:szCs w:val="18"/>
                <w:color w:val="auto"/>
                <w:w w:val="92"/>
              </w:rPr>
              <w:t>periods (the “Extension Periods”). Either party shall have the right to terminate the Development and Supply Agreement on</w:t>
            </w:r>
          </w:p>
        </w:tc>
      </w:tr>
      <w:tr>
        <w:trPr>
          <w:trHeight w:val="20"/>
        </w:trPr>
        <w:tc>
          <w:tcPr>
            <w:tcW w:w="17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r>
      <w:tr>
        <w:trPr>
          <w:trHeight w:val="222"/>
        </w:trPr>
        <w:tc>
          <w:tcPr>
            <w:tcW w:w="1720" w:type="dxa"/>
            <w:vAlign w:val="bottom"/>
          </w:tcPr>
          <w:p>
            <w:pPr>
              <w:spacing w:after="0"/>
              <w:rPr>
                <w:sz w:val="19"/>
                <w:szCs w:val="19"/>
                <w:color w:val="auto"/>
              </w:rPr>
            </w:pP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w w:val="92"/>
              </w:rPr>
              <w:t>180 days’ prior written notice during an Extension Period; provided, that if APIL provides notice of its intent to terminate the</w:t>
            </w:r>
          </w:p>
        </w:tc>
      </w:tr>
      <w:tr>
        <w:trPr>
          <w:trHeight w:val="216"/>
        </w:trPr>
        <w:tc>
          <w:tcPr>
            <w:tcW w:w="1720" w:type="dxa"/>
            <w:vAlign w:val="bottom"/>
          </w:tcPr>
          <w:p>
            <w:pPr>
              <w:spacing w:after="0"/>
              <w:rPr>
                <w:sz w:val="18"/>
                <w:szCs w:val="18"/>
                <w:color w:val="auto"/>
              </w:rPr>
            </w:pP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w w:val="93"/>
              </w:rPr>
              <w:t>Development and Supply Agreement, APIL will cooperate with Recro Sub for technology transfer of the process to another</w:t>
            </w:r>
          </w:p>
        </w:tc>
      </w:tr>
      <w:tr>
        <w:trPr>
          <w:trHeight w:val="230"/>
        </w:trPr>
        <w:tc>
          <w:tcPr>
            <w:tcW w:w="1720" w:type="dxa"/>
            <w:vAlign w:val="bottom"/>
          </w:tcPr>
          <w:p>
            <w:pPr>
              <w:spacing w:after="0"/>
              <w:rPr>
                <w:sz w:val="20"/>
                <w:szCs w:val="20"/>
                <w:color w:val="auto"/>
              </w:rPr>
            </w:pP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rPr>
              <w:t>supplier, and Recro Sub will reimburse APIL for reasonable expenses incurred in the process.</w:t>
            </w:r>
          </w:p>
        </w:tc>
      </w:tr>
      <w:tr>
        <w:trPr>
          <w:trHeight w:val="418"/>
        </w:trPr>
        <w:tc>
          <w:tcPr>
            <w:tcW w:w="1720" w:type="dxa"/>
            <w:vAlign w:val="bottom"/>
          </w:tcPr>
          <w:p>
            <w:pPr>
              <w:spacing w:after="0"/>
              <w:rPr>
                <w:sz w:val="24"/>
                <w:szCs w:val="24"/>
                <w:color w:val="auto"/>
              </w:rPr>
            </w:pP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w w:val="96"/>
              </w:rPr>
              <w:t>At any time following the two year anniversary of the NDA approval for Finished Meloxicam, either party shall have the</w:t>
            </w:r>
          </w:p>
        </w:tc>
      </w:tr>
      <w:tr>
        <w:trPr>
          <w:trHeight w:val="216"/>
        </w:trPr>
        <w:tc>
          <w:tcPr>
            <w:tcW w:w="1720" w:type="dxa"/>
            <w:vAlign w:val="bottom"/>
          </w:tcPr>
          <w:p>
            <w:pPr>
              <w:spacing w:after="0"/>
              <w:rPr>
                <w:sz w:val="18"/>
                <w:szCs w:val="18"/>
                <w:color w:val="auto"/>
              </w:rPr>
            </w:pP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w w:val="93"/>
              </w:rPr>
              <w:t>right to terminate the commercial supply agreement upon 12 months’ written notice; in such event APIL will cooperate with</w:t>
            </w:r>
          </w:p>
        </w:tc>
      </w:tr>
      <w:tr>
        <w:trPr>
          <w:trHeight w:val="216"/>
        </w:trPr>
        <w:tc>
          <w:tcPr>
            <w:tcW w:w="1720" w:type="dxa"/>
            <w:vAlign w:val="bottom"/>
          </w:tcPr>
          <w:p>
            <w:pPr>
              <w:spacing w:after="0"/>
              <w:rPr>
                <w:sz w:val="18"/>
                <w:szCs w:val="18"/>
                <w:color w:val="auto"/>
              </w:rPr>
            </w:pP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w w:val="95"/>
              </w:rPr>
              <w:t>Recro Sub for technology transfer of the process to another supplier, and Recro Sub will reimburse APIL for reasonable</w:t>
            </w:r>
          </w:p>
        </w:tc>
      </w:tr>
      <w:tr>
        <w:trPr>
          <w:trHeight w:val="230"/>
        </w:trPr>
        <w:tc>
          <w:tcPr>
            <w:tcW w:w="1720" w:type="dxa"/>
            <w:vAlign w:val="bottom"/>
          </w:tcPr>
          <w:p>
            <w:pPr>
              <w:spacing w:after="0"/>
              <w:rPr>
                <w:sz w:val="20"/>
                <w:szCs w:val="20"/>
                <w:color w:val="auto"/>
              </w:rPr>
            </w:pP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rPr>
              <w:t>expenses incurred in the process.</w:t>
            </w:r>
          </w:p>
        </w:tc>
      </w:tr>
      <w:tr>
        <w:trPr>
          <w:trHeight w:val="418"/>
        </w:trPr>
        <w:tc>
          <w:tcPr>
            <w:tcW w:w="1720" w:type="dxa"/>
            <w:vAlign w:val="bottom"/>
          </w:tcPr>
          <w:p>
            <w:pPr>
              <w:spacing w:after="0"/>
              <w:rPr>
                <w:sz w:val="24"/>
                <w:szCs w:val="24"/>
                <w:color w:val="auto"/>
              </w:rPr>
            </w:pP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w w:val="99"/>
              </w:rPr>
              <w:t>In the event that the reversion rights under Exhibit E of the Agreement are exercised, the Development and Supply</w:t>
            </w:r>
          </w:p>
        </w:tc>
      </w:tr>
      <w:tr>
        <w:trPr>
          <w:trHeight w:val="230"/>
        </w:trPr>
        <w:tc>
          <w:tcPr>
            <w:tcW w:w="1720" w:type="dxa"/>
            <w:vAlign w:val="bottom"/>
          </w:tcPr>
          <w:p>
            <w:pPr>
              <w:spacing w:after="0"/>
              <w:rPr>
                <w:sz w:val="20"/>
                <w:szCs w:val="20"/>
                <w:color w:val="auto"/>
              </w:rPr>
            </w:pP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rPr>
              <w:t>Agreement shall automatically terminate as of the Reversion Date.</w:t>
            </w:r>
          </w:p>
        </w:tc>
      </w:tr>
      <w:tr>
        <w:trPr>
          <w:trHeight w:val="418"/>
        </w:trPr>
        <w:tc>
          <w:tcPr>
            <w:tcW w:w="1720" w:type="dxa"/>
            <w:vAlign w:val="bottom"/>
          </w:tcPr>
          <w:p>
            <w:pPr>
              <w:spacing w:after="0"/>
              <w:rPr>
                <w:sz w:val="20"/>
                <w:szCs w:val="20"/>
                <w:color w:val="auto"/>
              </w:rPr>
            </w:pPr>
            <w:r>
              <w:rPr>
                <w:rFonts w:ascii="Arial" w:cs="Arial" w:eastAsia="Arial" w:hAnsi="Arial"/>
                <w:sz w:val="18"/>
                <w:szCs w:val="18"/>
                <w:b w:val="1"/>
                <w:bCs w:val="1"/>
                <w:color w:val="auto"/>
              </w:rPr>
              <w:t>License:</w:t>
            </w: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w w:val="93"/>
              </w:rPr>
              <w:t>Recro Sub and its affiliates shall grant a non-exclusive license to APIL of such intellectual property as is required solely for</w:t>
            </w:r>
          </w:p>
        </w:tc>
      </w:tr>
      <w:tr>
        <w:trPr>
          <w:trHeight w:val="216"/>
        </w:trPr>
        <w:tc>
          <w:tcPr>
            <w:tcW w:w="1720" w:type="dxa"/>
            <w:vAlign w:val="bottom"/>
          </w:tcPr>
          <w:p>
            <w:pPr>
              <w:spacing w:after="0"/>
              <w:rPr>
                <w:sz w:val="18"/>
                <w:szCs w:val="18"/>
                <w:color w:val="auto"/>
              </w:rPr>
            </w:pP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w w:val="98"/>
              </w:rPr>
              <w:t>the purposes of APIL’s development, manufacture and supply of BC Parenteral Meloxicam and Finished Meloxicam</w:t>
            </w:r>
          </w:p>
        </w:tc>
      </w:tr>
      <w:tr>
        <w:trPr>
          <w:trHeight w:val="230"/>
        </w:trPr>
        <w:tc>
          <w:tcPr>
            <w:tcW w:w="1720" w:type="dxa"/>
            <w:vAlign w:val="bottom"/>
          </w:tcPr>
          <w:p>
            <w:pPr>
              <w:spacing w:after="0"/>
              <w:rPr>
                <w:sz w:val="20"/>
                <w:szCs w:val="20"/>
                <w:color w:val="auto"/>
              </w:rPr>
            </w:pP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rPr>
              <w:t>pursuant to the Development and Supply Agreement.</w:t>
            </w:r>
          </w:p>
        </w:tc>
      </w:tr>
      <w:tr>
        <w:trPr>
          <w:trHeight w:val="418"/>
        </w:trPr>
        <w:tc>
          <w:tcPr>
            <w:tcW w:w="1720" w:type="dxa"/>
            <w:vAlign w:val="bottom"/>
          </w:tcPr>
          <w:p>
            <w:pPr>
              <w:spacing w:after="0"/>
              <w:rPr>
                <w:sz w:val="20"/>
                <w:szCs w:val="20"/>
                <w:color w:val="auto"/>
              </w:rPr>
            </w:pPr>
            <w:r>
              <w:rPr>
                <w:rFonts w:ascii="Arial" w:cs="Arial" w:eastAsia="Arial" w:hAnsi="Arial"/>
                <w:sz w:val="18"/>
                <w:szCs w:val="18"/>
                <w:b w:val="1"/>
                <w:bCs w:val="1"/>
                <w:color w:val="auto"/>
              </w:rPr>
              <w:t>Other Terms:</w:t>
            </w: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w w:val="93"/>
              </w:rPr>
              <w:t>The Development and Supply Agreement will also contain such other terms and conditions as may be agreed upon by the</w:t>
            </w:r>
          </w:p>
        </w:tc>
      </w:tr>
      <w:tr>
        <w:trPr>
          <w:trHeight w:val="216"/>
        </w:trPr>
        <w:tc>
          <w:tcPr>
            <w:tcW w:w="1720" w:type="dxa"/>
            <w:vAlign w:val="bottom"/>
          </w:tcPr>
          <w:p>
            <w:pPr>
              <w:spacing w:after="0"/>
              <w:rPr>
                <w:sz w:val="18"/>
                <w:szCs w:val="18"/>
                <w:color w:val="auto"/>
              </w:rPr>
            </w:pP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w w:val="96"/>
              </w:rPr>
              <w:t>parties, including provisions relating to (i) forecasting, purchase orders, quality of the product, shelf life, rejection of the</w:t>
            </w:r>
          </w:p>
        </w:tc>
      </w:tr>
      <w:tr>
        <w:trPr>
          <w:trHeight w:val="230"/>
        </w:trPr>
        <w:tc>
          <w:tcPr>
            <w:tcW w:w="1720" w:type="dxa"/>
            <w:vAlign w:val="bottom"/>
          </w:tcPr>
          <w:p>
            <w:pPr>
              <w:spacing w:after="0"/>
              <w:rPr>
                <w:sz w:val="20"/>
                <w:szCs w:val="20"/>
                <w:color w:val="auto"/>
              </w:rPr>
            </w:pPr>
          </w:p>
        </w:tc>
        <w:tc>
          <w:tcPr>
            <w:tcW w:w="9740" w:type="dxa"/>
            <w:vAlign w:val="bottom"/>
            <w:gridSpan w:val="9"/>
          </w:tcPr>
          <w:p>
            <w:pPr>
              <w:ind w:left="660"/>
              <w:spacing w:after="0"/>
              <w:rPr>
                <w:sz w:val="20"/>
                <w:szCs w:val="20"/>
                <w:color w:val="auto"/>
              </w:rPr>
            </w:pPr>
            <w:r>
              <w:rPr>
                <w:rFonts w:ascii="Arial" w:cs="Arial" w:eastAsia="Arial" w:hAnsi="Arial"/>
                <w:sz w:val="18"/>
                <w:szCs w:val="18"/>
                <w:color w:val="auto"/>
              </w:rPr>
              <w:t>product, storage, delivery, recalls and</w:t>
            </w:r>
          </w:p>
        </w:tc>
      </w:tr>
      <w:tr>
        <w:trPr>
          <w:trHeight w:val="348"/>
        </w:trPr>
        <w:tc>
          <w:tcPr>
            <w:tcW w:w="1720" w:type="dxa"/>
            <w:vAlign w:val="bottom"/>
            <w:tcBorders>
              <w:bottom w:val="single" w:sz="8" w:color="010101"/>
            </w:tcBorders>
          </w:tcPr>
          <w:p>
            <w:pPr>
              <w:spacing w:after="0"/>
              <w:rPr>
                <w:sz w:val="24"/>
                <w:szCs w:val="24"/>
                <w:color w:val="auto"/>
              </w:rPr>
            </w:pPr>
          </w:p>
        </w:tc>
        <w:tc>
          <w:tcPr>
            <w:tcW w:w="14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376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21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2380" w:right="80"/>
        <w:spacing w:after="0" w:line="289" w:lineRule="auto"/>
        <w:rPr>
          <w:sz w:val="20"/>
          <w:szCs w:val="20"/>
          <w:color w:val="auto"/>
        </w:rPr>
      </w:pPr>
      <w:r>
        <w:rPr>
          <w:rFonts w:ascii="Arial" w:cs="Arial" w:eastAsia="Arial" w:hAnsi="Arial"/>
          <w:sz w:val="16"/>
          <w:szCs w:val="16"/>
          <w:color w:val="auto"/>
        </w:rPr>
        <w:t>seizures, product complaints, facility audits, regulatory compliance, rights to improvements, changes in specifications, representations and warranties, insurance and indemnification and (ii) with respect to the CMC Development Services, the scope of the development services, responsibilities for the conduct of development and the schedule for the conduct of the development. In connection with the Development and Supply Agreement, the parties shall enter into a quality agreement pursuant to which, among other things, Recro Sub will be responsible for reviewing and releasing batches and APIL will be responsible for testing. In addition to the foregoing, the Development and Supply Agreement will contain other terms and conditions satisfactory in form and substance to the parties and their legal advisors as are customarily found in agreements of that nature. APIL shall hold the DMF for BC Parenteral Meloxicam. APIL shall permit a qualified third party on behalf of Recro Sub to review and comment on the DMF and its adequacy to support IND or NDA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60" w:type="dxa"/>
            <w:vAlign w:val="bottom"/>
            <w:gridSpan w:val="5"/>
          </w:tcPr>
          <w:p>
            <w:pPr>
              <w:jc w:val="right"/>
              <w:ind w:right="2980"/>
              <w:spacing w:after="0"/>
              <w:rPr>
                <w:sz w:val="20"/>
                <w:szCs w:val="20"/>
                <w:color w:val="auto"/>
              </w:rPr>
            </w:pPr>
            <w:r>
              <w:rPr>
                <w:rFonts w:ascii="Arial" w:cs="Arial" w:eastAsia="Arial" w:hAnsi="Arial"/>
                <w:sz w:val="18"/>
                <w:szCs w:val="18"/>
                <w:color w:val="auto"/>
              </w:rPr>
              <w:t>Exhibit C</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4480" w:type="dxa"/>
            <w:vAlign w:val="bottom"/>
            <w:gridSpan w:val="3"/>
          </w:tcPr>
          <w:p>
            <w:pPr>
              <w:spacing w:after="0"/>
              <w:rPr>
                <w:sz w:val="20"/>
                <w:szCs w:val="20"/>
                <w:color w:val="auto"/>
              </w:rPr>
            </w:pPr>
            <w:r>
              <w:rPr>
                <w:rFonts w:ascii="Arial" w:cs="Arial" w:eastAsia="Arial" w:hAnsi="Arial"/>
                <w:sz w:val="18"/>
                <w:szCs w:val="18"/>
                <w:color w:val="auto"/>
              </w:rPr>
              <w:t xml:space="preserve">Sample Adjustment Amount Statement </w:t>
            </w:r>
            <w:r>
              <w:rPr>
                <w:rFonts w:ascii="Arial" w:cs="Arial" w:eastAsia="Arial" w:hAnsi="Arial"/>
                <w:sz w:val="18"/>
                <w:szCs w:val="18"/>
                <w:u w:val="single" w:color="auto"/>
                <w:color w:val="auto"/>
              </w:rPr>
              <w:t>($</w:t>
            </w:r>
            <w:r>
              <w:rPr>
                <w:rFonts w:ascii="Arial" w:cs="Arial" w:eastAsia="Arial" w:hAnsi="Arial"/>
                <w:sz w:val="18"/>
                <w:szCs w:val="18"/>
                <w:color w:val="auto"/>
              </w:rPr>
              <w:t>’000s)*</w:t>
            </w:r>
          </w:p>
        </w:tc>
        <w:tc>
          <w:tcPr>
            <w:tcW w:w="8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56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$’000</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Estimated Working Capital:</w:t>
            </w:r>
          </w:p>
        </w:tc>
        <w:tc>
          <w:tcPr>
            <w:tcW w:w="8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4560" w:type="dxa"/>
            <w:vAlign w:val="bottom"/>
            <w:gridSpan w:val="5"/>
          </w:tcPr>
          <w:p>
            <w:pPr>
              <w:jc w:val="right"/>
              <w:ind w:right="180"/>
              <w:spacing w:after="0"/>
              <w:rPr>
                <w:sz w:val="20"/>
                <w:szCs w:val="20"/>
                <w:color w:val="auto"/>
              </w:rPr>
            </w:pPr>
            <w:r>
              <w:rPr>
                <w:rFonts w:ascii="Arial" w:cs="Arial" w:eastAsia="Arial" w:hAnsi="Arial"/>
                <w:sz w:val="18"/>
                <w:szCs w:val="18"/>
                <w:color w:val="auto"/>
              </w:rPr>
              <w:t>9,464</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45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11,014</w:t>
            </w: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560" w:type="dxa"/>
            <w:vAlign w:val="bottom"/>
            <w:gridSpan w:val="5"/>
          </w:tcPr>
          <w:p>
            <w:pPr>
              <w:jc w:val="right"/>
              <w:ind w:right="180"/>
              <w:spacing w:after="0"/>
              <w:rPr>
                <w:sz w:val="20"/>
                <w:szCs w:val="20"/>
                <w:color w:val="auto"/>
              </w:rPr>
            </w:pPr>
            <w:r>
              <w:rPr>
                <w:rFonts w:ascii="Arial" w:cs="Arial" w:eastAsia="Arial" w:hAnsi="Arial"/>
                <w:sz w:val="18"/>
                <w:szCs w:val="18"/>
                <w:color w:val="auto"/>
              </w:rPr>
              <w:t>744</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45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(3,700)</w:t>
            </w: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Retention bonus accrual</w:t>
            </w:r>
          </w:p>
        </w:tc>
        <w:tc>
          <w:tcPr>
            <w:tcW w:w="4560" w:type="dxa"/>
            <w:vAlign w:val="bottom"/>
            <w:gridSpan w:val="5"/>
          </w:tcPr>
          <w:p>
            <w:pPr>
              <w:jc w:val="right"/>
              <w:ind w:right="180"/>
              <w:spacing w:after="0"/>
              <w:rPr>
                <w:sz w:val="20"/>
                <w:szCs w:val="20"/>
                <w:color w:val="auto"/>
              </w:rPr>
            </w:pPr>
            <w:r>
              <w:rPr>
                <w:rFonts w:ascii="Arial" w:cs="Arial" w:eastAsia="Arial" w:hAnsi="Arial"/>
                <w:sz w:val="18"/>
                <w:szCs w:val="18"/>
                <w:color w:val="auto"/>
              </w:rPr>
              <w:t>380</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Vacation pay accrual</w:t>
            </w:r>
          </w:p>
        </w:tc>
        <w:tc>
          <w:tcPr>
            <w:tcW w:w="45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181</w:t>
            </w: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Estimated working capital</w:t>
            </w:r>
          </w:p>
        </w:tc>
        <w:tc>
          <w:tcPr>
            <w:tcW w:w="8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18,083</w:t>
            </w:r>
          </w:p>
        </w:tc>
        <w:tc>
          <w:tcPr>
            <w:tcW w:w="18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Estimated Closing Cash Amount</w:t>
            </w:r>
          </w:p>
        </w:tc>
        <w:tc>
          <w:tcPr>
            <w:tcW w:w="4560" w:type="dxa"/>
            <w:vAlign w:val="bottom"/>
            <w:gridSpan w:val="5"/>
          </w:tcPr>
          <w:p>
            <w:pPr>
              <w:jc w:val="right"/>
              <w:ind w:right="180"/>
              <w:spacing w:after="0"/>
              <w:rPr>
                <w:sz w:val="20"/>
                <w:szCs w:val="20"/>
                <w:color w:val="auto"/>
              </w:rPr>
            </w:pPr>
            <w:r>
              <w:rPr>
                <w:rFonts w:ascii="Arial" w:cs="Arial" w:eastAsia="Arial" w:hAnsi="Arial"/>
                <w:sz w:val="18"/>
                <w:szCs w:val="18"/>
                <w:color w:val="auto"/>
              </w:rPr>
              <w:t>1,500</w:t>
            </w:r>
          </w:p>
        </w:tc>
        <w:tc>
          <w:tcPr>
            <w:tcW w:w="2380" w:type="dxa"/>
            <w:vAlign w:val="bottom"/>
          </w:tcPr>
          <w:p>
            <w:pPr>
              <w:ind w:left="12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Estimated Closing Indebtedness</w:t>
            </w: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Estimated Closing Transaction Fees</w:t>
            </w: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84" w:orient="portrait"/>
          <w:cols w:equalWidth="0" w:num="1">
            <w:col w:w="11460"/>
          </w:cols>
          <w:pgMar w:left="240" w:top="580" w:right="199" w:bottom="0" w:gutter="0" w:footer="0" w:header="0"/>
        </w:sectPr>
      </w:pPr>
    </w:p>
    <w:bookmarkStart w:id="51" w:name="page52"/>
    <w:bookmarkEnd w:id="51"/>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Target Working Capital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w:t>
            </w:r>
          </w:p>
        </w:tc>
        <w:tc>
          <w:tcPr>
            <w:tcW w:w="2560" w:type="dxa"/>
            <w:vAlign w:val="bottom"/>
          </w:tcPr>
          <w:p>
            <w:pPr>
              <w:ind w:left="300"/>
              <w:spacing w:after="0"/>
              <w:rPr>
                <w:sz w:val="20"/>
                <w:szCs w:val="20"/>
                <w:color w:val="auto"/>
              </w:rPr>
            </w:pPr>
            <w:r>
              <w:rPr>
                <w:rFonts w:ascii="Arial" w:cs="Arial" w:eastAsia="Arial" w:hAnsi="Arial"/>
                <w:sz w:val="18"/>
                <w:szCs w:val="18"/>
                <w:color w:val="auto"/>
              </w:rPr>
              <w:t>(E)</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Adjustment Amount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560" w:type="dxa"/>
            <w:vAlign w:val="bottom"/>
          </w:tcPr>
          <w:p>
            <w:pPr>
              <w:ind w:left="300"/>
              <w:spacing w:after="0"/>
              <w:rPr>
                <w:sz w:val="20"/>
                <w:szCs w:val="20"/>
                <w:color w:val="auto"/>
              </w:rPr>
            </w:pPr>
            <w:r>
              <w:rPr>
                <w:rFonts w:ascii="Arial" w:cs="Arial" w:eastAsia="Arial" w:hAnsi="Arial"/>
                <w:sz w:val="18"/>
                <w:szCs w:val="18"/>
                <w:color w:val="auto"/>
              </w:rPr>
              <w:t>A + B – C – D – 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80" w:firstLine="8"/>
        <w:spacing w:after="0" w:line="277" w:lineRule="auto"/>
        <w:tabs>
          <w:tab w:leader="none" w:pos="13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Not included in the Adjustment Statement are amounts in respect of the Retention Bonuses, vacation accruals through December 31, 2014, and the [***] claim, all of which will be paid directly by Sellers.</w:t>
      </w:r>
    </w:p>
    <w:p>
      <w:pPr>
        <w:spacing w:after="0" w:line="166" w:lineRule="exact"/>
        <w:rPr>
          <w:sz w:val="20"/>
          <w:szCs w:val="20"/>
          <w:color w:val="auto"/>
        </w:rPr>
      </w:pPr>
    </w:p>
    <w:p>
      <w:pPr>
        <w:ind w:right="560" w:firstLine="8"/>
        <w:spacing w:after="0" w:line="282" w:lineRule="auto"/>
        <w:tabs>
          <w:tab w:leader="none" w:pos="435"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Excluded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equipment:</w:t>
      </w:r>
    </w:p>
    <w:p>
      <w:pPr>
        <w:spacing w:after="0" w:line="225" w:lineRule="exact"/>
        <w:rPr>
          <w:sz w:val="20"/>
          <w:szCs w:val="20"/>
          <w:color w:val="auto"/>
        </w:rPr>
      </w:pPr>
    </w:p>
    <w:p>
      <w:pPr>
        <w:ind w:left="620" w:hanging="288"/>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NM60 Media Mill</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NM60 Chamber</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NM60 Agitator</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NM60 Chamber Removal Cart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NM60 Agitator Removal Cart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NM-60 WM 840 Pump</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NM60 Chamber w/extra cooling</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NM-60 Mill</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NM-60 Cart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NM-60 Chamber</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NM Agitator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Exhibit E to Agreement</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Earn-Out Consideration</w:t>
      </w:r>
    </w:p>
    <w:p>
      <w:pPr>
        <w:spacing w:after="0" w:line="20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The following terms shall have the following meaning for this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and terms used, but not defined in this </w:t>
      </w:r>
      <w:r>
        <w:rPr>
          <w:rFonts w:ascii="Arial" w:cs="Arial" w:eastAsia="Arial" w:hAnsi="Arial"/>
          <w:sz w:val="18"/>
          <w:szCs w:val="18"/>
          <w:u w:val="single" w:color="auto"/>
          <w:color w:val="auto"/>
        </w:rPr>
        <w:t>Exhibit E</w:t>
      </w:r>
      <w:r>
        <w:rPr>
          <w:rFonts w:ascii="Arial" w:cs="Arial" w:eastAsia="Arial" w:hAnsi="Arial"/>
          <w:sz w:val="18"/>
          <w:szCs w:val="18"/>
          <w:color w:val="auto"/>
        </w:rPr>
        <w:t>, shall have the meanings set forth in the remainder of the Agreement.</w:t>
      </w:r>
    </w:p>
    <w:p>
      <w:pPr>
        <w:spacing w:after="0" w:line="170" w:lineRule="exact"/>
        <w:rPr>
          <w:sz w:val="20"/>
          <w:szCs w:val="20"/>
          <w:color w:val="auto"/>
        </w:rPr>
      </w:pPr>
    </w:p>
    <w:p>
      <w:pPr>
        <w:ind w:right="20" w:firstLine="1305"/>
        <w:spacing w:after="0" w:line="270" w:lineRule="auto"/>
        <w:tabs>
          <w:tab w:leader="none" w:pos="1942"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xml:space="preserve">” shall mean, with respect to the efforts to be expended by Purchaser and its Affiliates, licensees and sublicensees with respect to the Development Milestones and Commercial Milestones, reasonable, diligent, good faith efforts to accomplish any such Development Milestones and Commercial Milestones as is commonly used in the pharmaceutical industry generally to accomplish a similar objective under similar circumstances, it being understood and agreed that with respect to the research, development and commercialization of any Earn-Out Product, such efforts shall be substantially equivalent to those efforts and resources commonly used in the pharmaceutical industry generally by a pharmaceutical company for a product owned by it or to which it has rights, which product is at a similar stage in its development and is of similar market potential taking into account efficacy, safety, approved labeling, the competitiveness of alternative products in the marketplace, the patent and other proprietary position of the product, the likelihood of regulatory approval, the profitability and commercial potential of the product, but without regard to any Earn-Out Consideration payable under this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right="140" w:firstLine="1305"/>
        <w:spacing w:after="0" w:line="342" w:lineRule="auto"/>
        <w:tabs>
          <w:tab w:leader="none" w:pos="195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Divestiture</w:t>
      </w:r>
      <w:r>
        <w:rPr>
          <w:rFonts w:ascii="Arial" w:cs="Arial" w:eastAsia="Arial" w:hAnsi="Arial"/>
          <w:sz w:val="16"/>
          <w:szCs w:val="16"/>
          <w:color w:val="auto"/>
        </w:rPr>
        <w:t>” (and other correlative terms) shall mean any transaction in which any Earn-Out Product or any intellectual property assets related to the same are divested or transferred by any means, including by way of merger, consolidation, asset acquisition or sale, license, sublicense,</w:t>
      </w:r>
    </w:p>
    <w:p>
      <w:pPr>
        <w:sectPr>
          <w:pgSz w:w="11900" w:h="16989" w:orient="portrait"/>
          <w:cols w:equalWidth="0" w:num="1">
            <w:col w:w="11420"/>
          </w:cols>
          <w:pgMar w:left="240" w:top="125" w:right="239" w:bottom="0" w:gutter="0" w:footer="0" w:header="0"/>
        </w:sectPr>
      </w:pPr>
    </w:p>
    <w:bookmarkStart w:id="52" w:name="page53"/>
    <w:bookmarkEnd w:id="52"/>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purchase, sale, assignment or other similar transfer.</w:t>
      </w:r>
    </w:p>
    <w:p>
      <w:pPr>
        <w:spacing w:after="0" w:line="225" w:lineRule="exact"/>
        <w:rPr>
          <w:sz w:val="20"/>
          <w:szCs w:val="20"/>
          <w:color w:val="auto"/>
        </w:rPr>
      </w:pPr>
    </w:p>
    <w:p>
      <w:pPr>
        <w:ind w:right="20" w:firstLine="1305"/>
        <w:spacing w:after="0" w:line="277" w:lineRule="auto"/>
        <w:tabs>
          <w:tab w:leader="none" w:pos="19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Consideration</w:t>
      </w:r>
      <w:r>
        <w:rPr>
          <w:rFonts w:ascii="Arial" w:cs="Arial" w:eastAsia="Arial" w:hAnsi="Arial"/>
          <w:sz w:val="18"/>
          <w:szCs w:val="18"/>
          <w:color w:val="auto"/>
        </w:rPr>
        <w:t>” shall mean, collectively, (i) Development Milestone Earn-Out Consideration, (ii) Commercial Milestone Earn-Out Consideration, and (iii) Net Sales Earn-Out Consideration.</w:t>
      </w:r>
    </w:p>
    <w:p>
      <w:pPr>
        <w:spacing w:after="0" w:line="170" w:lineRule="exact"/>
        <w:rPr>
          <w:rFonts w:ascii="Arial" w:cs="Arial" w:eastAsia="Arial" w:hAnsi="Arial"/>
          <w:sz w:val="18"/>
          <w:szCs w:val="18"/>
          <w:color w:val="auto"/>
        </w:rPr>
      </w:pPr>
    </w:p>
    <w:p>
      <w:pPr>
        <w:ind w:right="180" w:firstLine="1305"/>
        <w:spacing w:after="0" w:line="312" w:lineRule="auto"/>
        <w:tabs>
          <w:tab w:leader="none" w:pos="195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Earn-Out Product Patents</w:t>
      </w:r>
      <w:r>
        <w:rPr>
          <w:rFonts w:ascii="Arial" w:cs="Arial" w:eastAsia="Arial" w:hAnsi="Arial"/>
          <w:sz w:val="16"/>
          <w:szCs w:val="16"/>
          <w:color w:val="auto"/>
        </w:rPr>
        <w:t>” shall mean (i) the Nanotechnology Patents, (ii) the Meloxicam Transferred Patents, (iii) the OCR Patents and (iv) all Patents of Purchaser and its Affiliates, licensors, licensees or sublicensees that claim an Earn-Out Product or manufacture or use thereof, together with all Patents that claim priority (in whole or in part, directly or indirectly) with any of the foregoing of clauses (i), (ii), (iii) or (iv).</w:t>
      </w:r>
    </w:p>
    <w:p>
      <w:pPr>
        <w:spacing w:after="0" w:line="146" w:lineRule="exact"/>
        <w:rPr>
          <w:rFonts w:ascii="Arial" w:cs="Arial" w:eastAsia="Arial" w:hAnsi="Arial"/>
          <w:sz w:val="16"/>
          <w:szCs w:val="16"/>
          <w:color w:val="auto"/>
        </w:rPr>
      </w:pPr>
    </w:p>
    <w:p>
      <w:pPr>
        <w:ind w:right="200" w:firstLine="1305"/>
        <w:spacing w:after="0" w:line="264" w:lineRule="auto"/>
        <w:tabs>
          <w:tab w:leader="none" w:pos="19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Products</w:t>
      </w:r>
      <w:r>
        <w:rPr>
          <w:rFonts w:ascii="Arial" w:cs="Arial" w:eastAsia="Arial" w:hAnsi="Arial"/>
          <w:sz w:val="18"/>
          <w:szCs w:val="18"/>
          <w:color w:val="auto"/>
        </w:rPr>
        <w:t>” shall mean (i) Meloxicam, and (ii) any other product discovered or identified using the Nanotechnology IP, the OCR IP or the Meloxicam Transferred Patents, and that contains the same active pharmaceutical ingredient as Meloxicam (including any salts or other versions of such active pharmaceutical ingredient).</w:t>
      </w:r>
    </w:p>
    <w:p>
      <w:pPr>
        <w:spacing w:after="0" w:line="181" w:lineRule="exact"/>
        <w:rPr>
          <w:rFonts w:ascii="Arial" w:cs="Arial" w:eastAsia="Arial" w:hAnsi="Arial"/>
          <w:sz w:val="18"/>
          <w:szCs w:val="18"/>
          <w:color w:val="auto"/>
        </w:rPr>
      </w:pPr>
    </w:p>
    <w:p>
      <w:pPr>
        <w:ind w:right="680" w:firstLine="1305"/>
        <w:spacing w:after="0" w:line="308" w:lineRule="auto"/>
        <w:tabs>
          <w:tab w:leader="none" w:pos="1949"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Commercial Sale</w:t>
      </w:r>
      <w:r>
        <w:rPr>
          <w:rFonts w:ascii="Arial" w:cs="Arial" w:eastAsia="Arial" w:hAnsi="Arial"/>
          <w:sz w:val="17"/>
          <w:szCs w:val="17"/>
          <w:color w:val="auto"/>
        </w:rPr>
        <w:t>” shall mean, on an Earn-Out Product-by-Earn-Out Product and country-by-country basis, the first commercial sale in an arms’ length transaction of an Earn-Out Product to a Third Party by Purchaser or any of its Affiliates, licensees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sublicensees in such country following Regulatory Approval of such Earn-Out Product in such country.</w:t>
      </w:r>
    </w:p>
    <w:p>
      <w:pPr>
        <w:spacing w:after="0" w:line="225" w:lineRule="exact"/>
        <w:rPr>
          <w:sz w:val="20"/>
          <w:szCs w:val="20"/>
          <w:color w:val="auto"/>
        </w:rPr>
      </w:pPr>
    </w:p>
    <w:p>
      <w:pPr>
        <w:ind w:right="400" w:firstLine="1305"/>
        <w:spacing w:after="0" w:line="342" w:lineRule="auto"/>
        <w:tabs>
          <w:tab w:leader="none" w:pos="196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w:t>
      </w:r>
      <w:r>
        <w:rPr>
          <w:rFonts w:ascii="Arial" w:cs="Arial" w:eastAsia="Arial" w:hAnsi="Arial"/>
          <w:sz w:val="16"/>
          <w:szCs w:val="16"/>
          <w:color w:val="auto"/>
        </w:rPr>
        <w:t>” shall mean an investigational new drug application filed with the FDA, the competent authorities of a European Union member state, or equivalents in other countries or regulatory jurisdictions for authorization to commence clinical studies of a pharmaceutical product.</w:t>
      </w:r>
    </w:p>
    <w:p>
      <w:pPr>
        <w:spacing w:after="0" w:line="123" w:lineRule="exact"/>
        <w:rPr>
          <w:rFonts w:ascii="Arial" w:cs="Arial" w:eastAsia="Arial" w:hAnsi="Arial"/>
          <w:sz w:val="16"/>
          <w:szCs w:val="16"/>
          <w:color w:val="auto"/>
        </w:rPr>
      </w:pPr>
    </w:p>
    <w:p>
      <w:pPr>
        <w:jc w:val="both"/>
        <w:ind w:right="80" w:firstLine="1305"/>
        <w:spacing w:after="0" w:line="257" w:lineRule="auto"/>
        <w:tabs>
          <w:tab w:leader="none" w:pos="195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shall mean all proprietary data, information, knowledge, know-how, inventions, discoveries, trade secrets, processes, techniques, strategies, methods, practices, skills, experience, documents, apparatus, devices, assays, screens, databases (including safety databases), database structures and data analysis methods, compositions, materials, methods, formulas, improvements, clinical and non-clinical study reports, test data including pharmacological, biological, chemical, biochemical, toxicological, and clinical test data, analytical and quality control data, stability data, studies and procedures.</w:t>
      </w:r>
    </w:p>
    <w:p>
      <w:pPr>
        <w:spacing w:after="0" w:line="188" w:lineRule="exact"/>
        <w:rPr>
          <w:rFonts w:ascii="Arial" w:cs="Arial" w:eastAsia="Arial" w:hAnsi="Arial"/>
          <w:sz w:val="18"/>
          <w:szCs w:val="18"/>
          <w:color w:val="auto"/>
        </w:rPr>
      </w:pPr>
    </w:p>
    <w:p>
      <w:pPr>
        <w:ind w:left="1980" w:hanging="675"/>
        <w:spacing w:after="0"/>
        <w:tabs>
          <w:tab w:leader="none" w:pos="19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MAA</w:t>
      </w:r>
      <w:r>
        <w:rPr>
          <w:rFonts w:ascii="Arial" w:cs="Arial" w:eastAsia="Arial" w:hAnsi="Arial"/>
          <w:sz w:val="17"/>
          <w:szCs w:val="17"/>
          <w:color w:val="auto"/>
        </w:rPr>
        <w:t>” shall mean a Marketing Authorization Application as defined in EU Directive 2001/83/EC and EU Regulation (EC)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 726/2004.</w:t>
      </w:r>
    </w:p>
    <w:p>
      <w:pPr>
        <w:spacing w:after="0" w:line="211" w:lineRule="exact"/>
        <w:rPr>
          <w:sz w:val="20"/>
          <w:szCs w:val="20"/>
          <w:color w:val="auto"/>
        </w:rPr>
      </w:pPr>
    </w:p>
    <w:p>
      <w:pPr>
        <w:ind w:left="1960" w:hanging="655"/>
        <w:spacing w:after="0"/>
        <w:tabs>
          <w:tab w:leader="none" w:pos="19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Meloxicam Transferred Patents</w:t>
      </w:r>
      <w:r>
        <w:rPr>
          <w:rFonts w:ascii="Arial" w:cs="Arial" w:eastAsia="Arial" w:hAnsi="Arial"/>
          <w:sz w:val="18"/>
          <w:szCs w:val="18"/>
          <w:color w:val="auto"/>
        </w:rPr>
        <w:t>” shall have the meaning set forth in Section E of the Sellers Disclosure Letter.</w:t>
      </w:r>
    </w:p>
    <w:p>
      <w:pPr>
        <w:spacing w:after="0" w:line="225" w:lineRule="exact"/>
        <w:rPr>
          <w:rFonts w:ascii="Arial" w:cs="Arial" w:eastAsia="Arial" w:hAnsi="Arial"/>
          <w:sz w:val="18"/>
          <w:szCs w:val="18"/>
          <w:color w:val="auto"/>
        </w:rPr>
      </w:pPr>
    </w:p>
    <w:p>
      <w:pPr>
        <w:ind w:right="840" w:firstLine="1305"/>
        <w:spacing w:after="0" w:line="277" w:lineRule="auto"/>
        <w:tabs>
          <w:tab w:leader="none" w:pos="195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Nanotechnology IP</w:t>
      </w:r>
      <w:r>
        <w:rPr>
          <w:rFonts w:ascii="Arial" w:cs="Arial" w:eastAsia="Arial" w:hAnsi="Arial"/>
          <w:sz w:val="18"/>
          <w:szCs w:val="18"/>
          <w:color w:val="auto"/>
        </w:rPr>
        <w:t>” shall have the meaning set forth in the Intellectual Property Transfer and License Agreement and, subsequently, in the IP License Agreement.</w:t>
      </w:r>
    </w:p>
    <w:p>
      <w:pPr>
        <w:spacing w:after="0" w:line="170" w:lineRule="exact"/>
        <w:rPr>
          <w:rFonts w:ascii="Arial" w:cs="Arial" w:eastAsia="Arial" w:hAnsi="Arial"/>
          <w:sz w:val="18"/>
          <w:szCs w:val="18"/>
          <w:color w:val="auto"/>
        </w:rPr>
      </w:pPr>
    </w:p>
    <w:p>
      <w:pPr>
        <w:ind w:right="480" w:firstLine="1305"/>
        <w:spacing w:after="0" w:line="277" w:lineRule="auto"/>
        <w:tabs>
          <w:tab w:leader="none" w:pos="1966"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Nanotechnology Patents</w:t>
      </w:r>
      <w:r>
        <w:rPr>
          <w:rFonts w:ascii="Arial" w:cs="Arial" w:eastAsia="Arial" w:hAnsi="Arial"/>
          <w:sz w:val="18"/>
          <w:szCs w:val="18"/>
          <w:color w:val="auto"/>
        </w:rPr>
        <w:t>” shall have the meaning set forth in the Intellectual Property Transfer and License Agreement and, subsequently, in the IP License Agreement.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NDA</w:t>
      </w:r>
      <w:r>
        <w:rPr>
          <w:rFonts w:ascii="Arial" w:cs="Arial" w:eastAsia="Arial" w:hAnsi="Arial"/>
          <w:sz w:val="18"/>
          <w:szCs w:val="18"/>
          <w:color w:val="auto"/>
        </w:rPr>
        <w:t>” shall mean a New Drug Application or Supplemental New Drug Application filed with the FDA.</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Sales</w:t>
      </w:r>
      <w:r>
        <w:rPr>
          <w:rFonts w:ascii="Arial" w:cs="Arial" w:eastAsia="Arial" w:hAnsi="Arial"/>
          <w:sz w:val="18"/>
          <w:szCs w:val="18"/>
          <w:color w:val="auto"/>
        </w:rPr>
        <w:t>” shall mean, consistent with GAAP:</w:t>
      </w:r>
    </w:p>
    <w:p>
      <w:pPr>
        <w:spacing w:after="0" w:line="225" w:lineRule="exact"/>
        <w:rPr>
          <w:rFonts w:ascii="Arial" w:cs="Arial" w:eastAsia="Arial" w:hAnsi="Arial"/>
          <w:sz w:val="18"/>
          <w:szCs w:val="18"/>
          <w:color w:val="auto"/>
        </w:rPr>
      </w:pPr>
    </w:p>
    <w:p>
      <w:pPr>
        <w:ind w:right="60" w:firstLine="1953"/>
        <w:spacing w:after="0" w:line="286" w:lineRule="auto"/>
        <w:tabs>
          <w:tab w:leader="none" w:pos="2614" w:val="left"/>
        </w:tabs>
        <w:numPr>
          <w:ilvl w:val="2"/>
          <w:numId w:val="140"/>
        </w:numPr>
        <w:rPr>
          <w:rFonts w:ascii="Arial" w:cs="Arial" w:eastAsia="Arial" w:hAnsi="Arial"/>
          <w:sz w:val="16"/>
          <w:szCs w:val="16"/>
          <w:color w:val="auto"/>
        </w:rPr>
      </w:pPr>
      <w:r>
        <w:rPr>
          <w:rFonts w:ascii="Arial" w:cs="Arial" w:eastAsia="Arial" w:hAnsi="Arial"/>
          <w:sz w:val="16"/>
          <w:szCs w:val="16"/>
          <w:color w:val="auto"/>
        </w:rPr>
        <w:t>Subject to clause (ii) of this definition, the aggregate gross amount invoiced to unrelated Third Parties by Purchaser, its Affiliates, its licensees and its sublicensees for the sale of Earn-Out Products, less to the extent applicable to such sale: (A) trade, cash and quantity discounts, if any, actually accrued or paid; (B) credits, allowances and adjustments actually accrued or paid to customers, including credits for rejected or returned Earn-Out Products previously sold; (C) freight, insurance and other transportation costs actually accrued or paid, to the extent separately identified on the invoice;</w:t>
      </w:r>
    </w:p>
    <w:p>
      <w:pPr>
        <w:spacing w:after="0" w:line="1" w:lineRule="exact"/>
        <w:rPr>
          <w:rFonts w:ascii="Arial" w:cs="Arial" w:eastAsia="Arial" w:hAnsi="Arial"/>
          <w:sz w:val="16"/>
          <w:szCs w:val="16"/>
          <w:color w:val="auto"/>
        </w:rPr>
      </w:pPr>
    </w:p>
    <w:p>
      <w:pPr>
        <w:ind w:right="40" w:firstLine="8"/>
        <w:spacing w:after="0" w:line="295" w:lineRule="auto"/>
        <w:tabs>
          <w:tab w:leader="none" w:pos="29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rebates or reimbursements actually accrued or paid to managed health care organizations, national, federal, state, or local governments (or their agencies), and managed health organizations (including Medicaid rebates), and (E) taxes, including value added taxes (VAT) (other than taxes on Purchaser’s, its Affiliates’, its licensees’ or its sublicensees’ income), customs duties or other governmental charges on sales or use actually paid by Purchaser, its Affiliates, its licensees or its sublicensees with respect to the sale of such Earn-Out Products. No fines, penalties or comparable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to national, federal, state, or local governments (or their agencies) or to other third parties shall be deductible from Net Sales.</w:t>
      </w:r>
    </w:p>
    <w:p>
      <w:pPr>
        <w:spacing w:after="0" w:line="225" w:lineRule="exact"/>
        <w:rPr>
          <w:sz w:val="20"/>
          <w:szCs w:val="20"/>
          <w:color w:val="auto"/>
        </w:rPr>
      </w:pPr>
    </w:p>
    <w:p>
      <w:pPr>
        <w:ind w:firstLine="1953"/>
        <w:spacing w:after="0" w:line="286" w:lineRule="auto"/>
        <w:tabs>
          <w:tab w:leader="none" w:pos="2624" w:val="left"/>
        </w:tabs>
        <w:numPr>
          <w:ilvl w:val="1"/>
          <w:numId w:val="142"/>
        </w:numPr>
        <w:rPr>
          <w:rFonts w:ascii="Arial" w:cs="Arial" w:eastAsia="Arial" w:hAnsi="Arial"/>
          <w:sz w:val="16"/>
          <w:szCs w:val="16"/>
          <w:color w:val="auto"/>
        </w:rPr>
      </w:pPr>
      <w:r>
        <w:rPr>
          <w:rFonts w:ascii="Arial" w:cs="Arial" w:eastAsia="Arial" w:hAnsi="Arial"/>
          <w:sz w:val="16"/>
          <w:szCs w:val="16"/>
          <w:color w:val="auto"/>
        </w:rPr>
        <w:t>Sales between Purchaser, its Affiliates, its licensees or its sublicensees shall be disregarded for the purposes of calculating Net Sales as long as the Earn-Out Products are (A) resold to an unrelated Third Party in which case the final sale to such unrelated Third Party shall be included in Net Sales or (B) transferred or disposed of by Purchaser, its Affiliates, its licensees or its sublicensees for a purpose specified in clause (i) of this definition. Transfers or dispositions of Earn-Out Products, where on a non-profit basis and in line with normal industry practice, (1) for charitable purposes;</w:t>
      </w:r>
    </w:p>
    <w:p>
      <w:pPr>
        <w:spacing w:after="0" w:line="1" w:lineRule="exact"/>
        <w:rPr>
          <w:rFonts w:ascii="Arial" w:cs="Arial" w:eastAsia="Arial" w:hAnsi="Arial"/>
          <w:sz w:val="16"/>
          <w:szCs w:val="16"/>
          <w:color w:val="auto"/>
        </w:rPr>
      </w:pPr>
    </w:p>
    <w:p>
      <w:pPr>
        <w:ind w:right="100" w:firstLine="8"/>
        <w:spacing w:after="0" w:line="254" w:lineRule="auto"/>
        <w:tabs>
          <w:tab w:leader="none" w:pos="2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for preclinical, clinical trial, or non-commercial manufacturing purposes; or (3) for regulatory or governmental purposes shall not in each case be deemed “sales” for the purposes of calculating Net Sales. In addition, transfers or dispositions of free promotional samples of Earn-Out Products in line with normal industry practice shall not be deemed “sales” for the purposes of calculating Net Sales. Otherwise, for the purposes of calculating Net Sales, a “sale” shall include any transfer or other disposition of any Earn-Out Product for consideration.</w:t>
      </w:r>
    </w:p>
    <w:p>
      <w:pPr>
        <w:spacing w:after="0" w:line="190"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With respect to sales of Earn-Out Products invoiced in U.S. dollars, Net Sales shall be determined in U.S. dollars. With respect to sales of Earn-Out Products invoiced in a currency other than U.S. dollars, Net Sales shall be determined by converting the currencies in which the sales are made into U.S. dollars, at rates of exchange determined in a manner consistent with Purchaser’s, its Affiliates’, its licensees’ or its sublicensees’, as applicable, method for calculating rates of exchange in the preparation of such entity’s annual financial statements in accordance with GAAP consistently applied. No amount for which deduction is permitted pursuant to this definition shall be deducted more than once.</w:t>
      </w:r>
    </w:p>
    <w:p>
      <w:pPr>
        <w:spacing w:after="0" w:line="173" w:lineRule="exact"/>
        <w:rPr>
          <w:sz w:val="20"/>
          <w:szCs w:val="20"/>
          <w:color w:val="auto"/>
        </w:rPr>
      </w:pPr>
    </w:p>
    <w:p>
      <w:pPr>
        <w:jc w:val="both"/>
        <w:ind w:right="20" w:firstLine="1305"/>
        <w:spacing w:after="0" w:line="342" w:lineRule="auto"/>
        <w:tabs>
          <w:tab w:leader="none" w:pos="195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Sales Earn-Out Consideration Term</w:t>
      </w:r>
      <w:r>
        <w:rPr>
          <w:rFonts w:ascii="Arial" w:cs="Arial" w:eastAsia="Arial" w:hAnsi="Arial"/>
          <w:sz w:val="16"/>
          <w:szCs w:val="16"/>
          <w:color w:val="auto"/>
        </w:rPr>
        <w:t>” shall mean, on an Earn-Out Product-by-Earn-Out Product and country-by-country basis, the period of time commencing upon the First Commercial Sale of an Earn-Out Product and ending upon the later of (i) the fifteenth (15th) anniversary of the</w:t>
      </w:r>
    </w:p>
    <w:p>
      <w:pPr>
        <w:sectPr>
          <w:pgSz w:w="11900" w:h="16975" w:orient="portrait"/>
          <w:cols w:equalWidth="0" w:num="1">
            <w:col w:w="11420"/>
          </w:cols>
          <w:pgMar w:left="240" w:top="125" w:right="239" w:bottom="0" w:gutter="0" w:footer="0" w:header="0"/>
        </w:sectPr>
      </w:pPr>
    </w:p>
    <w:bookmarkStart w:id="53" w:name="page54"/>
    <w:bookmarkEnd w:id="53"/>
    <w:p>
      <w:pPr>
        <w:spacing w:after="0" w:line="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First Commercial Sale of such Earn-Out Product in such country, and (ii) the date of the last to expire Valid Claim of an Earn-Out Product Patent covering such Earn-Out Product in such country.</w:t>
      </w:r>
    </w:p>
    <w:p>
      <w:pPr>
        <w:spacing w:after="0" w:line="170" w:lineRule="exact"/>
        <w:rPr>
          <w:sz w:val="20"/>
          <w:szCs w:val="20"/>
          <w:color w:val="auto"/>
        </w:rPr>
      </w:pPr>
    </w:p>
    <w:p>
      <w:pPr>
        <w:ind w:left="1960" w:hanging="655"/>
        <w:spacing w:after="0"/>
        <w:tabs>
          <w:tab w:leader="none" w:pos="19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OCR IP</w:t>
      </w:r>
      <w:r>
        <w:rPr>
          <w:rFonts w:ascii="Arial" w:cs="Arial" w:eastAsia="Arial" w:hAnsi="Arial"/>
          <w:sz w:val="16"/>
          <w:szCs w:val="16"/>
          <w:color w:val="auto"/>
        </w:rPr>
        <w:t>” shall have the meaning set forth in the Intellectual Property Transfer and License Agreement and, subsequently,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IP License Agreement.</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OCR Patents</w:t>
      </w:r>
      <w:r>
        <w:rPr>
          <w:rFonts w:ascii="Arial" w:cs="Arial" w:eastAsia="Arial" w:hAnsi="Arial"/>
          <w:sz w:val="16"/>
          <w:szCs w:val="16"/>
          <w:color w:val="auto"/>
        </w:rPr>
        <w:t>” shall have the meaning set forth in the Intellectual Property Transfer and License Agreement and, subsequently,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IP License Agreement.</w:t>
      </w:r>
    </w:p>
    <w:p>
      <w:pPr>
        <w:spacing w:after="0" w:line="210" w:lineRule="exact"/>
        <w:rPr>
          <w:rFonts w:ascii="Arial" w:cs="Arial" w:eastAsia="Arial" w:hAnsi="Arial"/>
          <w:sz w:val="16"/>
          <w:szCs w:val="16"/>
          <w:color w:val="auto"/>
        </w:rPr>
      </w:pPr>
    </w:p>
    <w:p>
      <w:pPr>
        <w:ind w:right="80" w:firstLine="1305"/>
        <w:spacing w:after="0" w:line="259" w:lineRule="auto"/>
        <w:tabs>
          <w:tab w:leader="none" w:pos="196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shall mean any and all patents and patent applications (which for purposes of this Agreement shall include certificates of invention and applications for such certificates), including any divisionals, continuations, continuations-in-part, substitutions, reissues, re-examinations, revalidations, extensions (including pediatric exclusivity patent extensions), registrations, supplementary protection certificates, renewals, and foreign equivalents of any such patents or patent applications.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right="100" w:firstLine="1305"/>
        <w:spacing w:after="0" w:line="264" w:lineRule="auto"/>
        <w:tabs>
          <w:tab w:leader="none" w:pos="195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Approval</w:t>
      </w:r>
      <w:r>
        <w:rPr>
          <w:rFonts w:ascii="Arial" w:cs="Arial" w:eastAsia="Arial" w:hAnsi="Arial"/>
          <w:sz w:val="18"/>
          <w:szCs w:val="18"/>
          <w:color w:val="auto"/>
        </w:rPr>
        <w:t>” shall mean, with respect to a country or extra-national territory, all approvals, licenses, registrations or authorizations of any Regulatory Authority necessary in order to commercially distribute, sell or market a drug product in such country or some or all of such extra-national territory.</w:t>
      </w:r>
    </w:p>
    <w:p>
      <w:pPr>
        <w:spacing w:after="0" w:line="181" w:lineRule="exact"/>
        <w:rPr>
          <w:rFonts w:ascii="Arial" w:cs="Arial" w:eastAsia="Arial" w:hAnsi="Arial"/>
          <w:sz w:val="18"/>
          <w:szCs w:val="18"/>
          <w:color w:val="auto"/>
        </w:rPr>
      </w:pPr>
    </w:p>
    <w:p>
      <w:pPr>
        <w:ind w:right="60" w:firstLine="1305"/>
        <w:spacing w:after="0" w:line="264" w:lineRule="auto"/>
        <w:tabs>
          <w:tab w:leader="none" w:pos="195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shall mean any supra-national, federal, national, regional, state, provincial or local governmental regulatory agencies, departments, bureaus, commissions, councils or other government entities regulating or otherwise exercising authority with respect to the development, manufacture and commercialization of drug products, including the FDA.</w:t>
      </w:r>
    </w:p>
    <w:p>
      <w:pPr>
        <w:spacing w:after="0" w:line="181" w:lineRule="exact"/>
        <w:rPr>
          <w:rFonts w:ascii="Arial" w:cs="Arial" w:eastAsia="Arial" w:hAnsi="Arial"/>
          <w:sz w:val="18"/>
          <w:szCs w:val="18"/>
          <w:color w:val="auto"/>
        </w:rPr>
      </w:pPr>
    </w:p>
    <w:p>
      <w:pPr>
        <w:ind w:right="100" w:firstLine="1305"/>
        <w:spacing w:after="0" w:line="259" w:lineRule="auto"/>
        <w:tabs>
          <w:tab w:leader="none" w:pos="195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Materials</w:t>
      </w:r>
      <w:r>
        <w:rPr>
          <w:rFonts w:ascii="Arial" w:cs="Arial" w:eastAsia="Arial" w:hAnsi="Arial"/>
          <w:sz w:val="18"/>
          <w:szCs w:val="18"/>
          <w:color w:val="auto"/>
        </w:rPr>
        <w:t>” shall mean regulatory applications, submissions, notifications, registrations, or other filings made to or with a Regulatory Authority that are necessary or reasonably desirable in order to develop, manufacture, market, sell or otherwise commercialize a product in a particular country or regulatory jurisdiction. Regulatory Materials include INDs, MAAs and NDAs (as applications, but not the approvals with respect thereto).</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as of any relevant time, any Person who is not an Affiliate of Purchaser.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United States</w:t>
      </w:r>
      <w:r>
        <w:rPr>
          <w:rFonts w:ascii="Arial" w:cs="Arial" w:eastAsia="Arial" w:hAnsi="Arial"/>
          <w:sz w:val="17"/>
          <w:szCs w:val="17"/>
          <w:color w:val="auto"/>
        </w:rPr>
        <w:t>” or “</w:t>
      </w:r>
      <w:r>
        <w:rPr>
          <w:rFonts w:ascii="Arial" w:cs="Arial" w:eastAsia="Arial" w:hAnsi="Arial"/>
          <w:sz w:val="17"/>
          <w:szCs w:val="17"/>
          <w:u w:val="single" w:color="auto"/>
          <w:color w:val="auto"/>
        </w:rPr>
        <w:t>U.S.</w:t>
      </w:r>
      <w:r>
        <w:rPr>
          <w:rFonts w:ascii="Arial" w:cs="Arial" w:eastAsia="Arial" w:hAnsi="Arial"/>
          <w:sz w:val="17"/>
          <w:szCs w:val="17"/>
          <w:color w:val="auto"/>
        </w:rPr>
        <w:t>” shall mean the United States of America, including its territories and possessions, the District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Columbia and Puerto Rico.</w:t>
      </w:r>
    </w:p>
    <w:p>
      <w:pPr>
        <w:spacing w:after="0" w:line="210" w:lineRule="exact"/>
        <w:rPr>
          <w:rFonts w:ascii="Arial" w:cs="Arial" w:eastAsia="Arial" w:hAnsi="Arial"/>
          <w:sz w:val="17"/>
          <w:szCs w:val="17"/>
          <w:color w:val="auto"/>
        </w:rPr>
      </w:pPr>
    </w:p>
    <w:p>
      <w:pPr>
        <w:ind w:right="60" w:firstLine="1305"/>
        <w:spacing w:after="0" w:line="257" w:lineRule="auto"/>
        <w:tabs>
          <w:tab w:leader="none" w:pos="195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Valid Claim</w:t>
      </w:r>
      <w:r>
        <w:rPr>
          <w:rFonts w:ascii="Arial" w:cs="Arial" w:eastAsia="Arial" w:hAnsi="Arial"/>
          <w:sz w:val="18"/>
          <w:szCs w:val="18"/>
          <w:color w:val="auto"/>
        </w:rPr>
        <w:t>” shall mean a claim of an issued or pending Patent which claim (i) in the case of an issued Patent, has not been found to be unpatentable, invalid or unenforceable by a court or other authority of competent jurisdiction, from which decision no appeal is taken or can be taken and which otherwise has not been dedicated to the public or finally disclaimed, and (ii) in the case of a pending Patent, a Valid Claim shall not include a claim in a pending Patent that has a filing date or an earliest claimed priority date that is more than five (5) years prior to the date upon which pendency of the pending Patent is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-3551555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Definitions for each of the following terms are found in this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as indicated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Defined Term</w:t>
            </w:r>
          </w:p>
        </w:tc>
        <w:tc>
          <w:tcPr>
            <w:tcW w:w="460" w:type="dxa"/>
            <w:vAlign w:val="bottom"/>
            <w:tcBorders>
              <w:bottom w:val="single" w:sz="8" w:color="CCEEFF"/>
            </w:tcBorders>
          </w:tcPr>
          <w:p>
            <w:pPr>
              <w:spacing w:after="0"/>
              <w:rPr>
                <w:sz w:val="14"/>
                <w:szCs w:val="14"/>
                <w:color w:val="auto"/>
              </w:rPr>
            </w:pPr>
          </w:p>
        </w:tc>
        <w:tc>
          <w:tcPr>
            <w:tcW w:w="306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Location</w:t>
            </w:r>
          </w:p>
        </w:tc>
        <w:tc>
          <w:tcPr>
            <w:tcW w:w="4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Assigned Reversion IP Assets</w:t>
            </w:r>
          </w:p>
        </w:tc>
        <w:tc>
          <w:tcPr>
            <w:tcW w:w="4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Section 4.2(c)</w:t>
            </w:r>
          </w:p>
        </w:tc>
        <w:tc>
          <w:tcPr>
            <w:tcW w:w="40" w:type="dxa"/>
            <w:vAlign w:val="bottom"/>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Assigned Reversion Know-How</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Section 4.2(c)</w:t>
            </w:r>
          </w:p>
        </w:tc>
        <w:tc>
          <w:tcPr>
            <w:tcW w:w="4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Assigned Reversion Patents</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Section 4.2(c)</w:t>
            </w:r>
          </w:p>
        </w:tc>
        <w:tc>
          <w:tcPr>
            <w:tcW w:w="40" w:type="dxa"/>
            <w:vAlign w:val="bottom"/>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Challenge Period</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Section 4.1(b)</w:t>
            </w:r>
          </w:p>
        </w:tc>
        <w:tc>
          <w:tcPr>
            <w:tcW w:w="4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Commercial Milestone Earn-Out Consideration</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Section 2.1(b)(i)</w:t>
            </w:r>
          </w:p>
        </w:tc>
        <w:tc>
          <w:tcPr>
            <w:tcW w:w="40" w:type="dxa"/>
            <w:vAlign w:val="bottom"/>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Commercial Milestones</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Section 2.1(b)(i)</w:t>
            </w:r>
          </w:p>
        </w:tc>
        <w:tc>
          <w:tcPr>
            <w:tcW w:w="4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Cure Period</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Section 4.1(c)</w:t>
            </w:r>
          </w:p>
        </w:tc>
        <w:tc>
          <w:tcPr>
            <w:tcW w:w="40" w:type="dxa"/>
            <w:vAlign w:val="bottom"/>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Development Milestone Earn-Out Consideration</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Section 2.1(a)(i)</w:t>
            </w:r>
          </w:p>
        </w:tc>
        <w:tc>
          <w:tcPr>
            <w:tcW w:w="4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Development Milestones</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Section 2.1(a)(i)</w:t>
            </w:r>
          </w:p>
        </w:tc>
        <w:tc>
          <w:tcPr>
            <w:tcW w:w="40" w:type="dxa"/>
            <w:vAlign w:val="bottom"/>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Disagreement Notice</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Section 4.1(b)</w:t>
            </w:r>
          </w:p>
        </w:tc>
        <w:tc>
          <w:tcPr>
            <w:tcW w:w="4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Divested Assets</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Section 2.4</w:t>
            </w:r>
          </w:p>
        </w:tc>
        <w:tc>
          <w:tcPr>
            <w:tcW w:w="40" w:type="dxa"/>
            <w:vAlign w:val="bottom"/>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NDA Requirement</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Section 3.1</w:t>
            </w:r>
          </w:p>
        </w:tc>
        <w:tc>
          <w:tcPr>
            <w:tcW w:w="4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Sales Earn-Out Consideration</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Section 2.1(c)(i)</w:t>
            </w:r>
          </w:p>
        </w:tc>
        <w:tc>
          <w:tcPr>
            <w:tcW w:w="40" w:type="dxa"/>
            <w:vAlign w:val="bottom"/>
          </w:tcPr>
          <w:p>
            <w:pPr>
              <w:spacing w:after="0"/>
              <w:rPr>
                <w:sz w:val="18"/>
                <w:szCs w:val="18"/>
                <w:color w:val="auto"/>
              </w:rPr>
            </w:pPr>
          </w:p>
        </w:tc>
      </w:tr>
      <w:tr>
        <w:trPr>
          <w:trHeight w:val="348"/>
        </w:trPr>
        <w:tc>
          <w:tcPr>
            <w:tcW w:w="790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30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Net Sales Report</w:t>
            </w:r>
          </w:p>
        </w:tc>
        <w:tc>
          <w:tcPr>
            <w:tcW w:w="1720" w:type="dxa"/>
            <w:vAlign w:val="bottom"/>
            <w:shd w:val="clear" w:color="auto" w:fill="CCEEFF"/>
          </w:tcPr>
          <w:p>
            <w:pPr>
              <w:spacing w:after="0"/>
              <w:rPr>
                <w:sz w:val="18"/>
                <w:szCs w:val="18"/>
                <w:color w:val="auto"/>
              </w:rPr>
            </w:pPr>
          </w:p>
        </w:tc>
        <w:tc>
          <w:tcPr>
            <w:tcW w:w="708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Section 2.2</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Reversion Date</w:t>
            </w:r>
          </w:p>
        </w:tc>
        <w:tc>
          <w:tcPr>
            <w:tcW w:w="1720" w:type="dxa"/>
            <w:vAlign w:val="bottom"/>
          </w:tcPr>
          <w:p>
            <w:pPr>
              <w:spacing w:after="0"/>
              <w:rPr>
                <w:sz w:val="18"/>
                <w:szCs w:val="18"/>
                <w:color w:val="auto"/>
              </w:rPr>
            </w:pPr>
          </w:p>
        </w:tc>
        <w:tc>
          <w:tcPr>
            <w:tcW w:w="7080" w:type="dxa"/>
            <w:vAlign w:val="bottom"/>
          </w:tcPr>
          <w:p>
            <w:pPr>
              <w:ind w:left="4020"/>
              <w:spacing w:after="0"/>
              <w:rPr>
                <w:sz w:val="20"/>
                <w:szCs w:val="20"/>
                <w:color w:val="auto"/>
              </w:rPr>
            </w:pPr>
            <w:r>
              <w:rPr>
                <w:rFonts w:ascii="Arial" w:cs="Arial" w:eastAsia="Arial" w:hAnsi="Arial"/>
                <w:sz w:val="18"/>
                <w:szCs w:val="18"/>
                <w:color w:val="auto"/>
              </w:rPr>
              <w:t>Section 4.1(d)</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Reversion Event</w:t>
            </w:r>
          </w:p>
        </w:tc>
        <w:tc>
          <w:tcPr>
            <w:tcW w:w="1720" w:type="dxa"/>
            <w:vAlign w:val="bottom"/>
            <w:shd w:val="clear" w:color="auto" w:fill="CCEEFF"/>
          </w:tcPr>
          <w:p>
            <w:pPr>
              <w:spacing w:after="0"/>
              <w:rPr>
                <w:sz w:val="18"/>
                <w:szCs w:val="18"/>
                <w:color w:val="auto"/>
              </w:rPr>
            </w:pPr>
          </w:p>
        </w:tc>
        <w:tc>
          <w:tcPr>
            <w:tcW w:w="708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Section 4.1(a)</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Reversion Material</w:t>
            </w:r>
          </w:p>
        </w:tc>
        <w:tc>
          <w:tcPr>
            <w:tcW w:w="1720" w:type="dxa"/>
            <w:vAlign w:val="bottom"/>
          </w:tcPr>
          <w:p>
            <w:pPr>
              <w:spacing w:after="0"/>
              <w:rPr>
                <w:sz w:val="18"/>
                <w:szCs w:val="18"/>
                <w:color w:val="auto"/>
              </w:rPr>
            </w:pPr>
          </w:p>
        </w:tc>
        <w:tc>
          <w:tcPr>
            <w:tcW w:w="7080" w:type="dxa"/>
            <w:vAlign w:val="bottom"/>
          </w:tcPr>
          <w:p>
            <w:pPr>
              <w:ind w:left="4020"/>
              <w:spacing w:after="0"/>
              <w:rPr>
                <w:sz w:val="20"/>
                <w:szCs w:val="20"/>
                <w:color w:val="auto"/>
              </w:rPr>
            </w:pPr>
            <w:r>
              <w:rPr>
                <w:rFonts w:ascii="Arial" w:cs="Arial" w:eastAsia="Arial" w:hAnsi="Arial"/>
                <w:sz w:val="18"/>
                <w:szCs w:val="18"/>
                <w:color w:val="auto"/>
              </w:rPr>
              <w:t>Section 4.2(j)</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Reversion Notice</w:t>
            </w:r>
          </w:p>
        </w:tc>
        <w:tc>
          <w:tcPr>
            <w:tcW w:w="1720" w:type="dxa"/>
            <w:vAlign w:val="bottom"/>
            <w:shd w:val="clear" w:color="auto" w:fill="CCEEFF"/>
          </w:tcPr>
          <w:p>
            <w:pPr>
              <w:spacing w:after="0"/>
              <w:rPr>
                <w:sz w:val="18"/>
                <w:szCs w:val="18"/>
                <w:color w:val="auto"/>
              </w:rPr>
            </w:pPr>
          </w:p>
        </w:tc>
        <w:tc>
          <w:tcPr>
            <w:tcW w:w="708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Section 4.1(b)</w:t>
            </w: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Transferee</w:t>
            </w:r>
          </w:p>
        </w:tc>
        <w:tc>
          <w:tcPr>
            <w:tcW w:w="1720" w:type="dxa"/>
            <w:vAlign w:val="bottom"/>
          </w:tcPr>
          <w:p>
            <w:pPr>
              <w:spacing w:after="0"/>
              <w:rPr>
                <w:sz w:val="20"/>
                <w:szCs w:val="20"/>
                <w:color w:val="auto"/>
              </w:rPr>
            </w:pPr>
          </w:p>
        </w:tc>
        <w:tc>
          <w:tcPr>
            <w:tcW w:w="7080" w:type="dxa"/>
            <w:vAlign w:val="bottom"/>
          </w:tcPr>
          <w:p>
            <w:pPr>
              <w:ind w:left="4020"/>
              <w:spacing w:after="0"/>
              <w:rPr>
                <w:sz w:val="20"/>
                <w:szCs w:val="20"/>
                <w:color w:val="auto"/>
              </w:rPr>
            </w:pPr>
            <w:r>
              <w:rPr>
                <w:rFonts w:ascii="Arial" w:cs="Arial" w:eastAsia="Arial" w:hAnsi="Arial"/>
                <w:sz w:val="18"/>
                <w:szCs w:val="18"/>
                <w:color w:val="auto"/>
              </w:rPr>
              <w:t>Section 2.4</w:t>
            </w:r>
          </w:p>
        </w:tc>
      </w:tr>
      <w:tr>
        <w:trPr>
          <w:trHeight w:val="377"/>
        </w:trPr>
        <w:tc>
          <w:tcPr>
            <w:tcW w:w="2620" w:type="dxa"/>
            <w:vAlign w:val="bottom"/>
          </w:tcPr>
          <w:p>
            <w:pPr>
              <w:ind w:left="1300"/>
              <w:spacing w:after="0"/>
              <w:rPr>
                <w:sz w:val="20"/>
                <w:szCs w:val="20"/>
                <w:color w:val="auto"/>
              </w:rPr>
            </w:pPr>
            <w:r>
              <w:rPr>
                <w:rFonts w:ascii="Arial" w:cs="Arial" w:eastAsia="Arial" w:hAnsi="Arial"/>
                <w:sz w:val="18"/>
                <w:szCs w:val="18"/>
                <w:b w:val="1"/>
                <w:bCs w:val="1"/>
                <w:color w:val="auto"/>
              </w:rPr>
              <w:t>ARTICLE 2</w:t>
            </w:r>
          </w:p>
        </w:tc>
        <w:tc>
          <w:tcPr>
            <w:tcW w:w="8800" w:type="dxa"/>
            <w:vAlign w:val="bottom"/>
            <w:gridSpan w:val="2"/>
          </w:tcPr>
          <w:p>
            <w:pPr>
              <w:spacing w:after="0"/>
              <w:rPr>
                <w:sz w:val="20"/>
                <w:szCs w:val="20"/>
                <w:color w:val="auto"/>
              </w:rPr>
            </w:pPr>
            <w:r>
              <w:rPr>
                <w:rFonts w:ascii="Arial" w:cs="Arial" w:eastAsia="Arial" w:hAnsi="Arial"/>
                <w:sz w:val="18"/>
                <w:szCs w:val="18"/>
                <w:color w:val="auto"/>
              </w:rPr>
              <w:t>Earn-Out Consideration.</w:t>
            </w:r>
          </w:p>
        </w:tc>
      </w:tr>
      <w:tr>
        <w:trPr>
          <w:trHeight w:val="20"/>
        </w:trPr>
        <w:tc>
          <w:tcPr>
            <w:tcW w:w="26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Earn-Out Consideration</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Development Milestone Earn-Out Consideration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40" w:firstLine="1953"/>
        <w:spacing w:after="0" w:line="342" w:lineRule="auto"/>
        <w:tabs>
          <w:tab w:leader="none" w:pos="2614"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following amounts (“</w:t>
      </w:r>
      <w:r>
        <w:rPr>
          <w:rFonts w:ascii="Arial" w:cs="Arial" w:eastAsia="Arial" w:hAnsi="Arial"/>
          <w:sz w:val="16"/>
          <w:szCs w:val="16"/>
          <w:u w:val="single" w:color="auto"/>
          <w:color w:val="auto"/>
        </w:rPr>
        <w:t>Development Milestone Earn-Out Consideration</w:t>
      </w:r>
      <w:r>
        <w:rPr>
          <w:rFonts w:ascii="Arial" w:cs="Arial" w:eastAsia="Arial" w:hAnsi="Arial"/>
          <w:sz w:val="16"/>
          <w:szCs w:val="16"/>
          <w:color w:val="auto"/>
        </w:rPr>
        <w:t xml:space="preserve">”) shall be payable in accordance with Section 2.7 of the Agreement and this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upon achievement of the following events (“</w:t>
      </w:r>
      <w:r>
        <w:rPr>
          <w:rFonts w:ascii="Arial" w:cs="Arial" w:eastAsia="Arial" w:hAnsi="Arial"/>
          <w:sz w:val="16"/>
          <w:szCs w:val="16"/>
          <w:u w:val="single" w:color="auto"/>
          <w:color w:val="auto"/>
        </w:rPr>
        <w:t>Development Milestones</w:t>
      </w:r>
      <w:r>
        <w:rPr>
          <w:rFonts w:ascii="Arial" w:cs="Arial" w:eastAsia="Arial" w:hAnsi="Arial"/>
          <w:sz w:val="16"/>
          <w:szCs w:val="16"/>
          <w:color w:val="auto"/>
        </w:rPr>
        <w:t>”) by Purchaser and its Affiliates,</w:t>
      </w:r>
    </w:p>
    <w:p>
      <w:pPr>
        <w:sectPr>
          <w:pgSz w:w="11900" w:h="16921" w:orient="portrait"/>
          <w:cols w:equalWidth="0" w:num="1">
            <w:col w:w="11460"/>
          </w:cols>
          <w:pgMar w:left="240" w:top="125" w:right="199" w:bottom="0" w:gutter="0" w:footer="0" w:header="0"/>
        </w:sectPr>
      </w:pPr>
    </w:p>
    <w:bookmarkStart w:id="54" w:name="page55"/>
    <w:bookmarkEnd w:id="54"/>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licensees and sublicensees, and shall be non-refundable and non-creditable and not subject to deduction or set-off:</w:t>
      </w:r>
    </w:p>
    <w:p>
      <w:pPr>
        <w:spacing w:after="0" w:line="204"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Development Milestone</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Amount of Development Milestone Earn-Out</w:t>
            </w:r>
          </w:p>
        </w:tc>
        <w:tc>
          <w:tcPr>
            <w:tcW w:w="0" w:type="dxa"/>
            <w:vAlign w:val="bottom"/>
          </w:tcPr>
          <w:p>
            <w:pPr>
              <w:spacing w:after="0"/>
              <w:rPr>
                <w:sz w:val="1"/>
                <w:szCs w:val="1"/>
                <w:color w:val="auto"/>
              </w:rPr>
            </w:pPr>
          </w:p>
        </w:tc>
      </w:tr>
      <w:tr>
        <w:trPr>
          <w:trHeight w:val="171"/>
        </w:trPr>
        <w:tc>
          <w:tcPr>
            <w:tcW w:w="4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Consideration (U.S. Dollars)</w:t>
            </w:r>
          </w:p>
        </w:tc>
        <w:tc>
          <w:tcPr>
            <w:tcW w:w="0" w:type="dxa"/>
            <w:vAlign w:val="bottom"/>
          </w:tcPr>
          <w:p>
            <w:pPr>
              <w:spacing w:after="0"/>
              <w:rPr>
                <w:sz w:val="1"/>
                <w:szCs w:val="1"/>
                <w:color w:val="auto"/>
              </w:rPr>
            </w:pPr>
          </w:p>
        </w:tc>
      </w:tr>
      <w:tr>
        <w:trPr>
          <w:trHeight w:val="210"/>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4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4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80" w:firstLine="1953"/>
        <w:spacing w:after="0" w:line="264" w:lineRule="auto"/>
        <w:tabs>
          <w:tab w:leader="none" w:pos="262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Purchaser shall notify and pay to APIL each Development Milestone Earn-Out Consideration within thirty (30) calendar days after the occurrence of the corresponding Development Milestone. Each such payment shall be made by wire transfer of immediately available funds to such account or accounts as are designated in writing by APIL.</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Commercial Milestone Earn-Out Consideration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following amounts (“</w:t>
      </w:r>
      <w:r>
        <w:rPr>
          <w:rFonts w:ascii="Arial" w:cs="Arial" w:eastAsia="Arial" w:hAnsi="Arial"/>
          <w:sz w:val="18"/>
          <w:szCs w:val="18"/>
          <w:u w:val="single" w:color="auto"/>
          <w:color w:val="auto"/>
        </w:rPr>
        <w:t>Commercial Milestone Earn-Out Consideration</w:t>
      </w:r>
      <w:r>
        <w:rPr>
          <w:rFonts w:ascii="Arial" w:cs="Arial" w:eastAsia="Arial" w:hAnsi="Arial"/>
          <w:sz w:val="18"/>
          <w:szCs w:val="18"/>
          <w:color w:val="auto"/>
        </w:rPr>
        <w:t>”) shall be payable in accordance with</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Section 2.7 of the Agreement and this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following the first calendar year during which the aggregate annual Net Sales of Earn-Out Products by Purchaser and its Affiliates, licensees and sublicensees first exceed the threshold amounts set forth in the table below (“</w:t>
      </w:r>
      <w:r>
        <w:rPr>
          <w:rFonts w:ascii="Arial" w:cs="Arial" w:eastAsia="Arial" w:hAnsi="Arial"/>
          <w:sz w:val="18"/>
          <w:szCs w:val="18"/>
          <w:u w:val="single" w:color="auto"/>
          <w:color w:val="auto"/>
        </w:rPr>
        <w:t>Commercial Milestones</w:t>
      </w:r>
      <w:r>
        <w:rPr>
          <w:rFonts w:ascii="Arial" w:cs="Arial" w:eastAsia="Arial" w:hAnsi="Arial"/>
          <w:sz w:val="18"/>
          <w:szCs w:val="18"/>
          <w:color w:val="auto"/>
        </w:rPr>
        <w:t>”), and shall be non-refundable and non-creditable and not subject to deduction or set-off:</w:t>
      </w:r>
    </w:p>
    <w:p>
      <w:pPr>
        <w:spacing w:after="0" w:line="169"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Commercial Milestones</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Amount of Commercial Milestone Earn-Out</w:t>
            </w:r>
          </w:p>
        </w:tc>
        <w:tc>
          <w:tcPr>
            <w:tcW w:w="0" w:type="dxa"/>
            <w:vAlign w:val="bottom"/>
          </w:tcPr>
          <w:p>
            <w:pPr>
              <w:spacing w:after="0"/>
              <w:rPr>
                <w:sz w:val="1"/>
                <w:szCs w:val="1"/>
                <w:color w:val="auto"/>
              </w:rPr>
            </w:pPr>
          </w:p>
        </w:tc>
      </w:tr>
      <w:tr>
        <w:trPr>
          <w:trHeight w:val="171"/>
        </w:trPr>
        <w:tc>
          <w:tcPr>
            <w:tcW w:w="4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Consideration (U.S. Dollars)</w:t>
            </w:r>
          </w:p>
        </w:tc>
        <w:tc>
          <w:tcPr>
            <w:tcW w:w="0" w:type="dxa"/>
            <w:vAlign w:val="bottom"/>
          </w:tcPr>
          <w:p>
            <w:pPr>
              <w:spacing w:after="0"/>
              <w:rPr>
                <w:sz w:val="1"/>
                <w:szCs w:val="1"/>
                <w:color w:val="auto"/>
              </w:rPr>
            </w:pPr>
          </w:p>
        </w:tc>
      </w:tr>
      <w:tr>
        <w:trPr>
          <w:trHeight w:val="210"/>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in annual Net Sales</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4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 in annual Net Sales</w:t>
            </w:r>
          </w:p>
        </w:tc>
        <w:tc>
          <w:tcPr>
            <w:tcW w:w="8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4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 in annual Net Sales</w:t>
            </w:r>
          </w:p>
        </w:tc>
        <w:tc>
          <w:tcPr>
            <w:tcW w:w="8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4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1953"/>
        <w:spacing w:after="0" w:line="277" w:lineRule="auto"/>
        <w:tabs>
          <w:tab w:leader="none" w:pos="262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Purchaser shall notify and pay to APIL each Commercial Milestone Earn-Out Consideration within thirty (30) calendar days after the end of the calendar quarter in which the corresponding Commercial Milestone is achieved. Each such payment shall</w:t>
      </w:r>
    </w:p>
    <w:p>
      <w:pPr>
        <w:spacing w:after="0" w:line="396" w:lineRule="exact"/>
        <w:rPr>
          <w:rFonts w:ascii="Arial" w:cs="Arial" w:eastAsia="Arial" w:hAnsi="Arial"/>
          <w:sz w:val="18"/>
          <w:szCs w:val="18"/>
          <w:color w:val="auto"/>
        </w:rPr>
      </w:pPr>
    </w:p>
    <w:p>
      <w:pPr>
        <w:ind w:right="520" w:firstLine="8"/>
        <w:spacing w:after="0" w:line="282" w:lineRule="auto"/>
        <w:tabs>
          <w:tab w:leader="none" w:pos="435"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18268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be made by wire transfer of immediately available funds to such account or accounts as are designated in writing by APIL.</w:t>
      </w:r>
    </w:p>
    <w:p>
      <w:pPr>
        <w:spacing w:after="0" w:line="225" w:lineRule="exact"/>
        <w:rPr>
          <w:sz w:val="20"/>
          <w:szCs w:val="20"/>
          <w:color w:val="auto"/>
        </w:rPr>
      </w:pPr>
    </w:p>
    <w:p>
      <w:pPr>
        <w:ind w:left="1960" w:hanging="655"/>
        <w:spacing w:after="0"/>
        <w:tabs>
          <w:tab w:leader="none" w:pos="196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Net Sales Earn-Out Consideration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3"/>
        <w:spacing w:after="0" w:line="264" w:lineRule="auto"/>
        <w:tabs>
          <w:tab w:leader="none" w:pos="261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During the Net Sales Earn-Out Consideration Term, Purchaser shall pay in accordance with Section 2.7 of the Agreement and this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an amount of [***] percent ([***]%) of the aggregate Net Sales of Earn-Out Products (“</w:t>
      </w:r>
      <w:r>
        <w:rPr>
          <w:rFonts w:ascii="Arial" w:cs="Arial" w:eastAsia="Arial" w:hAnsi="Arial"/>
          <w:sz w:val="18"/>
          <w:szCs w:val="18"/>
          <w:u w:val="single" w:color="auto"/>
          <w:color w:val="auto"/>
        </w:rPr>
        <w:t>Net Sales Earn-Out Consideration</w:t>
      </w:r>
      <w:r>
        <w:rPr>
          <w:rFonts w:ascii="Arial" w:cs="Arial" w:eastAsia="Arial" w:hAnsi="Arial"/>
          <w:sz w:val="18"/>
          <w:szCs w:val="18"/>
          <w:color w:val="auto"/>
        </w:rPr>
        <w:t>”), which amount shall be non-refundable and non-creditable and not subject to deduction or set-off.</w:t>
      </w:r>
    </w:p>
    <w:p>
      <w:pPr>
        <w:spacing w:after="0" w:line="181" w:lineRule="exact"/>
        <w:rPr>
          <w:rFonts w:ascii="Arial" w:cs="Arial" w:eastAsia="Arial" w:hAnsi="Arial"/>
          <w:sz w:val="18"/>
          <w:szCs w:val="18"/>
          <w:color w:val="auto"/>
        </w:rPr>
      </w:pPr>
    </w:p>
    <w:p>
      <w:pPr>
        <w:ind w:right="120" w:firstLine="1953"/>
        <w:spacing w:after="0" w:line="259" w:lineRule="auto"/>
        <w:tabs>
          <w:tab w:leader="none" w:pos="262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If, pursuant to Section 2.1(c)(i) of this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any Net Sales Earn-Out Consideration is payable on Net Sales of an Earn-Out Product in the U.S. and there is no Valid Claim of an Earn-Out Product Patent in the U.S. covering such Earn-Out Product at the time of such sale, the percentage applicable to calculate such Net Sales Earn-Out Consideration shall be reduced by thirty percent (30%) from the percentage set forth in Section 2.1(c)(i) of this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87"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Net Sales Reports</w:t>
      </w:r>
      <w:r>
        <w:rPr>
          <w:rFonts w:ascii="Arial" w:cs="Arial" w:eastAsia="Arial" w:hAnsi="Arial"/>
          <w:sz w:val="18"/>
          <w:szCs w:val="18"/>
          <w:color w:val="auto"/>
        </w:rPr>
        <w:t>. During the Net Sales Earn-Out Consideration Term, (a) within five (5) Business Days after the end of each calendar quarter, Purchaser shall provide an estimate of the Net Sales, on a Earn-Out Product-by-Earn-Out Product and country-by-country basis, to APIL for the preceding calendar quarter and (b) within forty-five (45) calendar days after the end of each calendar quarter, Purchaser shall provide a sales report (“</w:t>
      </w:r>
      <w:r>
        <w:rPr>
          <w:rFonts w:ascii="Arial" w:cs="Arial" w:eastAsia="Arial" w:hAnsi="Arial"/>
          <w:sz w:val="18"/>
          <w:szCs w:val="18"/>
          <w:u w:val="single" w:color="auto"/>
          <w:color w:val="auto"/>
        </w:rPr>
        <w:t>Net</w:t>
      </w:r>
      <w:r>
        <w:rPr>
          <w:rFonts w:ascii="Arial" w:cs="Arial" w:eastAsia="Arial" w:hAnsi="Arial"/>
          <w:sz w:val="18"/>
          <w:szCs w:val="18"/>
          <w:color w:val="auto"/>
        </w:rPr>
        <w:t xml:space="preserve"> </w:t>
      </w:r>
      <w:r>
        <w:rPr>
          <w:rFonts w:ascii="Arial" w:cs="Arial" w:eastAsia="Arial" w:hAnsi="Arial"/>
          <w:sz w:val="18"/>
          <w:szCs w:val="18"/>
          <w:u w:val="single" w:color="auto"/>
          <w:color w:val="auto"/>
        </w:rPr>
        <w:t>Sales Report</w:t>
      </w:r>
      <w:r>
        <w:rPr>
          <w:rFonts w:ascii="Arial" w:cs="Arial" w:eastAsia="Arial" w:hAnsi="Arial"/>
          <w:sz w:val="18"/>
          <w:szCs w:val="18"/>
          <w:color w:val="auto"/>
        </w:rPr>
        <w:t>”), on a Earn-Out Product-by-Earn-Out Product and country-by-country basis, to APIL showing a reconciliation of gross sales to Net Sales of each Earn-Out Product during such calendar quarter reporting period (including the related permitted deductions) and the Net Sales Earn-Out Consideration payable with respect thereto. Purchaser shall pay to APIL the Net Sales Earn-Out Consideration for each calendar quarter at the time of submission of the corresponding Net Sales Report. If no Net Sales Earn-Out Consideration is due for any period hereunder following commencement of the reporting obligation, Purchaser shall so report.</w:t>
      </w:r>
    </w:p>
    <w:p>
      <w:pPr>
        <w:spacing w:after="0" w:line="19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Late Payments</w:t>
      </w:r>
      <w:r>
        <w:rPr>
          <w:rFonts w:ascii="Arial" w:cs="Arial" w:eastAsia="Arial" w:hAnsi="Arial"/>
          <w:sz w:val="18"/>
          <w:szCs w:val="18"/>
          <w:color w:val="auto"/>
        </w:rPr>
        <w:t>. If APIL does not receive payment of any sum due to them on or before the due date, simple interest shall thereafter accrue on the sum due to APIL until the date of payment at the per annum rate of two percent (2%) over the then-current prime rate quoted by Citibank in New York City or the maximum rate allowable by applicable Law, whichever is lower.</w:t>
      </w:r>
    </w:p>
    <w:p>
      <w:pPr>
        <w:spacing w:after="0" w:line="18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Divestitures</w:t>
      </w:r>
      <w:r>
        <w:rPr>
          <w:rFonts w:ascii="Arial" w:cs="Arial" w:eastAsia="Arial" w:hAnsi="Arial"/>
          <w:sz w:val="16"/>
          <w:szCs w:val="16"/>
          <w:color w:val="auto"/>
        </w:rPr>
        <w:t>. If at any time after the Closing, Purchaser Divests to a Third Party or an Affiliate any Earn-Out Product, Earn-Out Product Patent or any other intellectual property asset related to an Earn-Out Product (collectively, “</w:t>
      </w:r>
      <w:r>
        <w:rPr>
          <w:rFonts w:ascii="Arial" w:cs="Arial" w:eastAsia="Arial" w:hAnsi="Arial"/>
          <w:sz w:val="16"/>
          <w:szCs w:val="16"/>
          <w:u w:val="single" w:color="auto"/>
          <w:color w:val="auto"/>
        </w:rPr>
        <w:t>Divested Assets</w:t>
      </w:r>
      <w:r>
        <w:rPr>
          <w:rFonts w:ascii="Arial" w:cs="Arial" w:eastAsia="Arial" w:hAnsi="Arial"/>
          <w:sz w:val="16"/>
          <w:szCs w:val="16"/>
          <w:color w:val="auto"/>
        </w:rPr>
        <w:t>” and the party receiving any Divested Assets the “</w:t>
      </w:r>
      <w:r>
        <w:rPr>
          <w:rFonts w:ascii="Arial" w:cs="Arial" w:eastAsia="Arial" w:hAnsi="Arial"/>
          <w:sz w:val="16"/>
          <w:szCs w:val="16"/>
          <w:u w:val="single" w:color="auto"/>
          <w:color w:val="auto"/>
        </w:rPr>
        <w:t>Transferee</w:t>
      </w:r>
      <w:r>
        <w:rPr>
          <w:rFonts w:ascii="Arial" w:cs="Arial" w:eastAsia="Arial" w:hAnsi="Arial"/>
          <w:sz w:val="16"/>
          <w:szCs w:val="16"/>
          <w:color w:val="auto"/>
        </w:rPr>
        <w:t xml:space="preserve">”), Purchaser shall: (a) make provision for the Transferee to assume and succeed to the obligations of Purchaser set forth in this </w:t>
      </w:r>
      <w:r>
        <w:rPr>
          <w:rFonts w:ascii="Arial" w:cs="Arial" w:eastAsia="Arial" w:hAnsi="Arial"/>
          <w:sz w:val="16"/>
          <w:szCs w:val="16"/>
          <w:u w:val="single" w:color="auto"/>
          <w:color w:val="auto"/>
        </w:rPr>
        <w:t>Exhibit E</w:t>
      </w:r>
      <w:r>
        <w:rPr>
          <w:rFonts w:ascii="Arial" w:cs="Arial" w:eastAsia="Arial" w:hAnsi="Arial"/>
          <w:sz w:val="16"/>
          <w:szCs w:val="16"/>
          <w:color w:val="auto"/>
        </w:rPr>
        <w:t>; and</w:t>
      </w:r>
    </w:p>
    <w:p>
      <w:pPr>
        <w:ind w:firstLine="8"/>
        <w:spacing w:after="0" w:line="255" w:lineRule="auto"/>
        <w:tabs>
          <w:tab w:leader="none" w:pos="2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prior to or simultaneously with the consummation of any such Divestiture, cause such Transferee to provide to APIL an instrument of assumption in a reasonable form for the benefit of APIL effecting the assumption and succession described in the foregoing Clause (a), and proof satisfactory to APIL of such Transferee’s financial capacity to assume Purchaser’s obligations set forth in this </w:t>
      </w:r>
      <w:r>
        <w:rPr>
          <w:rFonts w:ascii="Arial" w:cs="Arial" w:eastAsia="Arial" w:hAnsi="Arial"/>
          <w:sz w:val="18"/>
          <w:szCs w:val="18"/>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6" w:lineRule="exact"/>
        <w:rPr>
          <w:sz w:val="20"/>
          <w:szCs w:val="20"/>
          <w:color w:val="auto"/>
        </w:rPr>
      </w:pPr>
    </w:p>
    <w:p>
      <w:pPr>
        <w:ind w:right="520" w:firstLine="8"/>
        <w:spacing w:after="0" w:line="282" w:lineRule="auto"/>
        <w:tabs>
          <w:tab w:leader="none" w:pos="435"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w:t>
      </w:r>
      <w:r>
        <w:rPr>
          <w:rFonts w:ascii="Arial" w:cs="Arial" w:eastAsia="Arial" w:hAnsi="Arial"/>
          <w:sz w:val="18"/>
          <w:szCs w:val="18"/>
          <w:color w:val="auto"/>
        </w:rPr>
        <w:t xml:space="preserve">. Purchaser shall remain liable to APIL for all obligations set forth in this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following any such Divestiture.</w:t>
      </w:r>
    </w:p>
    <w:p>
      <w:pPr>
        <w:spacing w:after="0" w:line="221"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6"/>
          <w:szCs w:val="16"/>
          <w:u w:val="single" w:color="auto"/>
          <w:color w:val="auto"/>
        </w:rPr>
        <w:t>Diligence; Reporting; Audit</w:t>
      </w:r>
      <w:r>
        <w:rPr>
          <w:rFonts w:ascii="Arial" w:cs="Arial" w:eastAsia="Arial" w:hAnsi="Arial"/>
          <w:sz w:val="16"/>
          <w:szCs w:val="16"/>
          <w:color w:val="auto"/>
        </w:rPr>
        <w:t>.</w:t>
      </w:r>
    </w:p>
    <w:p>
      <w:pPr>
        <w:sectPr>
          <w:pgSz w:w="11900" w:h="16870" w:orient="portrait"/>
          <w:cols w:equalWidth="0" w:num="1">
            <w:col w:w="11380"/>
          </w:cols>
          <w:pgMar w:left="240" w:top="125" w:right="279" w:bottom="0" w:gutter="0" w:footer="0" w:header="0"/>
        </w:sectPr>
      </w:pPr>
    </w:p>
    <w:bookmarkStart w:id="55" w:name="page56"/>
    <w:bookmarkEnd w:id="55"/>
    <w:p>
      <w:pPr>
        <w:spacing w:after="0" w:line="12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Diligence</w:t>
      </w:r>
      <w:r>
        <w:rPr>
          <w:rFonts w:ascii="Arial" w:cs="Arial" w:eastAsia="Arial" w:hAnsi="Arial"/>
          <w:sz w:val="17"/>
          <w:szCs w:val="17"/>
          <w:color w:val="auto"/>
        </w:rPr>
        <w:t>. Purchaser, itself or through one or more of its Affiliates, licensees and sublicensees, shall use Commercially Reasonable Efforts to achieve each of the Development Milestones and Commercial Milestones. Without limiting the foregoing, Purchaser, itself or through one or more of its Affiliates, licensees and sublicensees, shall file an NDA for an Earn-Out Product with the FDA on or before [***] (the “</w:t>
      </w:r>
      <w:r>
        <w:rPr>
          <w:rFonts w:ascii="Arial" w:cs="Arial" w:eastAsia="Arial" w:hAnsi="Arial"/>
          <w:sz w:val="17"/>
          <w:szCs w:val="17"/>
          <w:u w:val="single" w:color="auto"/>
          <w:color w:val="auto"/>
        </w:rPr>
        <w:t>NDA Requirement</w:t>
      </w:r>
      <w:r>
        <w:rPr>
          <w:rFonts w:ascii="Arial" w:cs="Arial" w:eastAsia="Arial" w:hAnsi="Arial"/>
          <w:sz w:val="17"/>
          <w:szCs w:val="17"/>
          <w:color w:val="auto"/>
        </w:rPr>
        <w: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Reporting</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4" w:lineRule="auto"/>
        <w:tabs>
          <w:tab w:leader="none" w:pos="194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For so long as any Earn-Out Product is in development, on each anniversary of the Closing Date, Purchaser shall provide a written report to APIL detailing the development activities with respect to the Earn-Out Products completed for the past annual reporting period and anticipated to be undertaken for the next twelve (12) months period. At a minimum, such report shall include a list and general status (i.e., what stage in discovery/development using Purchaser’s internal measures) of each Earn-Out Product then in development, and any ongoing pre-clinical or clinical activities (including initiations and cessations) and results, and submission and approvals to or from Regulatory Authorities (including anticipated date of achievement of the Development Milestones), and any other similar information relating to development activities for the Earn-Out Products. Purchaser shall cause its senior officers from its research and clinical development operations to be reasonably available to APIL to answer questions related to the matters required to be discussed in each report.</w:t>
      </w:r>
    </w:p>
    <w:p>
      <w:pPr>
        <w:spacing w:after="0" w:line="192" w:lineRule="exact"/>
        <w:rPr>
          <w:rFonts w:ascii="Arial" w:cs="Arial" w:eastAsia="Arial" w:hAnsi="Arial"/>
          <w:sz w:val="18"/>
          <w:szCs w:val="18"/>
          <w:color w:val="auto"/>
        </w:rPr>
      </w:pPr>
    </w:p>
    <w:p>
      <w:pPr>
        <w:ind w:right="40" w:firstLine="1305"/>
        <w:spacing w:after="0" w:line="255" w:lineRule="auto"/>
        <w:tabs>
          <w:tab w:leader="none" w:pos="195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For so long as any Earn-Out Product is being marketed, sold, or otherwise commercialized, within sixty (60) days of the end of each calendar quarter, Purchaser shall provide a written report to APIL detailing the commercialization efforts with respect to the Earn-Out Products completed for the past quarterly reporting period and anticipated to be undertaken for the next calendar quarter and for the three (3) calendar quarters thereafter. At a minimum, such report shall include with respect to the commercialized Earn Out Products marketing and sales efforts, forecasted sales, pricing changes, anticipated date of achievement of the Commercial Milestones, and any other similar information relating to commercialization activities for the Earn-Out Products. Purchaser shall cause its senior officers from business operations to be reasonably available to APIL to answer questions related to the matters required to be discussed in each report.</w:t>
      </w:r>
    </w:p>
    <w:p>
      <w:pPr>
        <w:spacing w:after="0" w:line="18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Audit</w:t>
      </w:r>
      <w:r>
        <w:rPr>
          <w:rFonts w:ascii="Arial" w:cs="Arial" w:eastAsia="Arial" w:hAnsi="Arial"/>
          <w:sz w:val="16"/>
          <w:szCs w:val="16"/>
          <w:color w:val="auto"/>
        </w:rPr>
        <w:t xml:space="preserve">. Purchaser shall maintain, and shall cause its Affiliates, licensees and sublicensees to maintain, complete and accurate books and records in sufficient detail to permit APIL, at its expense, to confirm the achievement of Development Milestones and Commercial Milestones, and the calculation of Earn-Out Consideration payable under this Agreement and this </w:t>
      </w:r>
      <w:r>
        <w:rPr>
          <w:rFonts w:ascii="Arial" w:cs="Arial" w:eastAsia="Arial" w:hAnsi="Arial"/>
          <w:sz w:val="16"/>
          <w:szCs w:val="16"/>
          <w:u w:val="single" w:color="auto"/>
          <w:color w:val="auto"/>
        </w:rPr>
        <w:t>Exhibit E</w:t>
      </w:r>
      <w:r>
        <w:rPr>
          <w:rFonts w:ascii="Arial" w:cs="Arial" w:eastAsia="Arial" w:hAnsi="Arial"/>
          <w:sz w:val="16"/>
          <w:szCs w:val="16"/>
          <w:color w:val="auto"/>
        </w:rPr>
        <w:t>. Upon reasonable prior notice, such books and records shall be open during regular business hours for a period of three (3) years from the creation of individual books and records for examination, by an independent certified public accountant selected by APIL and reasonably acceptable to Purchaser for the sole purpose of verifying for APIL the accuracy of the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8268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4" w:lineRule="exact"/>
        <w:rPr>
          <w:sz w:val="20"/>
          <w:szCs w:val="20"/>
          <w:color w:val="auto"/>
        </w:rPr>
      </w:pPr>
    </w:p>
    <w:p>
      <w:pPr>
        <w:ind w:right="560" w:firstLine="8"/>
        <w:spacing w:after="0" w:line="282" w:lineRule="auto"/>
        <w:tabs>
          <w:tab w:leader="none" w:pos="435"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statements, reports and notices furnished by Purchaser pursuant to this Agreement and this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and of any payments made, or required to be made, by Purchaser to APIL pursuant to this Agreement and this </w:t>
      </w:r>
      <w:r>
        <w:rPr>
          <w:rFonts w:ascii="Arial" w:cs="Arial" w:eastAsia="Arial" w:hAnsi="Arial"/>
          <w:sz w:val="16"/>
          <w:szCs w:val="16"/>
          <w:u w:val="single" w:color="auto"/>
          <w:color w:val="auto"/>
        </w:rPr>
        <w:t>Exhibit E</w:t>
      </w:r>
      <w:r>
        <w:rPr>
          <w:rFonts w:ascii="Arial" w:cs="Arial" w:eastAsia="Arial" w:hAnsi="Arial"/>
          <w:sz w:val="16"/>
          <w:szCs w:val="16"/>
          <w:color w:val="auto"/>
        </w:rPr>
        <w:t>. Any amounts shown to be owed to APIL but unpaid shall be paid by Purchaser within thirty</w:t>
      </w:r>
    </w:p>
    <w:p>
      <w:pPr>
        <w:jc w:val="both"/>
        <w:ind w:right="60" w:firstLine="8"/>
        <w:spacing w:after="0" w:line="254" w:lineRule="auto"/>
        <w:tabs>
          <w:tab w:leader="none" w:pos="34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days after the accountant’s report, plus interest (as set forth in Section 2.3 of this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from the original due date. If Purchaser is found to have underpaid amounts owed to APIL by five percent (5%) or more, then Purchaser shall also pay for the conduct of the audit. In the event that Purchaser has overpaid APIL, at APIL’s option, Purchaser shall either credit the amount of any such overpayment to amounts subsequently due by Purchaser to APIL under this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APIL shall reimburse Purchaser the amount of any such overpayment.</w:t>
      </w:r>
    </w:p>
    <w:p>
      <w:pPr>
        <w:spacing w:after="0" w:line="186"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6"/>
          <w:szCs w:val="16"/>
          <w:color w:val="auto"/>
        </w:rPr>
        <w:t>Reversion.</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Determination of Reversion Event</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302" w:lineRule="auto"/>
        <w:tabs>
          <w:tab w:leader="none" w:pos="194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Reversion Event</w:t>
      </w:r>
      <w:r>
        <w:rPr>
          <w:rFonts w:ascii="Arial" w:cs="Arial" w:eastAsia="Arial" w:hAnsi="Arial"/>
          <w:sz w:val="16"/>
          <w:szCs w:val="16"/>
          <w:color w:val="auto"/>
        </w:rPr>
        <w:t xml:space="preserve">” shall exist in the event that Purchaser, itself or through one or more of its Affiliates, licensees and sublicensees, (i) fails to satisfy the NDA Requirement, or (ii) in the reasonable judgment of APIL, fails to comply with its Commercially Reasonable Efforts requirements under Section 3.1 of this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that</w:t>
      </w:r>
      <w:r>
        <w:rPr>
          <w:rFonts w:ascii="Arial" w:cs="Arial" w:eastAsia="Arial" w:hAnsi="Arial"/>
          <w:sz w:val="16"/>
          <w:szCs w:val="16"/>
          <w:color w:val="auto"/>
        </w:rPr>
        <w:t>, any such failure is not attributable to the material breach by APIL or any of its Affiliates of any of the Ancillary Agreements, which material breach was noticed by Purchaser prior to its receipt of a Reversion Notice from APIL under this Section 4.1.</w:t>
      </w:r>
    </w:p>
    <w:p>
      <w:pPr>
        <w:spacing w:after="0" w:line="154" w:lineRule="exact"/>
        <w:rPr>
          <w:rFonts w:ascii="Arial" w:cs="Arial" w:eastAsia="Arial" w:hAnsi="Arial"/>
          <w:sz w:val="16"/>
          <w:szCs w:val="16"/>
          <w:color w:val="auto"/>
        </w:rPr>
      </w:pPr>
    </w:p>
    <w:p>
      <w:pPr>
        <w:ind w:firstLine="1953"/>
        <w:spacing w:after="0" w:line="269" w:lineRule="auto"/>
        <w:tabs>
          <w:tab w:leader="none" w:pos="224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 xml:space="preserve">In the event the failure to satisfy the NDA Requirement is the result of a change in the FDA’s policies or procedures regarding the approval of the Earn-Out Product or drugs in the same class as the Earn-Out Product, and Purchaser, its Affiliates, licensees or sublicensees have used Commercially Reasonable Efforts to accommodate such change and were still unable to satisfy the NDA Requirement, then the deadline shall be extended for a reasonable period of time, but not more than three-hundred sixty-five (365) calendar days or such longer period of time as determined by APIL in good faith based on the impact of such change in the FDA’s policies or procedures on their ability to accommodate such change in policies or procedures. (B) In the event the failure to satisfy the NDA Requirement is the result of other delays or circumstances that are outside of the reasonable control of Purchaser or its Affiliates, licensees and sublicensees, and Purchaser, its Affiliates, licensees or sublicensees have used Commercially Reasonable Efforts consistent with Section 3.1 of this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to overcome such delay or circumstance, then APIL will reasonably consider extending the deadline for a reasonable period of time, but not more than three-hundred sixty-five (365) days, to overcome such failure. In each case of (A) or (B), the compliance with such new deadline shall remain an obligation of Purchaser, its Affiliates, licensees or sublicensees subject to their diligence efforts under Section 3.1 of this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and APIL’s rights under this Section4.1(a).</w:t>
      </w:r>
    </w:p>
    <w:p>
      <w:pPr>
        <w:spacing w:after="0" w:line="182" w:lineRule="exact"/>
        <w:rPr>
          <w:rFonts w:ascii="Arial" w:cs="Arial" w:eastAsia="Arial" w:hAnsi="Arial"/>
          <w:sz w:val="17"/>
          <w:szCs w:val="17"/>
          <w:color w:val="auto"/>
        </w:rPr>
      </w:pPr>
    </w:p>
    <w:p>
      <w:pPr>
        <w:jc w:val="both"/>
        <w:ind w:right="340" w:firstLine="1305"/>
        <w:spacing w:after="0" w:line="279" w:lineRule="auto"/>
        <w:tabs>
          <w:tab w:leader="none" w:pos="1952" w:val="left"/>
        </w:tabs>
        <w:numPr>
          <w:ilvl w:val="0"/>
          <w:numId w:val="156"/>
        </w:numPr>
        <w:rPr>
          <w:rFonts w:ascii="Arial" w:cs="Arial" w:eastAsia="Arial" w:hAnsi="Arial"/>
          <w:sz w:val="17"/>
          <w:szCs w:val="17"/>
          <w:color w:val="auto"/>
        </w:rPr>
      </w:pPr>
      <w:r>
        <w:rPr>
          <w:rFonts w:ascii="Arial" w:cs="Arial" w:eastAsia="Arial" w:hAnsi="Arial"/>
          <w:sz w:val="17"/>
          <w:szCs w:val="17"/>
          <w:color w:val="auto"/>
        </w:rPr>
        <w:t>Upon a Reversion Event, APIL shall provide Purchaser with written notice of such Reversion Event (a “</w:t>
      </w:r>
      <w:r>
        <w:rPr>
          <w:rFonts w:ascii="Arial" w:cs="Arial" w:eastAsia="Arial" w:hAnsi="Arial"/>
          <w:sz w:val="17"/>
          <w:szCs w:val="17"/>
          <w:u w:val="single" w:color="auto"/>
          <w:color w:val="auto"/>
        </w:rPr>
        <w:t>Reversion Notice</w:t>
      </w:r>
      <w:r>
        <w:rPr>
          <w:rFonts w:ascii="Arial" w:cs="Arial" w:eastAsia="Arial" w:hAnsi="Arial"/>
          <w:sz w:val="17"/>
          <w:szCs w:val="17"/>
          <w:color w:val="auto"/>
        </w:rPr>
        <w:t>”). If Purchaser disagrees with APIL regarding the existence of a Reversion Event, it shall notify APIL within ten (10) Business Days of receipt of a Reversion Notice of its disagreement (such period, the “</w:t>
      </w:r>
      <w:r>
        <w:rPr>
          <w:rFonts w:ascii="Arial" w:cs="Arial" w:eastAsia="Arial" w:hAnsi="Arial"/>
          <w:sz w:val="17"/>
          <w:szCs w:val="17"/>
          <w:u w:val="single" w:color="auto"/>
          <w:color w:val="auto"/>
        </w:rPr>
        <w:t>Challenge Period</w:t>
      </w:r>
      <w:r>
        <w:rPr>
          <w:rFonts w:ascii="Arial" w:cs="Arial" w:eastAsia="Arial" w:hAnsi="Arial"/>
          <w:sz w:val="17"/>
          <w:szCs w:val="17"/>
          <w:color w:val="auto"/>
        </w:rPr>
        <w:t>,” and such notice, a “</w:t>
      </w:r>
      <w:r>
        <w:rPr>
          <w:rFonts w:ascii="Arial" w:cs="Arial" w:eastAsia="Arial" w:hAnsi="Arial"/>
          <w:sz w:val="17"/>
          <w:szCs w:val="17"/>
          <w:u w:val="single" w:color="auto"/>
          <w:color w:val="auto"/>
        </w:rPr>
        <w:t>Disagreement Notice</w:t>
      </w:r>
      <w:r>
        <w:rPr>
          <w:rFonts w:ascii="Arial" w:cs="Arial" w:eastAsia="Arial" w:hAnsi="Arial"/>
          <w:sz w:val="17"/>
          <w:szCs w:val="17"/>
          <w:color w:val="auto"/>
        </w:rPr>
        <w:t>”). For a period of thirty (30) Business Days following the delivery of such Disagreement Notice, Purchaser and APIL shall seek in good faith to come to an agreement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 existence of the Reversion Event. If at the end of such thirty (30) Business Day period the Purchaser and APIL have not reached an agreement, they shall jointly select an independent mediator, free of any conflict with either Party, having the requisite licensing and pharmaceutical industry experience to render a decision regarding the existence of a Reversion Event, and selected from a panel of persons experienced in the pharmaceutical and life sciences industries</w:t>
      </w:r>
    </w:p>
    <w:p>
      <w:pPr>
        <w:sectPr>
          <w:pgSz w:w="11900" w:h="16966" w:orient="portrait"/>
          <w:cols w:equalWidth="0" w:num="1">
            <w:col w:w="11420"/>
          </w:cols>
          <w:pgMar w:left="240" w:top="341" w:right="239" w:bottom="0" w:gutter="0" w:footer="0" w:header="0"/>
        </w:sectPr>
      </w:pPr>
    </w:p>
    <w:bookmarkStart w:id="56" w:name="page57"/>
    <w:bookmarkEnd w:id="56"/>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provided by Judicial Administration and Arbitration Services or its successor (“</w:t>
      </w:r>
      <w:r>
        <w:rPr>
          <w:rFonts w:ascii="Arial" w:cs="Arial" w:eastAsia="Arial" w:hAnsi="Arial"/>
          <w:sz w:val="16"/>
          <w:szCs w:val="16"/>
          <w:u w:val="single" w:color="auto"/>
          <w:color w:val="auto"/>
        </w:rPr>
        <w:t>JAMS</w:t>
      </w:r>
      <w:r>
        <w:rPr>
          <w:rFonts w:ascii="Arial" w:cs="Arial" w:eastAsia="Arial" w:hAnsi="Arial"/>
          <w:sz w:val="16"/>
          <w:szCs w:val="16"/>
          <w:color w:val="auto"/>
        </w:rPr>
        <w:t>”). If the Parties do not agree on an independent mediator within five</w:t>
      </w:r>
    </w:p>
    <w:p>
      <w:pPr>
        <w:spacing w:after="0" w:line="46" w:lineRule="exact"/>
        <w:rPr>
          <w:sz w:val="20"/>
          <w:szCs w:val="20"/>
          <w:color w:val="auto"/>
        </w:rPr>
      </w:pPr>
    </w:p>
    <w:p>
      <w:pPr>
        <w:ind w:firstLine="8"/>
        <w:spacing w:after="0" w:line="284" w:lineRule="auto"/>
        <w:tabs>
          <w:tab w:leader="none" w:pos="25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Business Days of initiating mediation under this </w:t>
      </w:r>
      <w:r>
        <w:rPr>
          <w:rFonts w:ascii="Arial" w:cs="Arial" w:eastAsia="Arial" w:hAnsi="Arial"/>
          <w:sz w:val="16"/>
          <w:szCs w:val="16"/>
          <w:u w:val="single" w:color="auto"/>
          <w:color w:val="auto"/>
        </w:rPr>
        <w:t>Section 4.1(b)</w:t>
      </w:r>
      <w:r>
        <w:rPr>
          <w:rFonts w:ascii="Arial" w:cs="Arial" w:eastAsia="Arial" w:hAnsi="Arial"/>
          <w:sz w:val="16"/>
          <w:szCs w:val="16"/>
          <w:color w:val="auto"/>
        </w:rPr>
        <w:t>, the independent mediator shall be selected by JAMS in accordance with its rules. Each Party shall prepare and submit a written summary of such Party’s position, which shall not exceed twenty-five (25) pages, and any relevant evidence in support thereof to the independent mediator within ten (10) Business Days of the selection of the independent mediator. Upon receipt of such summaries from both Parties, the independent mediator shall provide copies of the same to the other Party. The independent mediator shall be authorized to solicit briefing or other submissions on particular questions and to set specific page limits for such additional briefing and submissions. Within five (5) Business Days of the delivery of such summaries by the independent mediator, each Party shall submit a written rebuttal of the other Party’s summary and may also amend and re-submit its original summary, with each Party’s response to include a supporting explanation of why its proposed terms are more appropriate than the other Party’s proposed terms and any documentary evidence in support thereof. Oral presentations shall not be permitted unless otherwise requested by the independent mediator. Only if so permitted, a neutral location of any such oral presentations shall be selected by the independent mediator. The independent mediator shall make a final decision with respect to the arbitration matter within ten (10) Business Days following receipt of the last of such rebuttal statements submitted by the Parties, and shall make a determination by selecting the resolution proposed by one of the Parties that as a whole is the most fair and reasonable to the Parties in light of the totality of the circumstances, and shall provide the Parties with a written statement setting forth the basis of the determination in connection therewith. For clarity, the independent mediator shall only have the right to select a resolution proposed by one of the Parties in its entirety and without modification. The decision of the independent mediator shall be controlling regarding the existence of a Reversion Event. The Purchaser and APIL shall bear the costs of the independent mediator equally.</w:t>
      </w:r>
    </w:p>
    <w:p>
      <w:pPr>
        <w:spacing w:after="0" w:line="177" w:lineRule="exact"/>
        <w:rPr>
          <w:rFonts w:ascii="Arial" w:cs="Arial" w:eastAsia="Arial" w:hAnsi="Arial"/>
          <w:sz w:val="16"/>
          <w:szCs w:val="16"/>
          <w:color w:val="auto"/>
        </w:rPr>
      </w:pPr>
    </w:p>
    <w:p>
      <w:pPr>
        <w:ind w:left="1960" w:hanging="655"/>
        <w:spacing w:after="0"/>
        <w:tabs>
          <w:tab w:leader="none" w:pos="196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If the existence of a Reversion Event, other than one that involves a failure to satisfy the NDA Requirement, is confirmed, through</w:t>
      </w:r>
    </w:p>
    <w:p>
      <w:pPr>
        <w:spacing w:after="0" w:line="46" w:lineRule="exact"/>
        <w:rPr>
          <w:rFonts w:ascii="Arial" w:cs="Arial" w:eastAsia="Arial" w:hAnsi="Arial"/>
          <w:sz w:val="16"/>
          <w:szCs w:val="16"/>
          <w:color w:val="auto"/>
        </w:rPr>
      </w:pPr>
    </w:p>
    <w:p>
      <w:pPr>
        <w:ind w:right="20"/>
        <w:spacing w:after="0" w:line="292" w:lineRule="auto"/>
        <w:rPr>
          <w:rFonts w:ascii="Arial" w:cs="Arial" w:eastAsia="Arial" w:hAnsi="Arial"/>
          <w:sz w:val="16"/>
          <w:szCs w:val="16"/>
          <w:color w:val="auto"/>
        </w:rPr>
      </w:pPr>
      <w:r>
        <w:rPr>
          <w:rFonts w:ascii="Arial" w:cs="Arial" w:eastAsia="Arial" w:hAnsi="Arial"/>
          <w:sz w:val="16"/>
          <w:szCs w:val="16"/>
          <w:color w:val="auto"/>
        </w:rPr>
        <w:t>(i) Purchaser’s non-delivery of a Notice of Disagreement or (ii) through the determination of an independent mediator, Purchaser, itself or through one or more of its Affiliates, licensees or sublicensees shall have the right to cure such Reversion Event for a period of four (4) months from the determination of such Reversion Event (such period, the “</w:t>
      </w:r>
      <w:r>
        <w:rPr>
          <w:rFonts w:ascii="Arial" w:cs="Arial" w:eastAsia="Arial" w:hAnsi="Arial"/>
          <w:sz w:val="16"/>
          <w:szCs w:val="16"/>
          <w:u w:val="single" w:color="auto"/>
          <w:color w:val="auto"/>
        </w:rPr>
        <w:t>Cure Period</w:t>
      </w:r>
      <w:r>
        <w:rPr>
          <w:rFonts w:ascii="Arial" w:cs="Arial" w:eastAsia="Arial" w:hAnsi="Arial"/>
          <w:sz w:val="16"/>
          <w:szCs w:val="16"/>
          <w:color w:val="auto"/>
        </w:rPr>
        <w:t xml:space="preserve">”) and, if it elects to exercise such right, shall notify APIL in writing of the same. In the case that such Reversion Event is cured in APIL’s reasonable judgment during or by the end of the Cure Period, such Reversion Event shall no longer exist and APIL shall not have the right to invoke any other rights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in connection with such event that would have remained a Reversion Event but for such cure.</w:t>
      </w:r>
    </w:p>
    <w:p>
      <w:pPr>
        <w:spacing w:after="0" w:line="162" w:lineRule="exact"/>
        <w:rPr>
          <w:rFonts w:ascii="Arial" w:cs="Arial" w:eastAsia="Arial" w:hAnsi="Arial"/>
          <w:sz w:val="16"/>
          <w:szCs w:val="16"/>
          <w:color w:val="auto"/>
        </w:rPr>
      </w:pPr>
    </w:p>
    <w:p>
      <w:pPr>
        <w:ind w:right="100" w:firstLine="1305"/>
        <w:spacing w:after="0" w:line="264" w:lineRule="auto"/>
        <w:tabs>
          <w:tab w:leader="none" w:pos="195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Article 4</w:t>
      </w:r>
      <w:r>
        <w:rPr>
          <w:rFonts w:ascii="Arial" w:cs="Arial" w:eastAsia="Arial" w:hAnsi="Arial"/>
          <w:sz w:val="18"/>
          <w:szCs w:val="18"/>
          <w:color w:val="auto"/>
        </w:rPr>
        <w:t>, the “</w:t>
      </w:r>
      <w:r>
        <w:rPr>
          <w:rFonts w:ascii="Arial" w:cs="Arial" w:eastAsia="Arial" w:hAnsi="Arial"/>
          <w:sz w:val="18"/>
          <w:szCs w:val="18"/>
          <w:u w:val="single" w:color="auto"/>
          <w:color w:val="auto"/>
        </w:rPr>
        <w:t>Reversion Date</w:t>
      </w:r>
      <w:r>
        <w:rPr>
          <w:rFonts w:ascii="Arial" w:cs="Arial" w:eastAsia="Arial" w:hAnsi="Arial"/>
          <w:sz w:val="18"/>
          <w:szCs w:val="18"/>
          <w:color w:val="auto"/>
        </w:rPr>
        <w:t xml:space="preserve">” shall be (i) the date on which the Challenge Period expires without Purchaser having sent a Disagreement Notice to APIL, unless the Reversion Event at issue qualifies for a right to cure pursuant to Section 4.1(c) of this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and Purchaser has elected to exercise such right to cure in which case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(d)(iii) below shall apply, (ii) where the Reversion Event involves a failure to satisfy the NDA Requirement and Purchaser has sent a Disagreement Notice in connection therewith, the date on which the Parties agree, or the independent mediator issues its determination, that such Reversion Event has occurred, or</w:t>
      </w:r>
    </w:p>
    <w:p>
      <w:pPr>
        <w:ind w:right="560" w:firstLine="8"/>
        <w:spacing w:after="0" w:line="255" w:lineRule="auto"/>
        <w:tabs>
          <w:tab w:leader="none" w:pos="31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where the Reversion Event does not involve a failure to satisfy the NDA Requirement, and Purchaser has elected its right to cure pursuant to Section 4.1(c) of this </w:t>
      </w:r>
      <w:r>
        <w:rPr>
          <w:rFonts w:ascii="Arial" w:cs="Arial" w:eastAsia="Arial" w:hAnsi="Arial"/>
          <w:sz w:val="18"/>
          <w:szCs w:val="18"/>
          <w:u w:val="single" w:color="auto"/>
          <w:color w:val="auto"/>
        </w:rPr>
        <w:t>Exhibit E</w:t>
      </w:r>
      <w:r>
        <w:rPr>
          <w:rFonts w:ascii="Arial" w:cs="Arial" w:eastAsia="Arial" w:hAnsi="Arial"/>
          <w:sz w:val="18"/>
          <w:szCs w:val="18"/>
          <w:color w:val="auto"/>
        </w:rPr>
        <w:t>, the date on which the Cure Period expires without Purchaser having cured such Reversion Event to APIL’s reasonable satisfaction.</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Events Upon Determination of a Reversion Event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6" w:lineRule="auto"/>
        <w:tabs>
          <w:tab w:leader="none" w:pos="1942" w:val="left"/>
        </w:tabs>
        <w:numPr>
          <w:ilvl w:val="0"/>
          <w:numId w:val="159"/>
        </w:numPr>
        <w:rPr>
          <w:rFonts w:ascii="Arial" w:cs="Arial" w:eastAsia="Arial" w:hAnsi="Arial"/>
          <w:sz w:val="17"/>
          <w:szCs w:val="17"/>
          <w:color w:val="auto"/>
        </w:rPr>
      </w:pPr>
      <w:r>
        <w:rPr>
          <w:rFonts w:ascii="Arial" w:cs="Arial" w:eastAsia="Arial" w:hAnsi="Arial"/>
          <w:sz w:val="17"/>
          <w:szCs w:val="17"/>
          <w:color w:val="auto"/>
        </w:rPr>
        <w:t>On the Reversion Date, all licenses and other rights of Purchaser and its Affiliates, licensees and sublicensees under the Intellectual Property Transfer and License Agreement and, subsequently, the IP License Agreement (i) with respect to the Nanotechnology IP shall automatically terminate in their entirety, and (ii) with respect to the OCR IP shall automatically terminate solely in regards to the Earn-Out Products.</w:t>
      </w:r>
    </w:p>
    <w:p>
      <w:pPr>
        <w:spacing w:after="0" w:line="165" w:lineRule="exact"/>
        <w:rPr>
          <w:rFonts w:ascii="Arial" w:cs="Arial" w:eastAsia="Arial" w:hAnsi="Arial"/>
          <w:sz w:val="17"/>
          <w:szCs w:val="17"/>
          <w:color w:val="auto"/>
        </w:rPr>
      </w:pPr>
    </w:p>
    <w:p>
      <w:pPr>
        <w:ind w:right="120" w:firstLine="1305"/>
        <w:spacing w:after="0" w:line="342" w:lineRule="auto"/>
        <w:tabs>
          <w:tab w:leader="none" w:pos="195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As of the Reversion Date, but subject to Sections 4.2(h), 4.2(i) and 4.2(j), Purchaser, and its Affiliates, licensees and sublicensees shall cease all research, development, manufacture, sales, offers to sell, use, importation and commercialization of the Earn-Out Products.</w:t>
      </w:r>
    </w:p>
    <w:p>
      <w:pPr>
        <w:spacing w:after="0" w:line="123" w:lineRule="exact"/>
        <w:rPr>
          <w:rFonts w:ascii="Arial" w:cs="Arial" w:eastAsia="Arial" w:hAnsi="Arial"/>
          <w:sz w:val="16"/>
          <w:szCs w:val="16"/>
          <w:color w:val="auto"/>
        </w:rPr>
      </w:pPr>
    </w:p>
    <w:p>
      <w:pPr>
        <w:ind w:right="160" w:firstLine="1305"/>
        <w:spacing w:after="0" w:line="279" w:lineRule="auto"/>
        <w:tabs>
          <w:tab w:leader="none" w:pos="1955" w:val="left"/>
        </w:tabs>
        <w:numPr>
          <w:ilvl w:val="0"/>
          <w:numId w:val="159"/>
        </w:numPr>
        <w:rPr>
          <w:rFonts w:ascii="Arial" w:cs="Arial" w:eastAsia="Arial" w:hAnsi="Arial"/>
          <w:sz w:val="17"/>
          <w:szCs w:val="17"/>
          <w:color w:val="auto"/>
        </w:rPr>
      </w:pPr>
      <w:r>
        <w:rPr>
          <w:rFonts w:ascii="Arial" w:cs="Arial" w:eastAsia="Arial" w:hAnsi="Arial"/>
          <w:sz w:val="17"/>
          <w:szCs w:val="17"/>
          <w:color w:val="auto"/>
        </w:rPr>
        <w:t>Promptly following the Reversion Date, Purchaser shall (i) assign to APIL the Meloxicam Transferred Patents and any other Patents owned or controlled by it and its Affiliates, licensees or sublicensees solely relating to the Earn-Out Products (collectively, the “</w:t>
      </w:r>
      <w:r>
        <w:rPr>
          <w:rFonts w:ascii="Arial" w:cs="Arial" w:eastAsia="Arial" w:hAnsi="Arial"/>
          <w:sz w:val="17"/>
          <w:szCs w:val="17"/>
          <w:u w:val="single" w:color="auto"/>
          <w:color w:val="auto"/>
        </w:rPr>
        <w:t>Assigned Reversion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Patents</w:t>
      </w:r>
      <w:r>
        <w:rPr>
          <w:rFonts w:ascii="Arial" w:cs="Arial" w:eastAsia="Arial" w:hAnsi="Arial"/>
          <w:sz w:val="17"/>
          <w:szCs w:val="17"/>
          <w:color w:val="auto"/>
        </w:rPr>
        <w:t>”), and (ii) transfer to APIL all Know-How owned or controlled by it and its Affiliates, licensees or sublicensees solely relating to the Earn-Out Products (the “</w:t>
      </w:r>
      <w:r>
        <w:rPr>
          <w:rFonts w:ascii="Arial" w:cs="Arial" w:eastAsia="Arial" w:hAnsi="Arial"/>
          <w:sz w:val="17"/>
          <w:szCs w:val="17"/>
          <w:u w:val="single" w:color="auto"/>
          <w:color w:val="auto"/>
        </w:rPr>
        <w:t>Assigned Reversion Know-How</w:t>
      </w:r>
      <w:r>
        <w:rPr>
          <w:rFonts w:ascii="Arial" w:cs="Arial" w:eastAsia="Arial" w:hAnsi="Arial"/>
          <w:sz w:val="17"/>
          <w:szCs w:val="17"/>
          <w:color w:val="auto"/>
        </w:rPr>
        <w:t>” and together with the Assigned Reversion Patents, the “</w:t>
      </w:r>
      <w:r>
        <w:rPr>
          <w:rFonts w:ascii="Arial" w:cs="Arial" w:eastAsia="Arial" w:hAnsi="Arial"/>
          <w:sz w:val="17"/>
          <w:szCs w:val="17"/>
          <w:u w:val="single" w:color="auto"/>
          <w:color w:val="auto"/>
        </w:rPr>
        <w:t>Assigned Reversion IP Assets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1305"/>
        <w:spacing w:after="0" w:line="302" w:lineRule="auto"/>
        <w:tabs>
          <w:tab w:leader="none" w:pos="195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As of the Reversion Date, Purchaser grants to APIL a non-exclusive, worldwide license (sublicenseable through multiple tiers) under all Patents and Know-How owned or controlled by Purchaser and its Affiliates, licensees or sublicensees (other than Assigned Reversion Patents and Assigned Reversion Know-How) that are practiced by or on behalf of Purchaser and its Affiliates, licensees and sublicensees as of the Reversion Date that are necessary or useful to research, develop, manufacture, sell, offer to sell, use, import or otherwise commercialize any of the Earn-Out Products.</w:t>
      </w:r>
    </w:p>
    <w:p>
      <w:pPr>
        <w:spacing w:after="0" w:line="154" w:lineRule="exact"/>
        <w:rPr>
          <w:rFonts w:ascii="Arial" w:cs="Arial" w:eastAsia="Arial" w:hAnsi="Arial"/>
          <w:sz w:val="16"/>
          <w:szCs w:val="16"/>
          <w:color w:val="auto"/>
        </w:rPr>
      </w:pPr>
    </w:p>
    <w:p>
      <w:pPr>
        <w:ind w:right="100" w:firstLine="1305"/>
        <w:spacing w:after="0" w:line="264" w:lineRule="auto"/>
        <w:tabs>
          <w:tab w:leader="none" w:pos="19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Promptly following the Reversion Date, Purchaser shall assign to APIL all right, title and interest in and to those trademarks used exclusively with the Earn-Out Products, excluding any such trademarks that include, in whole or part, any corporate name or logo of Purchaser or its Affiliate.</w:t>
      </w:r>
    </w:p>
    <w:p>
      <w:pPr>
        <w:spacing w:after="0" w:line="181" w:lineRule="exact"/>
        <w:rPr>
          <w:rFonts w:ascii="Arial" w:cs="Arial" w:eastAsia="Arial" w:hAnsi="Arial"/>
          <w:sz w:val="18"/>
          <w:szCs w:val="18"/>
          <w:color w:val="auto"/>
        </w:rPr>
      </w:pPr>
    </w:p>
    <w:p>
      <w:pPr>
        <w:ind w:right="240" w:firstLine="1305"/>
        <w:spacing w:after="0" w:line="277" w:lineRule="auto"/>
        <w:tabs>
          <w:tab w:leader="none" w:pos="194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Promptly following the Reversion Date, Purchaser shall (i) transfer and assign to APIL all Regulatory Materials and Regulatory Approvals relating to the Earn-Out Products, or, if not possible, grant to APIL an exclusive right of reference thereunder.</w:t>
      </w:r>
    </w:p>
    <w:p>
      <w:pPr>
        <w:spacing w:after="0" w:line="170" w:lineRule="exact"/>
        <w:rPr>
          <w:rFonts w:ascii="Arial" w:cs="Arial" w:eastAsia="Arial" w:hAnsi="Arial"/>
          <w:sz w:val="18"/>
          <w:szCs w:val="18"/>
          <w:color w:val="auto"/>
        </w:rPr>
      </w:pPr>
    </w:p>
    <w:p>
      <w:pPr>
        <w:ind w:firstLine="1305"/>
        <w:spacing w:after="0" w:line="277" w:lineRule="auto"/>
        <w:tabs>
          <w:tab w:leader="none" w:pos="196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the extent that any payments would be owed by Purchaser to any Third Party under any agreement with such Third Party that is applicable to the exercise by APIL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(sub)license, right of reference or other right provided in this Section 4.1, Purchaser shall notify APIL of the existence and anticipated amounts of such payments and APIL shall have the right either to decline such (sub)license, right of reference or other right provided in this Section 4.1 or to take the same, in which case APIL agrees to comply with any obligations under such agreement of Purchaser that apply to APIL and of which APIL was informed by Purchaser and to make such payments.</w:t>
      </w:r>
    </w:p>
    <w:p>
      <w:pPr>
        <w:spacing w:after="0" w:line="187" w:lineRule="exact"/>
        <w:rPr>
          <w:sz w:val="20"/>
          <w:szCs w:val="20"/>
          <w:color w:val="auto"/>
        </w:rPr>
      </w:pPr>
    </w:p>
    <w:p>
      <w:pPr>
        <w:ind w:right="60" w:firstLine="1305"/>
        <w:spacing w:after="0" w:line="342" w:lineRule="auto"/>
        <w:tabs>
          <w:tab w:leader="none" w:pos="195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Promptly following the Reversion Date and as requested by APIL, Purchaser shall, and shall cause its Affiliates, licensees and sublicensees to, (i) wind up the performance of any clinical trials for Earn-Out Products ongoing as of the Reversion Date, or (ii) transfer and assign to APIL,</w:t>
      </w:r>
    </w:p>
    <w:p>
      <w:pPr>
        <w:sectPr>
          <w:pgSz w:w="11900" w:h="16975" w:orient="portrait"/>
          <w:cols w:equalWidth="0" w:num="1">
            <w:col w:w="11400"/>
          </w:cols>
          <w:pgMar w:left="240" w:top="125" w:right="259" w:bottom="0" w:gutter="0" w:footer="0" w:header="0"/>
        </w:sectPr>
      </w:pPr>
    </w:p>
    <w:bookmarkStart w:id="57" w:name="page58"/>
    <w:bookmarkEnd w:id="57"/>
    <w:p>
      <w:pPr>
        <w:ind w:right="60"/>
        <w:spacing w:after="0" w:line="302" w:lineRule="auto"/>
        <w:rPr>
          <w:sz w:val="20"/>
          <w:szCs w:val="20"/>
          <w:color w:val="auto"/>
        </w:rPr>
      </w:pPr>
      <w:r>
        <w:rPr>
          <w:rFonts w:ascii="Arial" w:cs="Arial" w:eastAsia="Arial" w:hAnsi="Arial"/>
          <w:sz w:val="16"/>
          <w:szCs w:val="16"/>
          <w:color w:val="auto"/>
        </w:rPr>
        <w:t>to the extent assignable by Purchaser in accordance with applicable Law, the management and continued performance of any clinical trials for Earn-Out Products ongoing as of the Reversion Date (provided that if the management and continued performance thereof is not assignable, then at the request of APIL, Purchaser shall, and shall cause its Affiliates, licensees and sublicensees to, continue to manage and perform such clinical trial(s) for a limited time period at the direction of APIL) the reasonable and documented out-of-pocket cost of which that is incurred after the Reversion Date shall be borne by APIL.</w:t>
      </w:r>
    </w:p>
    <w:p>
      <w:pPr>
        <w:spacing w:after="0" w:line="154" w:lineRule="exact"/>
        <w:rPr>
          <w:sz w:val="20"/>
          <w:szCs w:val="20"/>
          <w:color w:val="auto"/>
        </w:rPr>
      </w:pPr>
    </w:p>
    <w:p>
      <w:pPr>
        <w:ind w:right="40" w:firstLine="1305"/>
        <w:spacing w:after="0" w:line="257" w:lineRule="auto"/>
        <w:tabs>
          <w:tab w:leader="none" w:pos="1966" w:val="left"/>
        </w:tabs>
        <w:numPr>
          <w:ilvl w:val="1"/>
          <w:numId w:val="161"/>
        </w:numPr>
        <w:rPr>
          <w:rFonts w:ascii="Arial" w:cs="Arial" w:eastAsia="Arial" w:hAnsi="Arial"/>
          <w:sz w:val="18"/>
          <w:szCs w:val="18"/>
          <w:color w:val="auto"/>
        </w:rPr>
      </w:pPr>
      <w:r>
        <w:rPr>
          <w:rFonts w:ascii="Arial" w:cs="Arial" w:eastAsia="Arial" w:hAnsi="Arial"/>
          <w:sz w:val="18"/>
          <w:szCs w:val="18"/>
          <w:color w:val="auto"/>
        </w:rPr>
        <w:t>Promptly following the Reversion Date and as requested by APIL, Purchaser shall assign to APIL any agreements with third party suppliers covering the supply or sale of the Earn-Out Products, or, if such agreements cover other products or do not permit assignment under their terms, then, to enable APIL to qualify an alternate, validated source of supply, Purchaser shall supply finished Earn-Out Products for a reasonable period (not to exceed six (6) months) and at a cost equal to the cost of goods for any such Earn-Out Product calculated in accordance with industry standards (including overhead) plus [***].</w:t>
      </w:r>
    </w:p>
    <w:p>
      <w:pPr>
        <w:spacing w:after="0" w:line="188" w:lineRule="exact"/>
        <w:rPr>
          <w:rFonts w:ascii="Arial" w:cs="Arial" w:eastAsia="Arial" w:hAnsi="Arial"/>
          <w:sz w:val="18"/>
          <w:szCs w:val="18"/>
          <w:color w:val="auto"/>
        </w:rPr>
      </w:pPr>
    </w:p>
    <w:p>
      <w:pPr>
        <w:ind w:right="120" w:firstLine="1305"/>
        <w:spacing w:after="0" w:line="286" w:lineRule="auto"/>
        <w:tabs>
          <w:tab w:leader="none" w:pos="1953"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As of the Reversion Date, if Purchaser or any of its and its Affiliates, licensees or sublicensees have any inventory of Earn-Out Product, or any components thereof, suitable for use in clinical trials or for commercialization (“</w:t>
      </w:r>
      <w:r>
        <w:rPr>
          <w:rFonts w:ascii="Arial" w:cs="Arial" w:eastAsia="Arial" w:hAnsi="Arial"/>
          <w:sz w:val="16"/>
          <w:szCs w:val="16"/>
          <w:u w:val="single" w:color="auto"/>
          <w:color w:val="auto"/>
        </w:rPr>
        <w:t>Reversion Material</w:t>
      </w:r>
      <w:r>
        <w:rPr>
          <w:rFonts w:ascii="Arial" w:cs="Arial" w:eastAsia="Arial" w:hAnsi="Arial"/>
          <w:sz w:val="16"/>
          <w:szCs w:val="16"/>
          <w:color w:val="auto"/>
        </w:rPr>
        <w:t>”), Purchaser and its Affiliates, licensees and sublicensees shall offer in writing to sell the Reversion Material to APIL at Purchaser’s or the applicable Affiliate’s, licensee’s or sublicensee’s fully-allocated cost of manufacturing, and APIL shall have the option (but no obligation) to purchase the same by responding in writing to such offer within thirty</w:t>
      </w:r>
    </w:p>
    <w:p>
      <w:pPr>
        <w:spacing w:after="0" w:line="1" w:lineRule="exact"/>
        <w:rPr>
          <w:rFonts w:ascii="Arial" w:cs="Arial" w:eastAsia="Arial" w:hAnsi="Arial"/>
          <w:sz w:val="16"/>
          <w:szCs w:val="16"/>
          <w:color w:val="auto"/>
        </w:rPr>
      </w:pPr>
    </w:p>
    <w:p>
      <w:pPr>
        <w:ind w:right="160" w:firstLine="8"/>
        <w:spacing w:after="0" w:line="261" w:lineRule="auto"/>
        <w:tabs>
          <w:tab w:leader="none" w:pos="34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days. If APIL does not exercise such option, Purchaser and its Affiliates, licensees or sublicensees shall be entitled to sell any such Reversion Material, subject to any Earn-Out Consideration applicable to such sale pursuant to the terms and conditions of this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8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4.3 Without limiting the generality of this Article 4, any assignment, transfer, license or other right made or granted to APIL pursuant to this Article 4 shall be effected without any consideration payable by APIL.</w:t>
      </w:r>
    </w:p>
    <w:p>
      <w:pPr>
        <w:spacing w:after="0" w:line="17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4.4 Without limiting the generality of this Article 4, following the assignment and transfer under Section 4.2(c), (a) Purchaser shall have no right to use any of the Assigned Reversion IP Assets; (b) APIL shall have at its expense the sole and exclusive right to prosecute, maintain, defend and enforce all Assigned Reversion Patents assigned to APIL pursuant to such Section 4.2(c), and for purposes of all those activities, (i) APIL shall be treated as the owner of such Assigned Reversion Patents, and shall be solely responsible for the costs associated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268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right="540" w:firstLine="8"/>
        <w:spacing w:after="0" w:line="282" w:lineRule="auto"/>
        <w:tabs>
          <w:tab w:leader="none" w:pos="435"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such activities and shall have the sole right to retain any and all recoveries resulting from such activities, and (ii) to the extent required by applicable Law, at the cost of APIL, Purchaser shall, and shall cause each of its Affiliates, licensees and sublicensees to, join any suit or proceeding regarding any such Assigned Reversion Patents, or designate APIL (or an Affiliate thereof) as such party’s authorized agent for such Assigned Reversion Patents.</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4.5 Purchaser shall ensure that Purchaser receives from any of its licensees and sublicensees all rights necessary for Purchaser to effectuate the assignments and transfers to APIL and to grant to APIL the rights and licenses set forth in this Article 4.</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4.6 Purchaser shall not, and shall ensure that its Affiliates shall not, grant any Lien in or to any Assigned Reversion IP Assets, or take any action or commit any omission that may adversely affect or in any way impair, interfere with or prevent APIL’s right to receive the benefit of the assignments, transfers and licenses granted under this Article 4.</w:t>
      </w:r>
    </w:p>
    <w:p>
      <w:pPr>
        <w:spacing w:after="0" w:line="181"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 xml:space="preserve">4.7 The right of reversion hereunder shall be APIL’s sole and exclusive remedy for Purchaser’s failure to satisfy the NDA Requirement or failure to comply with its Commercially Reasonable Efforts requirements under Section 3.1 of this </w:t>
      </w:r>
      <w:r>
        <w:rPr>
          <w:rFonts w:ascii="Arial" w:cs="Arial" w:eastAsia="Arial" w:hAnsi="Arial"/>
          <w:sz w:val="17"/>
          <w:szCs w:val="17"/>
          <w:u w:val="single" w:color="auto"/>
          <w:color w:val="auto"/>
        </w:rPr>
        <w:t>Exhibit E</w:t>
      </w:r>
      <w:r>
        <w:rPr>
          <w:rFonts w:ascii="Arial" w:cs="Arial" w:eastAsia="Arial" w:hAnsi="Arial"/>
          <w:sz w:val="17"/>
          <w:szCs w:val="17"/>
          <w:color w:val="auto"/>
        </w:rPr>
        <w:t>, provided the foregoing shall in no way limit APIL’s right to collect and be paid any Earn-Out Consideration based on Development Milestones or Commercial Milestones achieved as of the Reversion Date, or on sales of the Earn-Out Products prior to the Reversion Date or permitted thereafter pursuant to Section 4.2(j).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OR QUALIFIED UNDER THE SECURITIES ACT OF 1933 (THE “</w:t>
      </w:r>
      <w:r>
        <w:rPr>
          <w:rFonts w:ascii="Arial" w:cs="Arial" w:eastAsia="Arial" w:hAnsi="Arial"/>
          <w:sz w:val="18"/>
          <w:szCs w:val="18"/>
          <w:b w:val="1"/>
          <w:bCs w:val="1"/>
          <w:color w:val="auto"/>
        </w:rPr>
        <w:t>SECURITIES ACT</w:t>
      </w:r>
      <w:r>
        <w:rPr>
          <w:rFonts w:ascii="Arial" w:cs="Arial" w:eastAsia="Arial" w:hAnsi="Arial"/>
          <w:sz w:val="18"/>
          <w:szCs w:val="18"/>
          <w:color w:val="auto"/>
        </w:rPr>
        <w:t>”) OR UNDER ANY APPLICABLE STATE SECURITIES LAWS, AND HAVE BEEN ACQUIRED FOR INVESTMENT AND NOT WITH A VIEW TO, OR IN CONNECTION WITH, THE SALE OR DISTRIBUTION THEREOF. NO SUCH SALE OR DISTRIBUTION MAY BE LAWFULLY EFFECTED WITHOUT AN EFFECTIVE REGISTRATION, UNLESS AN EXEMPTION FROM SUCH REGISTRATION IS AVAILABLE.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WARRANT TO PURCHASE STOCK</w:t>
            </w:r>
          </w:p>
        </w:tc>
      </w:tr>
      <w:tr>
        <w:trPr>
          <w:trHeight w:val="438"/>
        </w:trPr>
        <w:tc>
          <w:tcPr>
            <w:tcW w:w="1820" w:type="dxa"/>
            <w:vAlign w:val="bottom"/>
          </w:tcPr>
          <w:p>
            <w:pPr>
              <w:spacing w:after="0"/>
              <w:rPr>
                <w:sz w:val="20"/>
                <w:szCs w:val="20"/>
                <w:color w:val="auto"/>
              </w:rPr>
            </w:pPr>
            <w:r>
              <w:rPr>
                <w:rFonts w:ascii="Arial" w:cs="Arial" w:eastAsia="Arial" w:hAnsi="Arial"/>
                <w:sz w:val="18"/>
                <w:szCs w:val="18"/>
                <w:color w:val="auto"/>
              </w:rPr>
              <w:t>Company</w:t>
            </w:r>
          </w:p>
        </w:tc>
        <w:tc>
          <w:tcPr>
            <w:tcW w:w="5360" w:type="dxa"/>
            <w:vAlign w:val="bottom"/>
            <w:gridSpan w:val="3"/>
          </w:tcPr>
          <w:p>
            <w:pPr>
              <w:ind w:left="480"/>
              <w:spacing w:after="0"/>
              <w:rPr>
                <w:sz w:val="20"/>
                <w:szCs w:val="20"/>
                <w:color w:val="auto"/>
              </w:rPr>
            </w:pPr>
            <w:r>
              <w:rPr>
                <w:rFonts w:ascii="Arial" w:cs="Arial" w:eastAsia="Arial" w:hAnsi="Arial"/>
                <w:sz w:val="18"/>
                <w:szCs w:val="18"/>
                <w:color w:val="auto"/>
              </w:rPr>
              <w:t>Recro Pharma, Inc., a Pennsylvania corporation</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Number of Shares:</w:t>
            </w:r>
          </w:p>
        </w:tc>
        <w:tc>
          <w:tcPr>
            <w:tcW w:w="5360" w:type="dxa"/>
            <w:vAlign w:val="bottom"/>
            <w:gridSpan w:val="3"/>
          </w:tcPr>
          <w:p>
            <w:pPr>
              <w:ind w:left="480"/>
              <w:spacing w:after="0"/>
              <w:rPr>
                <w:sz w:val="20"/>
                <w:szCs w:val="20"/>
                <w:color w:val="auto"/>
              </w:rPr>
            </w:pPr>
            <w:r>
              <w:rPr>
                <w:rFonts w:ascii="Arial" w:cs="Arial" w:eastAsia="Arial" w:hAnsi="Arial"/>
                <w:sz w:val="18"/>
                <w:szCs w:val="18"/>
                <w:color w:val="auto"/>
              </w:rPr>
              <w:t>350,000, subject to adjustment</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Class of Stock:</w:t>
            </w:r>
          </w:p>
        </w:tc>
        <w:tc>
          <w:tcPr>
            <w:tcW w:w="5360" w:type="dxa"/>
            <w:vAlign w:val="bottom"/>
            <w:gridSpan w:val="3"/>
          </w:tcPr>
          <w:p>
            <w:pPr>
              <w:ind w:left="480"/>
              <w:spacing w:after="0"/>
              <w:rPr>
                <w:sz w:val="20"/>
                <w:szCs w:val="20"/>
                <w:color w:val="auto"/>
              </w:rPr>
            </w:pPr>
            <w:r>
              <w:rPr>
                <w:rFonts w:ascii="Arial" w:cs="Arial" w:eastAsia="Arial" w:hAnsi="Arial"/>
                <w:sz w:val="18"/>
                <w:szCs w:val="18"/>
                <w:color w:val="auto"/>
              </w:rPr>
              <w:t>Common Stock, $0.01 par value per share</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Warrant Price:</w:t>
            </w:r>
          </w:p>
        </w:tc>
        <w:tc>
          <w:tcPr>
            <w:tcW w:w="5360" w:type="dxa"/>
            <w:vAlign w:val="bottom"/>
            <w:gridSpan w:val="3"/>
          </w:tcPr>
          <w:p>
            <w:pPr>
              <w:ind w:left="480"/>
              <w:spacing w:after="0"/>
              <w:rPr>
                <w:sz w:val="20"/>
                <w:szCs w:val="20"/>
                <w:color w:val="auto"/>
              </w:rPr>
            </w:pPr>
            <w:r>
              <w:rPr>
                <w:rFonts w:ascii="Arial" w:cs="Arial" w:eastAsia="Arial" w:hAnsi="Arial"/>
                <w:sz w:val="18"/>
                <w:szCs w:val="18"/>
                <w:color w:val="auto"/>
              </w:rPr>
              <w:t>$[   ](1), subject to adjustment</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Issue Date:</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630"/>
              <w:spacing w:after="0"/>
              <w:rPr>
                <w:sz w:val="20"/>
                <w:szCs w:val="20"/>
                <w:color w:val="auto"/>
              </w:rPr>
            </w:pPr>
            <w:r>
              <w:rPr>
                <w:rFonts w:ascii="Arial" w:cs="Arial" w:eastAsia="Arial" w:hAnsi="Arial"/>
                <w:sz w:val="18"/>
                <w:szCs w:val="18"/>
                <w:color w:val="auto"/>
              </w:rPr>
              <w:t>], 2015(2)</w:t>
            </w:r>
          </w:p>
        </w:tc>
        <w:tc>
          <w:tcPr>
            <w:tcW w:w="2940" w:type="dxa"/>
            <w:vAlign w:val="bottom"/>
          </w:tcPr>
          <w:p>
            <w:pPr>
              <w:spacing w:after="0"/>
              <w:rPr>
                <w:sz w:val="18"/>
                <w:szCs w:val="18"/>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Expiration Date:</w:t>
            </w:r>
          </w:p>
        </w:tc>
        <w:tc>
          <w:tcPr>
            <w:tcW w:w="5360" w:type="dxa"/>
            <w:vAlign w:val="bottom"/>
            <w:gridSpan w:val="3"/>
          </w:tcPr>
          <w:p>
            <w:pPr>
              <w:ind w:left="480"/>
              <w:spacing w:after="0"/>
              <w:rPr>
                <w:sz w:val="20"/>
                <w:szCs w:val="20"/>
                <w:color w:val="auto"/>
              </w:rPr>
            </w:pPr>
            <w:r>
              <w:rPr>
                <w:rFonts w:ascii="Arial" w:cs="Arial" w:eastAsia="Arial" w:hAnsi="Arial"/>
                <w:sz w:val="18"/>
                <w:szCs w:val="18"/>
                <w:color w:val="auto"/>
              </w:rPr>
              <w:t>The seven (7) year anniversary of the Issue Date.</w:t>
            </w:r>
          </w:p>
        </w:tc>
      </w:tr>
    </w:tbl>
    <w:p>
      <w:pPr>
        <w:spacing w:after="0" w:line="202"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THIS WARRANT CERTIFIES THAT, for good and valuable consideration, Alkermes Pharma Ireland Limited, a private limited company incorporated in Ireland (together with any successor or permitted assignee or transferee of this Warrant, “</w:t>
      </w:r>
      <w:r>
        <w:rPr>
          <w:rFonts w:ascii="Arial" w:cs="Arial" w:eastAsia="Arial" w:hAnsi="Arial"/>
          <w:sz w:val="16"/>
          <w:szCs w:val="16"/>
          <w:b w:val="1"/>
          <w:bCs w:val="1"/>
          <w:color w:val="auto"/>
        </w:rPr>
        <w:t>Holder</w:t>
      </w:r>
      <w:r>
        <w:rPr>
          <w:rFonts w:ascii="Arial" w:cs="Arial" w:eastAsia="Arial" w:hAnsi="Arial"/>
          <w:sz w:val="16"/>
          <w:szCs w:val="16"/>
          <w:color w:val="auto"/>
        </w:rPr>
        <w:t>”) is entitled to purchase the number of fully paid and non-assessable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above-stated Class of Stock (the “</w:t>
      </w:r>
      <w:r>
        <w:rPr>
          <w:rFonts w:ascii="Arial" w:cs="Arial" w:eastAsia="Arial" w:hAnsi="Arial"/>
          <w:sz w:val="16"/>
          <w:szCs w:val="16"/>
          <w:b w:val="1"/>
          <w:bCs w:val="1"/>
          <w:color w:val="auto"/>
        </w:rPr>
        <w:t>Class</w:t>
      </w:r>
      <w:r>
        <w:rPr>
          <w:rFonts w:ascii="Arial" w:cs="Arial" w:eastAsia="Arial" w:hAnsi="Arial"/>
          <w:sz w:val="16"/>
          <w:szCs w:val="16"/>
          <w:color w:val="auto"/>
        </w:rPr>
        <w:t>”) of the above-named company (the “</w:t>
      </w:r>
      <w:r>
        <w:rPr>
          <w:rFonts w:ascii="Arial" w:cs="Arial" w:eastAsia="Arial" w:hAnsi="Arial"/>
          <w:sz w:val="16"/>
          <w:szCs w:val="16"/>
          <w:b w:val="1"/>
          <w:bCs w:val="1"/>
          <w:color w:val="auto"/>
        </w:rPr>
        <w:t>Company</w:t>
      </w:r>
      <w:r>
        <w:rPr>
          <w:rFonts w:ascii="Arial" w:cs="Arial" w:eastAsia="Arial" w:hAnsi="Arial"/>
          <w:sz w:val="16"/>
          <w:szCs w:val="16"/>
          <w:color w:val="auto"/>
        </w:rPr>
        <w:t>”) at the above-</w:t>
      </w:r>
    </w:p>
    <w:p>
      <w:pPr>
        <w:sectPr>
          <w:pgSz w:w="11900" w:h="16838" w:orient="portrait"/>
          <w:cols w:equalWidth="0" w:num="1">
            <w:col w:w="11400"/>
          </w:cols>
          <w:pgMar w:left="240" w:top="125" w:right="259" w:bottom="0" w:gutter="0" w:footer="0" w:header="0"/>
        </w:sectPr>
      </w:pPr>
    </w:p>
    <w:bookmarkStart w:id="58" w:name="page59"/>
    <w:bookmarkEnd w:id="58"/>
    <w:p>
      <w:pPr>
        <w:spacing w:after="0" w:line="10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stated Warrant Price per Share, all as set forth above and as adjusted pursuant to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of this Warrant, subject to the provisions and upon the terms and conditions set forth in this Warrant.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EXERCISE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Holder may exercise this Warrant, in whole or in part, at any time or from time to time on any day on or prior to the Expiration Date, by delivering the original of this Warrant together with a duly executed Notice of Exercise in substantially the form attached as </w:t>
      </w:r>
      <w:r>
        <w:rPr>
          <w:rFonts w:ascii="Arial" w:cs="Arial" w:eastAsia="Arial" w:hAnsi="Arial"/>
          <w:sz w:val="18"/>
          <w:szCs w:val="18"/>
          <w:u w:val="single" w:color="auto"/>
          <w:color w:val="auto"/>
        </w:rPr>
        <w:t>Appendix 1</w:t>
      </w:r>
      <w:r>
        <w:rPr>
          <w:rFonts w:ascii="Arial" w:cs="Arial" w:eastAsia="Arial" w:hAnsi="Arial"/>
          <w:sz w:val="18"/>
          <w:szCs w:val="18"/>
          <w:color w:val="auto"/>
        </w:rPr>
        <w:t xml:space="preserve"> to the principal office of the Company. Unless Holder is exercising the net exercise right set forth in </w:t>
      </w:r>
      <w:r>
        <w:rPr>
          <w:rFonts w:ascii="Arial" w:cs="Arial" w:eastAsia="Arial" w:hAnsi="Arial"/>
          <w:sz w:val="18"/>
          <w:szCs w:val="18"/>
          <w:u w:val="single" w:color="auto"/>
          <w:color w:val="auto"/>
        </w:rPr>
        <w:t>Article 1.2</w:t>
      </w:r>
      <w:r>
        <w:rPr>
          <w:rFonts w:ascii="Arial" w:cs="Arial" w:eastAsia="Arial" w:hAnsi="Arial"/>
          <w:sz w:val="18"/>
          <w:szCs w:val="18"/>
          <w:color w:val="auto"/>
        </w:rPr>
        <w:t>, Holder shall also deliver to the Company a check, wire transfer (to an account designated by the Company), or other form of payment acceptable to the Company for the aggregate Warrant Price for the Shares being purchased.</w:t>
      </w:r>
    </w:p>
    <w:p>
      <w:pPr>
        <w:spacing w:after="0" w:line="18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Net Exercise</w:t>
      </w:r>
      <w:r>
        <w:rPr>
          <w:rFonts w:ascii="Arial" w:cs="Arial" w:eastAsia="Arial" w:hAnsi="Arial"/>
          <w:sz w:val="17"/>
          <w:szCs w:val="17"/>
          <w:color w:val="auto"/>
        </w:rPr>
        <w:t xml:space="preserve">. In lieu of exercising this Warrant as specified in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Holder may from time to time convert this Warrant, in whole or in part, into a number of Shares determined by dividing (a) the aggregate fair market value of the Shares or other securities otherwise issuable upon exercise of this Warrant minus the aggregate Warrant Price of such Shares by (b) the fair market value of one Share. The fair market value of the Shares shall be determined pursuant to </w:t>
      </w:r>
      <w:r>
        <w:rPr>
          <w:rFonts w:ascii="Arial" w:cs="Arial" w:eastAsia="Arial" w:hAnsi="Arial"/>
          <w:sz w:val="17"/>
          <w:szCs w:val="17"/>
          <w:u w:val="single" w:color="auto"/>
          <w:color w:val="auto"/>
        </w:rPr>
        <w:t>Article 1.3</w:t>
      </w:r>
      <w:r>
        <w:rPr>
          <w:rFonts w:ascii="Arial" w:cs="Arial" w:eastAsia="Arial" w:hAnsi="Arial"/>
          <w:sz w:val="17"/>
          <w:szCs w:val="17"/>
          <w:color w:val="auto"/>
        </w:rPr>
        <w:t>. The Company acknowledges that the provisions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268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1" w:lineRule="exact"/>
        <w:rPr>
          <w:sz w:val="20"/>
          <w:szCs w:val="20"/>
          <w:color w:val="auto"/>
        </w:rPr>
      </w:pPr>
    </w:p>
    <w:p>
      <w:pPr>
        <w:ind w:left="300" w:hanging="292"/>
        <w:spacing w:after="0"/>
        <w:tabs>
          <w:tab w:leader="none" w:pos="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NTD: to equal two times the closing price of Recro stock on the trading day immediately prior to the Closing Date.</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NTD: to insert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are intended, in part, to ensure that a full or partial exchange of this Warrant pursuant to this Article 1.2 will qualify as a conversion, within the meaning of paragraph (d)(3)(ii) of Rule 144 under the Securities Act. At the request of Holder, the Company will accept reasonable modifications to the exchange procedures provided for in this Article in order to accomplish such intent. For all purposes of this Warrant (other than this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any reference herein to the exercise of this Warrant shall be deemed to include a reference to the exchange of this Warrant into Shares in accordance with the terms of this </w:t>
      </w:r>
      <w:r>
        <w:rPr>
          <w:rFonts w:ascii="Arial" w:cs="Arial" w:eastAsia="Arial" w:hAnsi="Arial"/>
          <w:sz w:val="18"/>
          <w:szCs w:val="18"/>
          <w:u w:val="single" w:color="auto"/>
          <w:color w:val="auto"/>
        </w:rPr>
        <w:t>Article 1.2</w:t>
      </w:r>
      <w:r>
        <w:rPr>
          <w:rFonts w:ascii="Arial" w:cs="Arial" w:eastAsia="Arial" w:hAnsi="Arial"/>
          <w:sz w:val="18"/>
          <w:szCs w:val="18"/>
          <w:color w:val="auto"/>
        </w:rPr>
        <w:t>.</w:t>
      </w:r>
    </w:p>
    <w:p>
      <w:pPr>
        <w:spacing w:after="0" w:line="18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traded in a public market, the fair market value of a Share shall be the closing price of a share of common stock reported for the business day immediately before Holder delivers this Warrant together with its Notice of Exercise to the Company. If the Company’s common stock is not traded in a public market, the Board of Directors of the Company shall determine fair market value of a Share (the “</w:t>
      </w:r>
      <w:r>
        <w:rPr>
          <w:rFonts w:ascii="Arial" w:cs="Arial" w:eastAsia="Arial" w:hAnsi="Arial"/>
          <w:sz w:val="16"/>
          <w:szCs w:val="16"/>
          <w:b w:val="1"/>
          <w:bCs w:val="1"/>
          <w:color w:val="auto"/>
        </w:rPr>
        <w:t>Appraised Value</w:t>
      </w:r>
      <w:r>
        <w:rPr>
          <w:rFonts w:ascii="Arial" w:cs="Arial" w:eastAsia="Arial" w:hAnsi="Arial"/>
          <w:sz w:val="16"/>
          <w:szCs w:val="16"/>
          <w:color w:val="auto"/>
        </w:rPr>
        <w:t>”) in its reasonable good faith judgment. If Holder (as defined below) shall, for any reason whatsoever, disagree with such Appraised Value, then such Holder shall, by giving written notice to the Company (an “</w:t>
      </w:r>
      <w:r>
        <w:rPr>
          <w:rFonts w:ascii="Arial" w:cs="Arial" w:eastAsia="Arial" w:hAnsi="Arial"/>
          <w:sz w:val="16"/>
          <w:szCs w:val="16"/>
          <w:b w:val="1"/>
          <w:bCs w:val="1"/>
          <w:color w:val="auto"/>
        </w:rPr>
        <w:t>Appraisal Notice</w:t>
      </w:r>
      <w:r>
        <w:rPr>
          <w:rFonts w:ascii="Arial" w:cs="Arial" w:eastAsia="Arial" w:hAnsi="Arial"/>
          <w:sz w:val="16"/>
          <w:szCs w:val="16"/>
          <w:color w:val="auto"/>
        </w:rPr>
        <w:t xml:space="preserve">”) within ten (10) days after the Company notifies the Holder of such determination, elect to dispute such determination, and such dispute shall be resolved as set forth in </w:t>
      </w:r>
      <w:r>
        <w:rPr>
          <w:rFonts w:ascii="Arial" w:cs="Arial" w:eastAsia="Arial" w:hAnsi="Arial"/>
          <w:sz w:val="16"/>
          <w:szCs w:val="16"/>
          <w:u w:val="single" w:color="auto"/>
          <w:color w:val="auto"/>
        </w:rPr>
        <w:t>Article 1.3.1</w:t>
      </w:r>
      <w:r>
        <w:rPr>
          <w:rFonts w:ascii="Arial" w:cs="Arial" w:eastAsia="Arial" w:hAnsi="Arial"/>
          <w:sz w:val="16"/>
          <w:szCs w:val="16"/>
          <w:color w:val="auto"/>
        </w:rPr>
        <w:t xml:space="preserve"> below.</w:t>
      </w:r>
    </w:p>
    <w:p>
      <w:pPr>
        <w:spacing w:after="0" w:line="165" w:lineRule="exact"/>
        <w:rPr>
          <w:sz w:val="20"/>
          <w:szCs w:val="20"/>
          <w:color w:val="auto"/>
        </w:rPr>
      </w:pPr>
    </w:p>
    <w:p>
      <w:pPr>
        <w:ind w:right="80" w:firstLine="1297"/>
        <w:spacing w:after="0" w:line="297"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Appraisal Resolution</w:t>
      </w:r>
      <w:r>
        <w:rPr>
          <w:rFonts w:ascii="Arial" w:cs="Arial" w:eastAsia="Arial" w:hAnsi="Arial"/>
          <w:sz w:val="16"/>
          <w:szCs w:val="16"/>
          <w:color w:val="auto"/>
        </w:rPr>
        <w:t>. The Company shall within ten (10) days after an Appraisal Notice shall have been given, engage an independent investment bank of national repute (the “</w:t>
      </w:r>
      <w:r>
        <w:rPr>
          <w:rFonts w:ascii="Arial" w:cs="Arial" w:eastAsia="Arial" w:hAnsi="Arial"/>
          <w:sz w:val="16"/>
          <w:szCs w:val="16"/>
          <w:b w:val="1"/>
          <w:bCs w:val="1"/>
          <w:color w:val="auto"/>
        </w:rPr>
        <w:t>Appraiser</w:t>
      </w:r>
      <w:r>
        <w:rPr>
          <w:rFonts w:ascii="Arial" w:cs="Arial" w:eastAsia="Arial" w:hAnsi="Arial"/>
          <w:sz w:val="16"/>
          <w:szCs w:val="16"/>
          <w:color w:val="auto"/>
        </w:rPr>
        <w:t>”) that is mutually agreeable to the Company and Holder and retained pursuant to an engagement letter between the Company and the Appraiser with respect to such valuation in form and substance reasonably acceptable to Holder, to make an independent determination of the Appraised Value of a Share. The costs of engagement of such investment bank for any such determination of Appraised Value shall be shared equally between the Company and Holder and Holder shall promptly reimburse the Company for fifty percent (50%) of such costs.</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Promptly after Holder exercises or converts this Warrant and, if applicable, the Company receives payment of the aggregate Warrant Price, the Company shall deliver to Holder certificates for the Shares acquired and, if this Warrant has not been fully exercised or converted and has not expired, a new warrant of like tenor representing the Shares not so acquired.</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Warrants</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and amount to the Company or, in the case of mutilation, on surrender and cancellation of this Warrant, the Company shall execute and deliver, in lieu of this Warrant, a new warrant of like tenor.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Corporate Reorganization</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u w:val="single" w:color="auto"/>
          <w:color w:val="auto"/>
        </w:rPr>
        <w:t>Corporate Reorganization</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86" w:lineRule="auto"/>
        <w:tabs>
          <w:tab w:leader="none" w:pos="259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Without limiting any of the provisions hereof, if any: (i) capital reorganization; (ii) reclassification of the capital stock of the Company; (iii) merger, consolidation or reorganization or other similar transaction or series of related transactions which results in the voting securities of the Company outstanding immediately prior thereto representing immediately thereafter (either by remaining outstanding or by being converted into voting securities of the surviving or acquiring entity) less than 50% of the combined voting power of the voting securities of or economic interests in the Company or such surviving or acquiring entity outstanding immediately after such merger, consolidation or reorganization; (iv) sale, lease, license, transfer, conveyance or other disposition of all or substantially all of the assets of the Company; (v) sale of shares of capital stock of the Company, in a single transaction or series of related transactions, representing at least 50% of the voting power of the voting securities of or economic interests in the Company; or (vi) the acquisition by any “person” (together with his, her or its Affiliates) or “group” (within the meaning of Section 13(d) or 14(d)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directly or indirectly, of the beneficial ownership (as such term is defined in Rule 13d-3 promulgated under the Exchange Act) of outstanding shares of capital stock and/or other equity securities of the Company, in a single transaction or series of related transactions (including, without limitation, one or more tender offers or exchange offers), representing at least 50% of the voting power of or economic interests in the then outstanding shares of capital stock of the corporation (each of (i)-(vi) above a “</w:t>
      </w:r>
      <w:r>
        <w:rPr>
          <w:rFonts w:ascii="Arial" w:cs="Arial" w:eastAsia="Arial" w:hAnsi="Arial"/>
          <w:sz w:val="16"/>
          <w:szCs w:val="16"/>
          <w:b w:val="1"/>
          <w:bCs w:val="1"/>
          <w:color w:val="auto"/>
        </w:rPr>
        <w:t>Corporate Reorganization</w:t>
      </w:r>
      <w:r>
        <w:rPr>
          <w:rFonts w:ascii="Arial" w:cs="Arial" w:eastAsia="Arial" w:hAnsi="Arial"/>
          <w:sz w:val="16"/>
          <w:szCs w:val="16"/>
          <w:color w:val="auto"/>
        </w:rPr>
        <w:t>”) shall be effected, then the Company shall use its commercially reasonable best efforts to ensure that lawful and adequate provision shall be made whereby each Holder shall thereafter continue to have the right to purchase and receive upon the basis and upon the terms and conditions herein specified and in lieu of the Shares issuable upon exercise of the Warrants held by such Holder, shares of stock in the surviving or acquiring entity (“</w:t>
      </w:r>
      <w:r>
        <w:rPr>
          <w:rFonts w:ascii="Arial" w:cs="Arial" w:eastAsia="Arial" w:hAnsi="Arial"/>
          <w:sz w:val="16"/>
          <w:szCs w:val="16"/>
          <w:b w:val="1"/>
          <w:bCs w:val="1"/>
          <w:color w:val="auto"/>
        </w:rPr>
        <w:t>Acquirer</w:t>
      </w:r>
      <w:r>
        <w:rPr>
          <w:rFonts w:ascii="Arial" w:cs="Arial" w:eastAsia="Arial" w:hAnsi="Arial"/>
          <w:sz w:val="16"/>
          <w:szCs w:val="16"/>
          <w:color w:val="auto"/>
        </w:rPr>
        <w:t>”), as the case may be, such that the aggregate value of the</w:t>
      </w:r>
    </w:p>
    <w:p>
      <w:pPr>
        <w:sectPr>
          <w:pgSz w:w="11900" w:h="16944" w:orient="portrait"/>
          <w:cols w:equalWidth="0" w:num="1">
            <w:col w:w="11400"/>
          </w:cols>
          <w:pgMar w:left="240" w:top="125" w:right="259" w:bottom="0" w:gutter="0" w:footer="0" w:header="0"/>
        </w:sectPr>
      </w:pPr>
    </w:p>
    <w:bookmarkStart w:id="59" w:name="page60"/>
    <w:bookmarkEnd w:id="59"/>
    <w:p>
      <w:pPr>
        <w:spacing w:after="0" w:line="7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Holder’s warrants to purchase such number of shares, where the value of each new warrant to purchase one share in the Acquirer is determined in accordance with the Black-Scholes Option Pricing formula set forth in </w:t>
      </w:r>
      <w:r>
        <w:rPr>
          <w:rFonts w:ascii="Arial" w:cs="Arial" w:eastAsia="Arial" w:hAnsi="Arial"/>
          <w:sz w:val="16"/>
          <w:szCs w:val="16"/>
          <w:u w:val="single" w:color="auto"/>
          <w:color w:val="auto"/>
        </w:rPr>
        <w:t>Appendix 2</w:t>
      </w:r>
      <w:r>
        <w:rPr>
          <w:rFonts w:ascii="Arial" w:cs="Arial" w:eastAsia="Arial" w:hAnsi="Arial"/>
          <w:sz w:val="16"/>
          <w:szCs w:val="16"/>
          <w:color w:val="auto"/>
        </w:rPr>
        <w:t xml:space="preserve"> hereto, is at least equivalent to the aggregate value of the Warrants held by such Holder immediately prior to such Corporate Reorganization, where the value of each Warrant to purchase one share in the Company is determined in accordance with the Black-Scholes Option Pricing formula set forth </w:t>
      </w:r>
      <w:r>
        <w:rPr>
          <w:rFonts w:ascii="Arial" w:cs="Arial" w:eastAsia="Arial" w:hAnsi="Arial"/>
          <w:sz w:val="16"/>
          <w:szCs w:val="16"/>
          <w:u w:val="single" w:color="auto"/>
          <w:color w:val="auto"/>
        </w:rPr>
        <w:t>Appendix 3</w:t>
      </w:r>
      <w:r>
        <w:rPr>
          <w:rFonts w:ascii="Arial" w:cs="Arial" w:eastAsia="Arial" w:hAnsi="Arial"/>
          <w:sz w:val="16"/>
          <w:szCs w:val="16"/>
          <w:color w:val="auto"/>
        </w:rPr>
        <w:t xml:space="preserve"> hereto. Furthermore, the new warrants to purchase shares in the Acquirer referred to herein shall have the same expiration date as the Warrant, and shall have a strike price, K</w:t>
      </w:r>
      <w:r>
        <w:rPr>
          <w:rFonts w:ascii="Arial" w:cs="Arial" w:eastAsia="Arial" w:hAnsi="Arial"/>
          <w:sz w:val="10"/>
          <w:szCs w:val="10"/>
          <w:color w:val="auto"/>
        </w:rPr>
        <w:t>Acq</w:t>
      </w:r>
      <w:r>
        <w:rPr>
          <w:rFonts w:ascii="Arial" w:cs="Arial" w:eastAsia="Arial" w:hAnsi="Arial"/>
          <w:sz w:val="16"/>
          <w:szCs w:val="16"/>
          <w:color w:val="auto"/>
        </w:rPr>
        <w:t xml:space="preserve">, that is calculated in accordance with </w:t>
      </w:r>
      <w:r>
        <w:rPr>
          <w:rFonts w:ascii="Arial" w:cs="Arial" w:eastAsia="Arial" w:hAnsi="Arial"/>
          <w:sz w:val="16"/>
          <w:szCs w:val="16"/>
          <w:u w:val="single" w:color="auto"/>
          <w:color w:val="auto"/>
        </w:rPr>
        <w:t>Appendix 2</w:t>
      </w:r>
      <w:r>
        <w:rPr>
          <w:rFonts w:ascii="Arial" w:cs="Arial" w:eastAsia="Arial" w:hAnsi="Arial"/>
          <w:sz w:val="16"/>
          <w:szCs w:val="16"/>
          <w:color w:val="auto"/>
        </w:rPr>
        <w:t xml:space="preserve"> hereto. For the avoidance of doubt, if the surviving or acquiring entity, as the case may be, is a member of a consolidated group for financial reporting purposes, the “</w:t>
      </w:r>
      <w:r>
        <w:rPr>
          <w:rFonts w:ascii="Arial" w:cs="Arial" w:eastAsia="Arial" w:hAnsi="Arial"/>
          <w:sz w:val="16"/>
          <w:szCs w:val="16"/>
          <w:b w:val="1"/>
          <w:bCs w:val="1"/>
          <w:color w:val="auto"/>
        </w:rPr>
        <w:t>Acquirer</w:t>
      </w:r>
      <w:r>
        <w:rPr>
          <w:rFonts w:ascii="Arial" w:cs="Arial" w:eastAsia="Arial" w:hAnsi="Arial"/>
          <w:sz w:val="16"/>
          <w:szCs w:val="16"/>
          <w:color w:val="auto"/>
        </w:rPr>
        <w:t xml:space="preserve">” shall be deemed to be the parent of such consolidated group for purposes of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Appendix 2</w:t>
      </w:r>
      <w:r>
        <w:rPr>
          <w:rFonts w:ascii="Arial" w:cs="Arial" w:eastAsia="Arial" w:hAnsi="Arial"/>
          <w:sz w:val="16"/>
          <w:szCs w:val="16"/>
          <w:color w:val="auto"/>
        </w:rPr>
        <w:t xml:space="preserve"> hereto.</w:t>
      </w:r>
    </w:p>
    <w:p>
      <w:pPr>
        <w:spacing w:after="0" w:line="167" w:lineRule="exact"/>
        <w:rPr>
          <w:sz w:val="20"/>
          <w:szCs w:val="20"/>
          <w:color w:val="auto"/>
        </w:rPr>
      </w:pPr>
    </w:p>
    <w:p>
      <w:pPr>
        <w:jc w:val="both"/>
        <w:ind w:right="120" w:firstLine="1953"/>
        <w:spacing w:after="0" w:line="259" w:lineRule="auto"/>
        <w:tabs>
          <w:tab w:leader="none" w:pos="26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Appropriate provision shall be made with respect to the rights and interests of each Holder to the end that the provisions hereof (including, without limitation, provision for adjustment of the Warrant Price) shall thereafter be applicable, as nearly equivalent as may be practicable in relation to any shares of stock thereafter deliverable upon the exercise thereof. The Company shall use its commercially reasonable best efforts to ensure that prior to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simultaneously with the consummation of a Corporate Reorganization, the successor corporation resulting from such consolidation or merger, or the corporation purchasing or otherwise acquiring such assets or other appropriate corporation or entity shall assume by written instrument, reasonably deemed by the Board of Directors of the Company and Holder to be satisfactory in form and substance, the obligation to deliver to the holder of the Warrants, at the last address of such holder appearing on the books of the Company, such shares of stock, as, in accordance with the foregoing provisions, such holder may be entitled to purchase, and the other obligations under these Warrants. The provisions of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shall similarly apply to successive Corporate Reorganizations. If the Company, in spite of using its commercially reasonable best efforts, is unable to cause these Warrants to continue in full force and effect until the Expiration Date in connection with any Corporate Reorganization, then the Company shall pay or cause to be paid to Holder, prior to or contemporaneously with the consummation of any such Corporate Reorganization, an amount per Warrant to purchase one share in the Company that is calculated in accordance with the Black-Scholes Option Pricing formula set forth in </w:t>
      </w:r>
      <w:r>
        <w:rPr>
          <w:rFonts w:ascii="Arial" w:cs="Arial" w:eastAsia="Arial" w:hAnsi="Arial"/>
          <w:sz w:val="16"/>
          <w:szCs w:val="16"/>
          <w:u w:val="single" w:color="auto"/>
          <w:color w:val="auto"/>
        </w:rPr>
        <w:t>Appendix 3</w:t>
      </w:r>
      <w:r>
        <w:rPr>
          <w:rFonts w:ascii="Arial" w:cs="Arial" w:eastAsia="Arial" w:hAnsi="Arial"/>
          <w:sz w:val="16"/>
          <w:szCs w:val="16"/>
          <w:color w:val="auto"/>
        </w:rPr>
        <w:t xml:space="preserve"> hereto. Such payment shall be made in cash in the event that the Corporate Reorganization results in the shareholders of the Company receiving cash from the Acquirer at the closing of the transaction, and shall be made in shares of the Company (with the value of each share in the Company is determined according to S</w:t>
      </w:r>
      <w:r>
        <w:rPr>
          <w:rFonts w:ascii="Arial" w:cs="Arial" w:eastAsia="Arial" w:hAnsi="Arial"/>
          <w:sz w:val="10"/>
          <w:szCs w:val="10"/>
          <w:color w:val="auto"/>
        </w:rPr>
        <w:t>Corp</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Appendix 3</w:t>
      </w:r>
      <w:r>
        <w:rPr>
          <w:rFonts w:ascii="Arial" w:cs="Arial" w:eastAsia="Arial" w:hAnsi="Arial"/>
          <w:sz w:val="16"/>
          <w:szCs w:val="16"/>
          <w:color w:val="auto"/>
        </w:rPr>
        <w:t xml:space="preserve"> hereto) in the event that the Corporate Reorganization results in the shareholders of the Company receiving shares in the Acquirer or other entity at the closing of the transaction, in the event that the shareholders of the Company receive both cash and shares at the closing of the transaction, such payment to Holder shall be also be made in both cash and shares in the same proportion as the consideration received by the shareholders.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ADJUSTMENTS TO THE SHARES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xml:space="preserve">. If the Company declares or pays a dividend on the outstanding shares of the Class payable in common stock or other securities, then upon exercise of this Warrant, for each Share acquired, Holder shall receive, without cost to Holder, the total number and kind of securities to which Holder would have been entitled had Holder owned the Shares of record as of the date the dividend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 The Company or its successor shall promptly issue to the Holder a certificate pursuant to </w:t>
      </w:r>
      <w:r>
        <w:rPr>
          <w:rFonts w:ascii="Arial" w:cs="Arial" w:eastAsia="Arial" w:hAnsi="Arial"/>
          <w:sz w:val="17"/>
          <w:szCs w:val="17"/>
          <w:u w:val="single" w:color="auto"/>
          <w:color w:val="auto"/>
        </w:rPr>
        <w:t>Article 2.6</w:t>
      </w:r>
      <w:r>
        <w:rPr>
          <w:rFonts w:ascii="Arial" w:cs="Arial" w:eastAsia="Arial" w:hAnsi="Arial"/>
          <w:sz w:val="17"/>
          <w:szCs w:val="17"/>
          <w:color w:val="auto"/>
        </w:rPr>
        <w:t xml:space="preserve"> below setting forth the number and kind of such new securities or other property issuable upon exercise or conversion of this Warrant as a result of such stock dividend, subdivision, combination or consolidation by reclassification or otherwise or other event that results in a change to the number and/or class of securities issuable upon exercise or conversion of this Warrant. The provisions of this </w:t>
      </w:r>
      <w:r>
        <w:rPr>
          <w:rFonts w:ascii="Arial" w:cs="Arial" w:eastAsia="Arial" w:hAnsi="Arial"/>
          <w:sz w:val="17"/>
          <w:szCs w:val="17"/>
          <w:u w:val="single" w:color="auto"/>
          <w:color w:val="auto"/>
        </w:rPr>
        <w:t>Article 2.1</w:t>
      </w:r>
      <w:r>
        <w:rPr>
          <w:rFonts w:ascii="Arial" w:cs="Arial" w:eastAsia="Arial" w:hAnsi="Arial"/>
          <w:sz w:val="17"/>
          <w:szCs w:val="17"/>
          <w:color w:val="auto"/>
        </w:rPr>
        <w:t xml:space="preserve"> shall similarly apply to successive stock dividends, subdivisions, combinations, consolidations or other events.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Reclassification, Exchange, Combinations or Substitution</w:t>
      </w:r>
      <w:r>
        <w:rPr>
          <w:rFonts w:ascii="Arial" w:cs="Arial" w:eastAsia="Arial" w:hAnsi="Arial"/>
          <w:sz w:val="16"/>
          <w:szCs w:val="16"/>
          <w:color w:val="auto"/>
        </w:rPr>
        <w:t xml:space="preserve">. Upon any reclassification,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the Shares if this Warrant had been exercised immediately before such reclassification, exchange, substitution, or other event. Such an event shall include, without limitation, any automatic conversion of the outstanding or issuable securities of the Company of the same class or series as the Shares to common stock pursuant to the terms of the Company’s Articles of Incorporation. The Company or its successor shall promptly issue to Holder a certificate pursuant to </w:t>
      </w:r>
      <w:r>
        <w:rPr>
          <w:rFonts w:ascii="Arial" w:cs="Arial" w:eastAsia="Arial" w:hAnsi="Arial"/>
          <w:sz w:val="16"/>
          <w:szCs w:val="16"/>
          <w:u w:val="single" w:color="auto"/>
          <w:color w:val="auto"/>
        </w:rPr>
        <w:t>Article 2.6</w:t>
      </w:r>
      <w:r>
        <w:rPr>
          <w:rFonts w:ascii="Arial" w:cs="Arial" w:eastAsia="Arial" w:hAnsi="Arial"/>
          <w:sz w:val="16"/>
          <w:szCs w:val="16"/>
          <w:color w:val="auto"/>
        </w:rPr>
        <w:t xml:space="preserve"> below setting forth the number and kind of such new securities or other property issuable upon exercise or conversion of this Warrant as a result of such reclassification, exchange, substitution or other event that results in a change of the number and/or class of securities issuable upon exercise or conversion of this Warrant. The provisions of this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shall similarly apply to successive reclassifications, exchanges, substitutions, or other events.</w:t>
      </w:r>
    </w:p>
    <w:p>
      <w:pPr>
        <w:spacing w:after="0" w:line="16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No Impairment</w:t>
      </w:r>
      <w:r>
        <w:rPr>
          <w:rFonts w:ascii="Arial" w:cs="Arial" w:eastAsia="Arial" w:hAnsi="Arial"/>
          <w:sz w:val="16"/>
          <w:szCs w:val="16"/>
          <w:color w:val="auto"/>
        </w:rPr>
        <w:t xml:space="preserve">. The Company shall not, by amendment of its Articles of Incorporation or bylaws or through a reorganization, transfer of assets, consolidation, merger, dissolution, issue, or sale of securities or any other voluntary action, avoid or seek to avoid the observance or performance of any of the terms to be observed or performed under this Warrant by the Company, but shall at all times in good faith assist in carrying out of all the provisions of this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and in taking such action as may be reasonably necessary or appropriate to protect Holder’s rights under this Article against impairment.</w:t>
      </w:r>
    </w:p>
    <w:p>
      <w:pPr>
        <w:spacing w:after="0" w:line="154"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shall be issuable upon exercise or conversion of the Warrant and the number of Shares to be issued shall be rounded down to the nearest whole Share. If a fractional share interest arises upon any exercise or conversion of the Warrant, the Company shall eliminate such fractional share interest by paying Holder the amount computed by multiplying the fractional interest by the fair market value of a full Share.</w:t>
      </w:r>
    </w:p>
    <w:p>
      <w:pPr>
        <w:spacing w:after="0" w:line="147"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Certificate as to Adjustments</w:t>
      </w:r>
      <w:r>
        <w:rPr>
          <w:rFonts w:ascii="Arial" w:cs="Arial" w:eastAsia="Arial" w:hAnsi="Arial"/>
          <w:sz w:val="18"/>
          <w:szCs w:val="18"/>
          <w:color w:val="auto"/>
        </w:rPr>
        <w:t>. Upon each adjustment of the Warrant Price, Class and/or number of Shares, the Company shall promptly notify Holder in writing, and, at the Company’s expense, promptly compute such adjustment, and furnish Holder with a certificate of its Chief Financial Officer setting forth such adjustment and the facts upon which such adjustment is based. The Company shall, upon written request, furnish Holder a certificate setting forth the Warrant Price, Class and number of Shares in effect upon the date thereof and the series of adjustments leading to such Warrant Price, Class and number of Shares.</w:t>
      </w:r>
    </w:p>
    <w:p>
      <w:pPr>
        <w:sectPr>
          <w:pgSz w:w="11900" w:h="16911" w:orient="portrait"/>
          <w:cols w:equalWidth="0" w:num="1">
            <w:col w:w="11420"/>
          </w:cols>
          <w:pgMar w:left="240" w:top="125" w:right="239" w:bottom="0" w:gutter="0" w:footer="0" w:header="0"/>
        </w:sectPr>
      </w:pPr>
    </w:p>
    <w:bookmarkStart w:id="60" w:name="page61"/>
    <w:bookmarkEnd w:id="60"/>
    <w:p>
      <w:pPr>
        <w:ind w:right="100" w:firstLine="648"/>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Proceedings Prior to Any Action Requiring Adjustment</w:t>
      </w:r>
      <w:r>
        <w:rPr>
          <w:rFonts w:ascii="Arial" w:cs="Arial" w:eastAsia="Arial" w:hAnsi="Arial"/>
          <w:sz w:val="18"/>
          <w:szCs w:val="18"/>
          <w:color w:val="auto"/>
        </w:rPr>
        <w:t xml:space="preserve">. As a condition precedent to the taking of any action which would require an adjustment pursuant to this </w:t>
      </w:r>
      <w:r>
        <w:rPr>
          <w:rFonts w:ascii="Arial" w:cs="Arial" w:eastAsia="Arial" w:hAnsi="Arial"/>
          <w:sz w:val="18"/>
          <w:szCs w:val="18"/>
          <w:u w:val="single" w:color="auto"/>
          <w:color w:val="auto"/>
        </w:rPr>
        <w:t>Article 2</w:t>
      </w:r>
      <w:r>
        <w:rPr>
          <w:rFonts w:ascii="Arial" w:cs="Arial" w:eastAsia="Arial" w:hAnsi="Arial"/>
          <w:sz w:val="18"/>
          <w:szCs w:val="18"/>
          <w:color w:val="auto"/>
        </w:rPr>
        <w:t>, the Company shall take any action which may be necessary, including obtaining regulatory approvals or exemptions, in order that the Company may thereafter validly and legally issue as fully paid and nonassessable all Shares which the Holder is entitled to receive upon exercise of the Warrant.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COVENANTS OF THE COMPANY</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This Warrant has been duly authorized, is validly issued and constitutes the valid and binding obligation of the Company.</w:t>
      </w:r>
    </w:p>
    <w:p>
      <w:pPr>
        <w:spacing w:after="0" w:line="225" w:lineRule="exact"/>
        <w:rPr>
          <w:sz w:val="20"/>
          <w:szCs w:val="20"/>
          <w:color w:val="auto"/>
        </w:rPr>
      </w:pPr>
    </w:p>
    <w:p>
      <w:pPr>
        <w:jc w:val="both"/>
        <w:ind w:right="60" w:firstLine="1297"/>
        <w:spacing w:after="0" w:line="312" w:lineRule="auto"/>
        <w:rPr>
          <w:sz w:val="20"/>
          <w:szCs w:val="20"/>
          <w:color w:val="auto"/>
        </w:rPr>
      </w:pPr>
      <w:r>
        <w:rPr>
          <w:rFonts w:ascii="Arial" w:cs="Arial" w:eastAsia="Arial" w:hAnsi="Arial"/>
          <w:sz w:val="16"/>
          <w:szCs w:val="16"/>
          <w:color w:val="auto"/>
        </w:rPr>
        <w:t>3.1.2 All Shares which may be issued from time to time upon the exercise of any of the purchase rights represented by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w:t>
      </w:r>
    </w:p>
    <w:p>
      <w:pPr>
        <w:spacing w:after="0" w:line="147"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(a) to declare any dividend or distribution upon the outstanding shares of the Class, whether in cash, property, stock, or other securities and whether or not a regular cash dividend; (b) to offer for subscription or sale pro rata to the holders of the outstanding shares of the Class any additional shares of any class or series of the Company’s stock (other than pursuant to contractual pre-emptive rights); (c) to effect any reclassification, reorganization or recapitalization of the shares of the Class; or (d) to effect an Acquisition or to liquidate, dissolve or wind up, then, in connection with each such event, the Company shall give Holder: (1)at least 10 days prior written notice of the date on which a record will be taken for such dividend, distribution, or subscription rights (and specifying the date on which the holders of shares of the Class will be entitled thereto) or for determining rights to vote, if any, in respect of the matters referred to in (c) and (d) above; and (2) in the case of the matters referred to in</w:t>
      </w:r>
    </w:p>
    <w:p>
      <w:pPr>
        <w:spacing w:after="0" w:line="3" w:lineRule="exact"/>
        <w:rPr>
          <w:sz w:val="20"/>
          <w:szCs w:val="20"/>
          <w:color w:val="auto"/>
        </w:rPr>
      </w:pPr>
    </w:p>
    <w:p>
      <w:pPr>
        <w:ind w:right="120" w:firstLine="8"/>
        <w:spacing w:after="0" w:line="290" w:lineRule="auto"/>
        <w:tabs>
          <w:tab w:leader="none" w:pos="24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and (d) above at least 10 days prior written notice of the date when the same will take place (and specifying the date on which the holders of shares of the Class will be entitled to exchange their shares for the securities or other property deliverable upon the occurrence of such event).</w:t>
      </w:r>
    </w:p>
    <w:p>
      <w:pPr>
        <w:spacing w:after="0" w:line="16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 Shareholder Rights</w:t>
      </w:r>
      <w:r>
        <w:rPr>
          <w:rFonts w:ascii="Arial" w:cs="Arial" w:eastAsia="Arial" w:hAnsi="Arial"/>
          <w:sz w:val="18"/>
          <w:szCs w:val="18"/>
          <w:color w:val="auto"/>
        </w:rPr>
        <w:t>. Except as provided in this Warrant, Holder will not have any rights as a shareholder of the Company until the exercise of this Warrant.</w:t>
      </w:r>
    </w:p>
    <w:p>
      <w:pPr>
        <w:spacing w:after="0" w:line="170"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Certain Information</w:t>
      </w:r>
      <w:r>
        <w:rPr>
          <w:rFonts w:ascii="Arial" w:cs="Arial" w:eastAsia="Arial" w:hAnsi="Arial"/>
          <w:sz w:val="17"/>
          <w:szCs w:val="17"/>
          <w:color w:val="auto"/>
        </w:rPr>
        <w:t>. The Company agrees to provide Holder at any time and from time to time with such information as Holder may reasonably request for purposes of Holder’s compliance with regulatory, accounting and reporting requirements applicable to Holder.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REPRESENTATIONS, WARRANTIES OF THE HOLDER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Investment</w:t>
      </w:r>
      <w:r>
        <w:rPr>
          <w:rFonts w:ascii="Arial" w:cs="Arial" w:eastAsia="Arial" w:hAnsi="Arial"/>
          <w:sz w:val="17"/>
          <w:szCs w:val="17"/>
          <w:color w:val="auto"/>
        </w:rPr>
        <w:t>. Holder is acquiring this Warrant and the Shares issuable upon exercise of this Warrant for its own account, for investment and not for, with a view to, or in connection with, any sale or distribution thereof within the meaning of the Securities Act,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Holder will not offer, sell or otherwise dispose of this Warrant and the Shares issuable upon exercise of this Warrant except as permitted by the Securities Act and any state securities law.</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Unregistered Securities; Legend</w:t>
      </w:r>
      <w:r>
        <w:rPr>
          <w:rFonts w:ascii="Arial" w:cs="Arial" w:eastAsia="Arial" w:hAnsi="Arial"/>
          <w:sz w:val="18"/>
          <w:szCs w:val="18"/>
          <w:color w:val="auto"/>
        </w:rPr>
        <w:t xml:space="preserve">. Holder understands that the Warrants and the Shares have not been, and will not be, registered under the Securities Act or any state securities law, by reason of their issuance in a transaction exempt from the registration requirements of the Securities Act and such laws, that the Warrants and the Shares must be held indefinitely unless they are subsequently registered under the Securities Act and such laws or a subsequent disposition thereof is exempt from registration, that the Warrants and the Shares shall bear a legend to such effect, and that appropriate stop transfer instructions may be issued. Holder further understands that such exemption depends upon, among other things, the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nature of Holder’s investment intent expressed herein.</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Status of the Holder</w:t>
      </w:r>
      <w:r>
        <w:rPr>
          <w:rFonts w:ascii="Arial" w:cs="Arial" w:eastAsia="Arial" w:hAnsi="Arial"/>
          <w:sz w:val="17"/>
          <w:szCs w:val="17"/>
          <w:color w:val="auto"/>
        </w:rPr>
        <w:t>. Holder has not been formed for the specific purpose of acquiring the Warrants or the Shares. Holder understands the term “accredited investor” as used in Regulation D promulgated under the Securities Act and represents and warrants to the Company that Holder is an “accredited investor” for purposes of acquiring the Warrants and the Shares. If Holder is not a United States person (as defined by Section 7701(a)(30) of the Internal Revenue Code of 1986), Holder has satisfied itself as to the full observance of the laws of its jurisdiction in connection with this Agreement, including (a) the legal requirements within its jurisdiction for issuance of this Warrant and the Shares issuable upon exercise of this Warrant, (b) any foreign exchange restrictions applicable to such purchase, (c) any governmental or other consents that may need to be obtained, and (d) the income tax and other tax consequences, if any, that may be relevant to the purchase, holding, redemption, sale, or transfer of this Warrant or the Shares issuable upon exercise. Holder’s subscription and payment for and continued beneficial ownership of the Warrant and Shares issuable upon exercise will not violate any applicable securities or other laws of the Holder’s jurisdiction.</w:t>
      </w:r>
    </w:p>
    <w:p>
      <w:pPr>
        <w:spacing w:after="0" w:line="18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Knowledge and Experience; Economic Risk</w:t>
      </w:r>
      <w:r>
        <w:rPr>
          <w:rFonts w:ascii="Arial" w:cs="Arial" w:eastAsia="Arial" w:hAnsi="Arial"/>
          <w:sz w:val="18"/>
          <w:szCs w:val="18"/>
          <w:color w:val="auto"/>
        </w:rPr>
        <w:t>. Holder has sufficient knowledge and experience in business and financial matters and with respect to investment in securities of privately held companies so as to enable it to analyze and evaluate the merits and risks of the investment contemplated hereby and is capable of protecting its interest in connection with this transaction. Holder is able to bear the economic risk of such investment, including a complete loss of the investment.</w:t>
      </w:r>
    </w:p>
    <w:p>
      <w:pPr>
        <w:sectPr>
          <w:pgSz w:w="11900" w:h="16838" w:orient="portrait"/>
          <w:cols w:equalWidth="0" w:num="1">
            <w:col w:w="11420"/>
          </w:cols>
          <w:pgMar w:left="240" w:top="341" w:right="239" w:bottom="0" w:gutter="0" w:footer="0" w:header="0"/>
        </w:sectPr>
      </w:pPr>
    </w:p>
    <w:bookmarkStart w:id="61" w:name="page62"/>
    <w:bookmarkEnd w:id="61"/>
    <w:p>
      <w:pPr>
        <w:spacing w:after="0" w:line="9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Access to Information</w:t>
      </w:r>
      <w:r>
        <w:rPr>
          <w:rFonts w:ascii="Arial" w:cs="Arial" w:eastAsia="Arial" w:hAnsi="Arial"/>
          <w:sz w:val="17"/>
          <w:szCs w:val="17"/>
          <w:color w:val="auto"/>
        </w:rPr>
        <w:t>. Holder acknowledges that Holder and its representatives have had the opportunity to ask questions and receive answers from officers and representatives of the Company concerning the Company and its business and the transactions contemplated by this Agreement and to obtain any additional information which the Company possesses or can acquire that is necessary to verify the accuracy of the information regarding the Company herein set forth or otherwise desired in connection with its purchase of the Warrants and the Shares.</w:t>
      </w:r>
    </w:p>
    <w:p>
      <w:pPr>
        <w:spacing w:after="0" w:line="171"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Rule 144</w:t>
      </w:r>
      <w:r>
        <w:rPr>
          <w:rFonts w:ascii="Arial" w:cs="Arial" w:eastAsia="Arial" w:hAnsi="Arial"/>
          <w:sz w:val="18"/>
          <w:szCs w:val="18"/>
          <w:color w:val="auto"/>
        </w:rPr>
        <w:t>. Holder understands that the exemption from registration afforded by Rule 144 (the provisions of which are known to such Investor) promulgated by the Securities and Exchange Commission under the Securities Act depends upon the satisfaction of various conditions, and that such exemption is not currently available.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 This Warrant is exercisable in whole or in part at any time and from time to time on or before the Expiration Date.</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This Warrant and the Shares shall be imprinted with a legend in substantially the following form:</w:t>
      </w:r>
    </w:p>
    <w:p>
      <w:pPr>
        <w:spacing w:after="0" w:line="225" w:lineRule="exact"/>
        <w:rPr>
          <w:sz w:val="20"/>
          <w:szCs w:val="20"/>
          <w:color w:val="auto"/>
        </w:rPr>
      </w:pPr>
    </w:p>
    <w:p>
      <w:pPr>
        <w:ind w:left="1300" w:right="4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OR QUALIFIED UNDER THE SECURITIES ACT OF 1933 OR UNDER ANY APPLICABLE STATE SECURITIES LAWS, AND HAVE BEEN ACQUIRED FOR INVESTMENT AND NOT WITH A VIEW TO, OR IN CONNECTION WITH, THE SALE OR DISTRIBUTION THEREOF. NO SUCH SALE OR DISTRIBUTION MAY BE LAWFULLY EFFECTED WITHOUT AN EFFECTIVE REGISTRATION STATEMENT, UNLESS AN EXEMPTION FROM SUCH REGISTRATION IS AVAILABLE.”</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may not be transferred or assigned in whole or in part without compliance with applicable federal and state securities laws by the transferor and the transferee.</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Subject to the provisions of Article 5.3, Holder may transfer or pledge all or part of this Warrant or the Shares issuable upon exercise of this Warrant to any transferee, provided, however, in connection with any transfer, Holder will give the Company notice of the portion of the Warrant being transferred with the name, address and taxpayer identification number of the transferee and Holder will surrender this Warrant to the Company for reissuance to the transferee(s) (and Holder if applicable). The Company may refuse to transfer this Warrant or the Shares to any person who directly competes with the Company, unless, in either case, the stock of the Company is publicly traded.</w:t>
      </w:r>
    </w:p>
    <w:p>
      <w:pPr>
        <w:spacing w:after="0" w:line="173" w:lineRule="exact"/>
        <w:rPr>
          <w:sz w:val="20"/>
          <w:szCs w:val="20"/>
          <w:color w:val="auto"/>
        </w:rPr>
      </w:pPr>
    </w:p>
    <w:p>
      <w:pPr>
        <w:jc w:val="both"/>
        <w:ind w:right="300" w:firstLine="648"/>
        <w:spacing w:after="0" w:line="27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from the Company to the Holder, or vice versa, shall be deemed delivered and effective when given personally or mailed by first-class registered or certified mail, postage prepaid (or on the first business day after transmission by facsimile), at such address as may have been furnished to the Company or Holder, as the case may be, in writing by the Company or such holder from time to time. All notices to Holder shall be addressed as follows until the Company receives notice of a change in address: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Alkermes Pharma Ireland Limited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Alkermes plc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Company Secretary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Connaught House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Burlington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Dublin 4, Ireland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+353 1.772.8001]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Recro Pharma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Gerri A. Henwood, President and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490 Lapp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Malvern, PA 19355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(484) 395-2470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(484)395-2471</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only by an instrument in writing signed by Holder and the party against which enforcement of such change, waiver, discharge or termination is sought.</w:t>
      </w:r>
    </w:p>
    <w:p>
      <w:pPr>
        <w:spacing w:after="0" w:line="170"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Automatic Conversion upon Expiration</w:t>
      </w:r>
      <w:r>
        <w:rPr>
          <w:rFonts w:ascii="Arial" w:cs="Arial" w:eastAsia="Arial" w:hAnsi="Arial"/>
          <w:sz w:val="18"/>
          <w:szCs w:val="18"/>
          <w:color w:val="auto"/>
        </w:rPr>
        <w:t xml:space="preserve">. In the event that, upon the Expiration Date, the fair market value of one Share (or other security issuable upon the exercise hereof) as determined in accordance with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above is greater than the Warrant Price in effect on such date, then this Warrant shall automatically be deemed on and as of such date to be converted pursuant to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above as to all Shares (or such other securities) for which it shall not previously have been exercised or converted, and the Company shall promptly deliver a certificate representing the Shares (or such other securities) issued upon such conversion to Holder.</w:t>
      </w:r>
    </w:p>
    <w:p>
      <w:pPr>
        <w:spacing w:after="0" w:line="18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 This Warrant may be executed in counterparts, all of which together shall constitute one and the same agreement.</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Commonwealth or Pennsylvania, without giving effect to its principles regarding conflicts of law.</w:t>
      </w:r>
    </w:p>
    <w:p>
      <w:pPr>
        <w:sectPr>
          <w:pgSz w:w="11900" w:h="16929" w:orient="portrait"/>
          <w:cols w:equalWidth="0" w:num="1">
            <w:col w:w="11400"/>
          </w:cols>
          <w:pgMar w:left="240" w:top="125" w:right="259" w:bottom="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i w:val="1"/>
          <w:iCs w:val="1"/>
          <w:color w:val="auto"/>
        </w:rPr>
        <w:t>[Remainder of page left blank intentionally]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RECRO PHARMA,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ALKERMES PHARMA IRELAND LIMITED,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-130810</wp:posOffset>
            </wp:positionV>
            <wp:extent cx="31470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-130810</wp:posOffset>
            </wp:positionV>
            <wp:extent cx="31470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960" w:type="dxa"/>
            <w:vAlign w:val="bottom"/>
          </w:tcPr>
          <w:p>
            <w:pPr>
              <w:jc w:val="center"/>
              <w:ind w:left="1490"/>
              <w:spacing w:after="0"/>
              <w:rPr>
                <w:sz w:val="20"/>
                <w:szCs w:val="20"/>
                <w:color w:val="auto"/>
              </w:rPr>
            </w:pPr>
            <w:r>
              <w:rPr>
                <w:rFonts w:ascii="Arial" w:cs="Arial" w:eastAsia="Arial" w:hAnsi="Arial"/>
                <w:sz w:val="18"/>
                <w:szCs w:val="18"/>
                <w:b w:val="1"/>
                <w:bCs w:val="1"/>
                <w:u w:val="single" w:color="auto"/>
                <w:color w:val="auto"/>
                <w:w w:val="98"/>
              </w:rPr>
              <w:t>APPENDIX 1</w:t>
            </w:r>
          </w:p>
        </w:tc>
        <w:tc>
          <w:tcPr>
            <w:tcW w:w="498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940" w:type="dxa"/>
            <w:vAlign w:val="bottom"/>
            <w:gridSpan w:val="2"/>
          </w:tcPr>
          <w:p>
            <w:pPr>
              <w:jc w:val="center"/>
              <w:ind w:right="3290"/>
              <w:spacing w:after="0"/>
              <w:rPr>
                <w:sz w:val="20"/>
                <w:szCs w:val="20"/>
                <w:color w:val="auto"/>
              </w:rPr>
            </w:pPr>
            <w:r>
              <w:rPr>
                <w:rFonts w:ascii="Arial" w:cs="Arial" w:eastAsia="Arial" w:hAnsi="Arial"/>
                <w:sz w:val="18"/>
                <w:szCs w:val="18"/>
                <w:color w:val="auto"/>
                <w:w w:val="94"/>
              </w:rPr>
              <w:t>NOTICE OF EXERCISE</w:t>
            </w: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1.</w:t>
            </w:r>
          </w:p>
        </w:tc>
        <w:tc>
          <w:tcPr>
            <w:tcW w:w="2360" w:type="dxa"/>
            <w:vAlign w:val="bottom"/>
          </w:tcPr>
          <w:p>
            <w:pPr>
              <w:ind w:left="300"/>
              <w:spacing w:after="0"/>
              <w:rPr>
                <w:sz w:val="20"/>
                <w:szCs w:val="20"/>
                <w:color w:val="auto"/>
              </w:rPr>
            </w:pPr>
            <w:r>
              <w:rPr>
                <w:rFonts w:ascii="Arial" w:cs="Arial" w:eastAsia="Arial" w:hAnsi="Arial"/>
                <w:sz w:val="18"/>
                <w:szCs w:val="18"/>
                <w:color w:val="auto"/>
                <w:w w:val="99"/>
              </w:rPr>
              <w:t>Holder elects to purchase</w:t>
            </w:r>
          </w:p>
        </w:tc>
        <w:tc>
          <w:tcPr>
            <w:tcW w:w="2960" w:type="dxa"/>
            <w:vAlign w:val="bottom"/>
          </w:tcPr>
          <w:p>
            <w:pPr>
              <w:ind w:left="260"/>
              <w:spacing w:after="0"/>
              <w:rPr>
                <w:sz w:val="20"/>
                <w:szCs w:val="20"/>
                <w:color w:val="auto"/>
              </w:rPr>
            </w:pPr>
            <w:r>
              <w:rPr>
                <w:rFonts w:ascii="Arial" w:cs="Arial" w:eastAsia="Arial" w:hAnsi="Arial"/>
                <w:sz w:val="18"/>
                <w:szCs w:val="18"/>
                <w:color w:val="auto"/>
              </w:rPr>
              <w:t>shares of the Common Stock of</w:t>
            </w:r>
          </w:p>
        </w:tc>
        <w:tc>
          <w:tcPr>
            <w:tcW w:w="4980" w:type="dxa"/>
            <w:vAlign w:val="bottom"/>
          </w:tcPr>
          <w:p>
            <w:pPr>
              <w:ind w:left="160"/>
              <w:spacing w:after="0"/>
              <w:rPr>
                <w:sz w:val="20"/>
                <w:szCs w:val="20"/>
                <w:color w:val="auto"/>
              </w:rPr>
            </w:pPr>
            <w:r>
              <w:rPr>
                <w:rFonts w:ascii="Arial" w:cs="Arial" w:eastAsia="Arial" w:hAnsi="Arial"/>
                <w:sz w:val="18"/>
                <w:szCs w:val="18"/>
                <w:color w:val="auto"/>
                <w:w w:val="88"/>
              </w:rPr>
              <w:t>pursuant to the terms of the attached Warrant, and tenders payment</w:t>
            </w:r>
          </w:p>
        </w:tc>
      </w:tr>
    </w:tbl>
    <w:p>
      <w:pPr>
        <w:spacing w:after="0"/>
        <w:rPr>
          <w:sz w:val="20"/>
          <w:szCs w:val="20"/>
          <w:color w:val="auto"/>
        </w:rPr>
      </w:pPr>
      <w:r>
        <w:rPr>
          <w:rFonts w:ascii="Arial" w:cs="Arial" w:eastAsia="Arial" w:hAnsi="Arial"/>
          <w:sz w:val="18"/>
          <w:szCs w:val="18"/>
          <w:color w:val="auto"/>
        </w:rPr>
        <w:t>of the purchase price of the shares in full.</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right="300" w:firstLine="656"/>
        <w:spacing w:after="0" w:line="277" w:lineRule="auto"/>
        <w:tabs>
          <w:tab w:leader="none" w:pos="136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Holder elects to convert the attached Warrant into Shares in the manner specified in the Warrant. This conversion is exercised for of the Shares covered by the Warrant.</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[Strike paragraph that does not apply.]</w:t>
      </w:r>
    </w:p>
    <w:p>
      <w:pPr>
        <w:spacing w:after="0" w:line="225" w:lineRule="exact"/>
        <w:rPr>
          <w:sz w:val="20"/>
          <w:szCs w:val="20"/>
          <w:color w:val="auto"/>
        </w:rPr>
      </w:pPr>
    </w:p>
    <w:p>
      <w:pPr>
        <w:ind w:left="4780" w:right="3420" w:hanging="4124"/>
        <w:spacing w:after="0" w:line="794" w:lineRule="auto"/>
        <w:tabs>
          <w:tab w:leader="none" w:pos="138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-27940</wp:posOffset>
            </wp:positionV>
            <wp:extent cx="33788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78835"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-448310</wp:posOffset>
            </wp:positionV>
            <wp:extent cx="3378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16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-130175</wp:posOffset>
            </wp:positionV>
            <wp:extent cx="33788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5" w:lineRule="exact"/>
        <w:rPr>
          <w:sz w:val="20"/>
          <w:szCs w:val="20"/>
          <w:color w:val="auto"/>
        </w:rPr>
      </w:pPr>
    </w:p>
    <w:p>
      <w:pPr>
        <w:ind w:right="180" w:firstLine="656"/>
        <w:spacing w:after="0" w:line="277" w:lineRule="auto"/>
        <w:tabs>
          <w:tab w:leader="none" w:pos="136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Article 4 of the Warrant as of the date hereof.</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292100</wp:posOffset>
            </wp:positionV>
            <wp:extent cx="36188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jc w:val="center"/>
        <w:ind w:left="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5715</wp:posOffset>
            </wp:positionV>
            <wp:extent cx="313880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Black Scholes Option Pricing formula to be used when calculating the value of each new warrant to purchase one share in the Acquirer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shall be:</w:t>
      </w:r>
    </w:p>
    <w:p>
      <w:pPr>
        <w:sectPr>
          <w:pgSz w:w="11900" w:h="16838" w:orient="portrait"/>
          <w:cols w:equalWidth="0" w:num="1">
            <w:col w:w="11420"/>
          </w:cols>
          <w:pgMar w:left="240" w:top="341" w:right="239" w:bottom="99"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4313555" cy="3175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4313555" cy="317500"/>
                    </a:xfrm>
                    <a:prstGeom prst="rect">
                      <a:avLst/>
                    </a:prstGeom>
                    <a:noFill/>
                  </pic:spPr>
                </pic:pic>
              </a:graphicData>
            </a:graphic>
          </wp:anchor>
        </w:drawing>
        <w:t>C</w:t>
      </w:r>
      <w:r>
        <w:rPr>
          <w:rFonts w:ascii="Arial" w:cs="Arial" w:eastAsia="Arial" w:hAnsi="Arial"/>
          <w:sz w:val="11"/>
          <w:szCs w:val="11"/>
          <w:b w:val="1"/>
          <w:bCs w:val="1"/>
          <w:color w:val="auto"/>
        </w:rPr>
        <w:t>Acq</w:t>
      </w:r>
      <w:r>
        <w:rPr>
          <w:rFonts w:ascii="Arial" w:cs="Arial" w:eastAsia="Arial" w:hAnsi="Arial"/>
          <w:sz w:val="18"/>
          <w:szCs w:val="18"/>
          <w:b w:val="1"/>
          <w:bCs w:val="1"/>
          <w:color w:val="auto"/>
        </w:rPr>
        <w:t xml:space="preserve"> </w:t>
      </w:r>
      <w:r>
        <w:rPr>
          <w:rFonts w:ascii="Arial" w:cs="Arial" w:eastAsia="Arial" w:hAnsi="Arial"/>
          <w:sz w:val="18"/>
          <w:szCs w:val="18"/>
          <w:color w:val="auto"/>
        </w:rPr>
        <w:t>= value of each warrant to purchase one share in the Acquirer.</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Acq</w:t>
      </w:r>
      <w:r>
        <w:rPr>
          <w:rFonts w:ascii="Arial" w:cs="Arial" w:eastAsia="Arial" w:hAnsi="Arial"/>
          <w:sz w:val="16"/>
          <w:szCs w:val="16"/>
          <w:b w:val="1"/>
          <w:bCs w:val="1"/>
          <w:color w:val="auto"/>
        </w:rPr>
        <w:t xml:space="preserve"> </w:t>
      </w:r>
      <w:r>
        <w:rPr>
          <w:rFonts w:ascii="Arial" w:cs="Arial" w:eastAsia="Arial" w:hAnsi="Arial"/>
          <w:sz w:val="16"/>
          <w:szCs w:val="16"/>
          <w:color w:val="auto"/>
        </w:rPr>
        <w:t>= price of Acquirer’s stock as determined by reference to the average of the closing prices on the securities exchange over the 20-day period ending three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trading days prior to the closing of the Corporate Reorganization described in </w:t>
      </w:r>
      <w:r>
        <w:rPr>
          <w:rFonts w:ascii="Arial" w:cs="Arial" w:eastAsia="Arial" w:hAnsi="Arial"/>
          <w:sz w:val="16"/>
          <w:szCs w:val="16"/>
          <w:u w:val="single" w:color="auto"/>
          <w:color w:val="auto"/>
        </w:rPr>
        <w:t>Article 1.6.1</w:t>
      </w:r>
      <w:r>
        <w:rPr>
          <w:rFonts w:ascii="Arial" w:cs="Arial" w:eastAsia="Arial" w:hAnsi="Arial"/>
          <w:sz w:val="16"/>
          <w:szCs w:val="16"/>
          <w:color w:val="auto"/>
        </w:rPr>
        <w:t xml:space="preserve"> if the Acquirer’s stock is then traded on such exchange or system, or the average of the closing bid or sale prices (whichever is applicable) in the over-the-counter market over the 20-day period ending three trading days prior to the closing of the Corporate Reorganization if the Acquirer’s stock is then actively traded in the over-the-counter market, or the then most recently completed financing if the Acquirer’s stock is not then traded on a securities exchange or system or in the over-the-counter market.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1"/>
          <w:szCs w:val="11"/>
          <w:b w:val="1"/>
          <w:bCs w:val="1"/>
          <w:color w:val="auto"/>
        </w:rPr>
        <w:t>Acq</w:t>
      </w:r>
      <w:r>
        <w:rPr>
          <w:rFonts w:ascii="Arial" w:cs="Arial" w:eastAsia="Arial" w:hAnsi="Arial"/>
          <w:sz w:val="18"/>
          <w:szCs w:val="18"/>
          <w:b w:val="1"/>
          <w:bCs w:val="1"/>
          <w:color w:val="auto"/>
        </w:rPr>
        <w:t xml:space="preserve"> </w:t>
      </w:r>
      <w:r>
        <w:rPr>
          <w:rFonts w:ascii="Arial" w:cs="Arial" w:eastAsia="Arial" w:hAnsi="Arial"/>
          <w:sz w:val="18"/>
          <w:szCs w:val="18"/>
          <w:color w:val="auto"/>
        </w:rPr>
        <w:t>= expiration date of new warrants to purchase shares in the Acquirer = T</w:t>
      </w:r>
      <w:r>
        <w:rPr>
          <w:rFonts w:ascii="Arial" w:cs="Arial" w:eastAsia="Arial" w:hAnsi="Arial"/>
          <w:sz w:val="11"/>
          <w:szCs w:val="11"/>
          <w:color w:val="auto"/>
        </w:rPr>
        <w:t>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1"/>
          <w:szCs w:val="11"/>
          <w:b w:val="1"/>
          <w:bCs w:val="1"/>
          <w:color w:val="auto"/>
        </w:rPr>
        <w:t>Acq</w:t>
      </w:r>
      <w:r>
        <w:rPr>
          <w:rFonts w:ascii="Arial" w:cs="Arial" w:eastAsia="Arial" w:hAnsi="Arial"/>
          <w:sz w:val="18"/>
          <w:szCs w:val="18"/>
          <w:b w:val="1"/>
          <w:bCs w:val="1"/>
          <w:color w:val="auto"/>
        </w:rPr>
        <w:t xml:space="preserve"> </w:t>
      </w:r>
      <w:r>
        <w:rPr>
          <w:rFonts w:ascii="Arial" w:cs="Arial" w:eastAsia="Arial" w:hAnsi="Arial"/>
          <w:sz w:val="18"/>
          <w:szCs w:val="18"/>
          <w:color w:val="auto"/>
        </w:rPr>
        <w:t>= date of issue of new warrants to purchase shares in the Acquirer.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1"/>
          <w:szCs w:val="11"/>
          <w:color w:val="auto"/>
        </w:rPr>
        <w:t>Acq</w:t>
      </w:r>
      <w:r>
        <w:rPr>
          <w:rFonts w:ascii="Arial" w:cs="Arial" w:eastAsia="Arial" w:hAnsi="Arial"/>
          <w:sz w:val="18"/>
          <w:szCs w:val="18"/>
          <w:color w:val="auto"/>
        </w:rPr>
        <w:t>-t</w:t>
      </w:r>
      <w:r>
        <w:rPr>
          <w:rFonts w:ascii="Arial" w:cs="Arial" w:eastAsia="Arial" w:hAnsi="Arial"/>
          <w:sz w:val="11"/>
          <w:szCs w:val="11"/>
          <w:color w:val="auto"/>
        </w:rPr>
        <w:t>Acq</w:t>
      </w:r>
      <w:r>
        <w:rPr>
          <w:rFonts w:ascii="Arial" w:cs="Arial" w:eastAsia="Arial" w:hAnsi="Arial"/>
          <w:sz w:val="18"/>
          <w:szCs w:val="18"/>
          <w:color w:val="auto"/>
        </w:rPr>
        <w:t xml:space="preserve"> = time until warrant expiration, expressed in years.</w:t>
      </w:r>
    </w:p>
    <w:p>
      <w:pPr>
        <w:spacing w:after="0" w:line="225" w:lineRule="exact"/>
        <w:rPr>
          <w:sz w:val="20"/>
          <w:szCs w:val="20"/>
          <w:color w:val="auto"/>
        </w:rPr>
      </w:pPr>
    </w:p>
    <w:p>
      <w:pPr>
        <w:ind w:firstLine="8"/>
        <w:spacing w:after="0" w:line="272" w:lineRule="auto"/>
        <w:tabs>
          <w:tab w:leader="none" w:pos="143" w:val="left"/>
        </w:tabs>
        <w:numPr>
          <w:ilvl w:val="0"/>
          <w:numId w:val="171"/>
        </w:numPr>
        <w:rPr>
          <w:rFonts w:ascii="Arial" w:cs="Arial" w:eastAsia="Arial" w:hAnsi="Arial"/>
          <w:sz w:val="17"/>
          <w:szCs w:val="17"/>
          <w:b w:val="1"/>
          <w:bCs w:val="1"/>
          <w:color w:val="auto"/>
        </w:rPr>
      </w:pPr>
      <w:r>
        <w:rPr>
          <w:rFonts w:ascii="Arial" w:cs="Arial" w:eastAsia="Arial" w:hAnsi="Arial"/>
          <w:sz w:val="17"/>
          <w:szCs w:val="17"/>
          <w:color w:val="auto"/>
        </w:rPr>
        <w:t xml:space="preserve">= volatility = annualized standard deviation of daily log-returns (using a 262-day annualization factor) of the Acquirer’s stock price on the securities exchange over a 20-day trading period, determined by Holder, that is within the 100-day trading period ending on the trading day immediately after the public announcement of the Corporate Reorganization described in </w:t>
      </w:r>
      <w:r>
        <w:rPr>
          <w:rFonts w:ascii="Arial" w:cs="Arial" w:eastAsia="Arial" w:hAnsi="Arial"/>
          <w:sz w:val="17"/>
          <w:szCs w:val="17"/>
          <w:u w:val="single" w:color="auto"/>
          <w:color w:val="auto"/>
        </w:rPr>
        <w:t>Article 1.6.1</w:t>
      </w:r>
      <w:r>
        <w:rPr>
          <w:rFonts w:ascii="Arial" w:cs="Arial" w:eastAsia="Arial" w:hAnsi="Arial"/>
          <w:sz w:val="17"/>
          <w:szCs w:val="17"/>
          <w:color w:val="auto"/>
        </w:rPr>
        <w:t xml:space="preserve"> if the Acquirer’s stock is then traded on such exchange or system, or the annualized standard deviation of daily-log returns (using a 262-day annualization factor) of the closing bid or sale prices (whichever is applicable) in the over-the-counter market over a 20-day trading period, determined by the Holder, that is within the 100-day trading period ending on the trading day immediately after the public announcement of the Corporate Reorganization if the Acquirer’s stock is then actively traded in the over-the-counter market, or 0.6 (or 60%) if the Acquirer’s stock is not then traded on a securities exchange or system or in the over-the-counter market.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 </w:t>
      </w:r>
      <w:r>
        <w:rPr>
          <w:rFonts w:ascii="Arial" w:cs="Arial" w:eastAsia="Arial" w:hAnsi="Arial"/>
          <w:sz w:val="18"/>
          <w:szCs w:val="18"/>
          <w:color w:val="auto"/>
        </w:rPr>
        <w:t>= cumulative normal distribution function.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1"/>
          <w:szCs w:val="11"/>
          <w:b w:val="1"/>
          <w:bCs w:val="1"/>
          <w:color w:val="auto"/>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 (In(S</w:t>
      </w:r>
      <w:r>
        <w:rPr>
          <w:rFonts w:ascii="Arial" w:cs="Arial" w:eastAsia="Arial" w:hAnsi="Arial"/>
          <w:sz w:val="11"/>
          <w:szCs w:val="11"/>
          <w:color w:val="auto"/>
        </w:rPr>
        <w:t>Acq</w:t>
      </w:r>
      <w:r>
        <w:rPr>
          <w:rFonts w:ascii="Arial" w:cs="Arial" w:eastAsia="Arial" w:hAnsi="Arial"/>
          <w:sz w:val="18"/>
          <w:szCs w:val="18"/>
          <w:color w:val="auto"/>
        </w:rPr>
        <w:t>/K</w:t>
      </w:r>
      <w:r>
        <w:rPr>
          <w:rFonts w:ascii="Arial" w:cs="Arial" w:eastAsia="Arial" w:hAnsi="Arial"/>
          <w:sz w:val="11"/>
          <w:szCs w:val="11"/>
          <w:color w:val="auto"/>
        </w:rPr>
        <w:t>Acq</w:t>
      </w:r>
      <w:r>
        <w:rPr>
          <w:rFonts w:ascii="Arial" w:cs="Arial" w:eastAsia="Arial" w:hAnsi="Arial"/>
          <w:sz w:val="18"/>
          <w:szCs w:val="18"/>
          <w:color w:val="auto"/>
        </w:rPr>
        <w:t>) + (r- + · +σ</w:t>
      </w:r>
      <w:r>
        <w:rPr>
          <w:rFonts w:ascii="Arial" w:cs="Arial" w:eastAsia="Arial" w:hAnsi="Arial"/>
          <w:sz w:val="23"/>
          <w:szCs w:val="23"/>
          <w:color w:val="auto"/>
          <w:vertAlign w:val="superscript"/>
        </w:rPr>
        <w:t>2</w:t>
      </w:r>
      <w:r>
        <w:rPr>
          <w:rFonts w:ascii="Arial" w:cs="Arial" w:eastAsia="Arial" w:hAnsi="Arial"/>
          <w:sz w:val="18"/>
          <w:szCs w:val="18"/>
          <w:color w:val="auto"/>
        </w:rPr>
        <w:t>/2)(T</w:t>
      </w:r>
      <w:r>
        <w:rPr>
          <w:rFonts w:ascii="Arial" w:cs="Arial" w:eastAsia="Arial" w:hAnsi="Arial"/>
          <w:sz w:val="11"/>
          <w:szCs w:val="11"/>
          <w:color w:val="auto"/>
        </w:rPr>
        <w:t>Acq</w:t>
      </w:r>
      <w:r>
        <w:rPr>
          <w:rFonts w:ascii="Arial" w:cs="Arial" w:eastAsia="Arial" w:hAnsi="Arial"/>
          <w:sz w:val="18"/>
          <w:szCs w:val="18"/>
          <w:color w:val="auto"/>
        </w:rPr>
        <w:t>-t</w:t>
      </w:r>
      <w:r>
        <w:rPr>
          <w:rFonts w:ascii="Arial" w:cs="Arial" w:eastAsia="Arial" w:hAnsi="Arial"/>
          <w:sz w:val="11"/>
          <w:szCs w:val="11"/>
          <w:color w:val="auto"/>
        </w:rPr>
        <w:t>Acq</w:t>
      </w:r>
      <w:r>
        <w:rPr>
          <w:rFonts w:ascii="Arial" w:cs="Arial" w:eastAsia="Arial" w:hAnsi="Arial"/>
          <w:sz w:val="18"/>
          <w:szCs w:val="18"/>
          <w:color w:val="auto"/>
        </w:rPr>
        <w:t>)) ÷ (σ√(T</w:t>
      </w:r>
      <w:r>
        <w:rPr>
          <w:rFonts w:ascii="Arial" w:cs="Arial" w:eastAsia="Arial" w:hAnsi="Arial"/>
          <w:sz w:val="11"/>
          <w:szCs w:val="11"/>
          <w:color w:val="auto"/>
        </w:rPr>
        <w:t>Acq</w:t>
      </w:r>
      <w:r>
        <w:rPr>
          <w:rFonts w:ascii="Arial" w:cs="Arial" w:eastAsia="Arial" w:hAnsi="Arial"/>
          <w:sz w:val="18"/>
          <w:szCs w:val="18"/>
          <w:color w:val="auto"/>
        </w:rPr>
        <w:t>-t</w:t>
      </w:r>
      <w:r>
        <w:rPr>
          <w:rFonts w:ascii="Arial" w:cs="Arial" w:eastAsia="Arial" w:hAnsi="Arial"/>
          <w:sz w:val="11"/>
          <w:szCs w:val="11"/>
          <w:color w:val="auto"/>
        </w:rPr>
        <w:t>Acq</w:t>
      </w:r>
      <w:r>
        <w:rPr>
          <w:rFonts w:ascii="Arial" w:cs="Arial" w:eastAsia="Arial" w:hAnsi="Arial"/>
          <w:sz w:val="18"/>
          <w:szCs w:val="18"/>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t>
      </w:r>
      <w:r>
        <w:rPr>
          <w:rFonts w:ascii="Arial" w:cs="Arial" w:eastAsia="Arial" w:hAnsi="Arial"/>
          <w:sz w:val="18"/>
          <w:szCs w:val="18"/>
          <w:color w:val="auto"/>
        </w:rPr>
        <w:t>= natural logarithm.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 dividend rate of the Acquirer for the most recent 12-month period at the time of closing of the Corporate Reorganization.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1"/>
          <w:szCs w:val="11"/>
          <w:b w:val="1"/>
          <w:bCs w:val="1"/>
          <w:color w:val="auto"/>
        </w:rPr>
        <w:t>Acq</w:t>
      </w:r>
      <w:r>
        <w:rPr>
          <w:rFonts w:ascii="Arial" w:cs="Arial" w:eastAsia="Arial" w:hAnsi="Arial"/>
          <w:sz w:val="18"/>
          <w:szCs w:val="18"/>
          <w:b w:val="1"/>
          <w:bCs w:val="1"/>
          <w:color w:val="auto"/>
        </w:rPr>
        <w:t xml:space="preserve"> </w:t>
      </w:r>
      <w:r>
        <w:rPr>
          <w:rFonts w:ascii="Arial" w:cs="Arial" w:eastAsia="Arial" w:hAnsi="Arial"/>
          <w:sz w:val="18"/>
          <w:szCs w:val="18"/>
          <w:color w:val="auto"/>
        </w:rPr>
        <w:t>= strike price of new warrants to purchase shares in the Acquirer = K</w:t>
      </w:r>
      <w:r>
        <w:rPr>
          <w:rFonts w:ascii="Arial" w:cs="Arial" w:eastAsia="Arial" w:hAnsi="Arial"/>
          <w:sz w:val="11"/>
          <w:szCs w:val="11"/>
          <w:color w:val="auto"/>
        </w:rPr>
        <w:t>Corp</w:t>
      </w:r>
      <w:r>
        <w:rPr>
          <w:rFonts w:ascii="Arial" w:cs="Arial" w:eastAsia="Arial" w:hAnsi="Arial"/>
          <w:sz w:val="18"/>
          <w:szCs w:val="18"/>
          <w:color w:val="auto"/>
        </w:rPr>
        <w:t>* (S</w:t>
      </w:r>
      <w:r>
        <w:rPr>
          <w:rFonts w:ascii="Arial" w:cs="Arial" w:eastAsia="Arial" w:hAnsi="Arial"/>
          <w:sz w:val="11"/>
          <w:szCs w:val="11"/>
          <w:color w:val="auto"/>
        </w:rPr>
        <w:t>Acq</w:t>
      </w:r>
      <w:r>
        <w:rPr>
          <w:rFonts w:ascii="Arial" w:cs="Arial" w:eastAsia="Arial" w:hAnsi="Arial"/>
          <w:sz w:val="18"/>
          <w:szCs w:val="18"/>
          <w:color w:val="auto"/>
        </w:rPr>
        <w:t>/ S</w:t>
      </w:r>
      <w:r>
        <w:rPr>
          <w:rFonts w:ascii="Arial" w:cs="Arial" w:eastAsia="Arial" w:hAnsi="Arial"/>
          <w:sz w:val="11"/>
          <w:szCs w:val="11"/>
          <w:color w:val="auto"/>
        </w:rPr>
        <w:t>Corp</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 </w:t>
      </w:r>
      <w:r>
        <w:rPr>
          <w:rFonts w:ascii="Arial" w:cs="Arial" w:eastAsia="Arial" w:hAnsi="Arial"/>
          <w:sz w:val="18"/>
          <w:szCs w:val="18"/>
          <w:color w:val="auto"/>
        </w:rPr>
        <w:t>= annual yield, as reported by Bloomberg at time tAcq, of the United States Treasury security measuring the nearest time T</w:t>
      </w:r>
      <w:r>
        <w:rPr>
          <w:rFonts w:ascii="Arial" w:cs="Arial" w:eastAsia="Arial" w:hAnsi="Arial"/>
          <w:sz w:val="11"/>
          <w:szCs w:val="11"/>
          <w:color w:val="auto"/>
        </w:rPr>
        <w:t>Acq</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1"/>
          <w:szCs w:val="11"/>
          <w:b w:val="1"/>
          <w:bCs w:val="1"/>
          <w:color w:val="auto"/>
        </w:rPr>
        <w:t>2</w:t>
      </w:r>
      <w:r>
        <w:rPr>
          <w:rFonts w:ascii="Arial" w:cs="Arial" w:eastAsia="Arial" w:hAnsi="Arial"/>
          <w:sz w:val="18"/>
          <w:szCs w:val="18"/>
          <w:color w:val="auto"/>
        </w:rPr>
        <w:t>= d</w:t>
      </w:r>
      <w:r>
        <w:rPr>
          <w:rFonts w:ascii="Arial" w:cs="Arial" w:eastAsia="Arial" w:hAnsi="Arial"/>
          <w:sz w:val="11"/>
          <w:szCs w:val="11"/>
          <w:color w:val="auto"/>
        </w:rPr>
        <w:t>l</w:t>
      </w:r>
      <w:r>
        <w:rPr>
          <w:rFonts w:ascii="Arial" w:cs="Arial" w:eastAsia="Arial" w:hAnsi="Arial"/>
          <w:sz w:val="18"/>
          <w:szCs w:val="18"/>
          <w:color w:val="auto"/>
        </w:rPr>
        <w:t>- σ √(T</w:t>
      </w:r>
      <w:r>
        <w:rPr>
          <w:rFonts w:ascii="Arial" w:cs="Arial" w:eastAsia="Arial" w:hAnsi="Arial"/>
          <w:sz w:val="11"/>
          <w:szCs w:val="11"/>
          <w:color w:val="auto"/>
        </w:rPr>
        <w:t>Acq</w:t>
      </w:r>
      <w:r>
        <w:rPr>
          <w:rFonts w:ascii="Arial" w:cs="Arial" w:eastAsia="Arial" w:hAnsi="Arial"/>
          <w:sz w:val="18"/>
          <w:szCs w:val="18"/>
          <w:color w:val="auto"/>
        </w:rPr>
        <w:t>-t</w:t>
      </w:r>
      <w:r>
        <w:rPr>
          <w:rFonts w:ascii="Arial" w:cs="Arial" w:eastAsia="Arial" w:hAnsi="Arial"/>
          <w:sz w:val="11"/>
          <w:szCs w:val="11"/>
          <w:color w:val="auto"/>
        </w:rPr>
        <w:t>Acq</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APPENDIX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Black Scholes Option Pricing formula to be used when calculating the value of each Warrant to purchase one share in the Company shall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4347845" cy="291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4784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1"/>
          <w:szCs w:val="11"/>
          <w:b w:val="1"/>
          <w:bCs w:val="1"/>
          <w:color w:val="auto"/>
        </w:rPr>
        <w:t>Corp</w:t>
      </w:r>
      <w:r>
        <w:rPr>
          <w:rFonts w:ascii="Arial" w:cs="Arial" w:eastAsia="Arial" w:hAnsi="Arial"/>
          <w:sz w:val="18"/>
          <w:szCs w:val="18"/>
          <w:b w:val="1"/>
          <w:bCs w:val="1"/>
          <w:color w:val="auto"/>
        </w:rPr>
        <w:t xml:space="preserve"> </w:t>
      </w:r>
      <w:r>
        <w:rPr>
          <w:rFonts w:ascii="Arial" w:cs="Arial" w:eastAsia="Arial" w:hAnsi="Arial"/>
          <w:sz w:val="18"/>
          <w:szCs w:val="18"/>
          <w:color w:val="auto"/>
        </w:rPr>
        <w:t>= value of each Warrant to purchase one share in the Company.</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Corp</w:t>
      </w:r>
      <w:r>
        <w:rPr>
          <w:rFonts w:ascii="Arial" w:cs="Arial" w:eastAsia="Arial" w:hAnsi="Arial"/>
          <w:sz w:val="16"/>
          <w:szCs w:val="16"/>
          <w:b w:val="1"/>
          <w:bCs w:val="1"/>
          <w:color w:val="auto"/>
        </w:rPr>
        <w:t xml:space="preserve"> </w:t>
      </w:r>
      <w:r>
        <w:rPr>
          <w:rFonts w:ascii="Arial" w:cs="Arial" w:eastAsia="Arial" w:hAnsi="Arial"/>
          <w:sz w:val="16"/>
          <w:szCs w:val="16"/>
          <w:color w:val="auto"/>
        </w:rPr>
        <w:t>= price of Company stock as determined by reference to the average of the closing prices on the securities exchange over the 20-day period ending three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trading days prior to the closing of the Corporate Reorganization described in </w:t>
      </w:r>
      <w:r>
        <w:rPr>
          <w:rFonts w:ascii="Arial" w:cs="Arial" w:eastAsia="Arial" w:hAnsi="Arial"/>
          <w:sz w:val="16"/>
          <w:szCs w:val="16"/>
          <w:u w:val="single" w:color="auto"/>
          <w:color w:val="auto"/>
        </w:rPr>
        <w:t>Article 1.6.1</w:t>
      </w:r>
      <w:r>
        <w:rPr>
          <w:rFonts w:ascii="Arial" w:cs="Arial" w:eastAsia="Arial" w:hAnsi="Arial"/>
          <w:sz w:val="16"/>
          <w:szCs w:val="16"/>
          <w:color w:val="auto"/>
        </w:rPr>
        <w:t xml:space="preserve"> if the Company’s stock is then traded on such exchange or system, or the average of the closing bid or sale prices (whichever is applicable) in the over-the-counter market over the 20-day period ending three trading days prior to the closing of the Corporate Reorganization if the Company’s stock is then actively traded in the over-the-counter market, or the then most recently completed financing if the Company’s stock is not then traded on a securities exchange or system or in the over-the-counter market.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1"/>
          <w:szCs w:val="11"/>
          <w:b w:val="1"/>
          <w:bCs w:val="1"/>
          <w:color w:val="auto"/>
        </w:rPr>
        <w:t>Corp</w:t>
      </w:r>
      <w:r>
        <w:rPr>
          <w:rFonts w:ascii="Arial" w:cs="Arial" w:eastAsia="Arial" w:hAnsi="Arial"/>
          <w:sz w:val="18"/>
          <w:szCs w:val="18"/>
          <w:b w:val="1"/>
          <w:bCs w:val="1"/>
          <w:color w:val="auto"/>
        </w:rPr>
        <w:t xml:space="preserve"> </w:t>
      </w:r>
      <w:r>
        <w:rPr>
          <w:rFonts w:ascii="Arial" w:cs="Arial" w:eastAsia="Arial" w:hAnsi="Arial"/>
          <w:sz w:val="18"/>
          <w:szCs w:val="18"/>
          <w:color w:val="auto"/>
        </w:rPr>
        <w:t>= expiration date of Warrants to purchase shares in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1"/>
          <w:szCs w:val="11"/>
          <w:b w:val="1"/>
          <w:bCs w:val="1"/>
          <w:color w:val="auto"/>
        </w:rPr>
        <w:t>Corp</w:t>
      </w:r>
      <w:r>
        <w:rPr>
          <w:rFonts w:ascii="Arial" w:cs="Arial" w:eastAsia="Arial" w:hAnsi="Arial"/>
          <w:sz w:val="18"/>
          <w:szCs w:val="18"/>
          <w:b w:val="1"/>
          <w:bCs w:val="1"/>
          <w:color w:val="auto"/>
        </w:rPr>
        <w:t xml:space="preserve"> </w:t>
      </w:r>
      <w:r>
        <w:rPr>
          <w:rFonts w:ascii="Arial" w:cs="Arial" w:eastAsia="Arial" w:hAnsi="Arial"/>
          <w:sz w:val="18"/>
          <w:szCs w:val="18"/>
          <w:color w:val="auto"/>
        </w:rPr>
        <w:t>- date of public announcement of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1"/>
          <w:szCs w:val="11"/>
          <w:b w:val="1"/>
          <w:bCs w:val="1"/>
          <w:color w:val="auto"/>
        </w:rPr>
        <w:t>Corp</w:t>
      </w:r>
      <w:r>
        <w:rPr>
          <w:rFonts w:ascii="Arial" w:cs="Arial" w:eastAsia="Arial" w:hAnsi="Arial"/>
          <w:sz w:val="18"/>
          <w:szCs w:val="18"/>
          <w:b w:val="1"/>
          <w:bCs w:val="1"/>
          <w:color w:val="auto"/>
        </w:rPr>
        <w:t>-t</w:t>
      </w:r>
      <w:r>
        <w:rPr>
          <w:rFonts w:ascii="Arial" w:cs="Arial" w:eastAsia="Arial" w:hAnsi="Arial"/>
          <w:sz w:val="11"/>
          <w:szCs w:val="11"/>
          <w:b w:val="1"/>
          <w:bCs w:val="1"/>
          <w:color w:val="auto"/>
        </w:rPr>
        <w:t>Corp</w:t>
      </w:r>
      <w:r>
        <w:rPr>
          <w:rFonts w:ascii="Arial" w:cs="Arial" w:eastAsia="Arial" w:hAnsi="Arial"/>
          <w:sz w:val="18"/>
          <w:szCs w:val="18"/>
          <w:b w:val="1"/>
          <w:bCs w:val="1"/>
          <w:color w:val="auto"/>
        </w:rPr>
        <w:t xml:space="preserve"> </w:t>
      </w:r>
      <w:r>
        <w:rPr>
          <w:rFonts w:ascii="Arial" w:cs="Arial" w:eastAsia="Arial" w:hAnsi="Arial"/>
          <w:sz w:val="18"/>
          <w:szCs w:val="18"/>
          <w:color w:val="auto"/>
        </w:rPr>
        <w:t>- time until Warrant expiration, expressed in years.</w:t>
      </w:r>
    </w:p>
    <w:p>
      <w:pPr>
        <w:spacing w:after="0" w:line="229" w:lineRule="exact"/>
        <w:rPr>
          <w:sz w:val="20"/>
          <w:szCs w:val="20"/>
          <w:color w:val="auto"/>
        </w:rPr>
      </w:pPr>
    </w:p>
    <w:p>
      <w:pPr>
        <w:ind w:firstLine="8"/>
        <w:spacing w:after="0" w:line="297" w:lineRule="auto"/>
        <w:tabs>
          <w:tab w:leader="none" w:pos="143" w:val="left"/>
        </w:tabs>
        <w:numPr>
          <w:ilvl w:val="0"/>
          <w:numId w:val="172"/>
        </w:numPr>
        <w:rPr>
          <w:rFonts w:ascii="Arial" w:cs="Arial" w:eastAsia="Arial" w:hAnsi="Arial"/>
          <w:sz w:val="16"/>
          <w:szCs w:val="16"/>
          <w:b w:val="1"/>
          <w:bCs w:val="1"/>
          <w:color w:val="auto"/>
        </w:rPr>
      </w:pPr>
      <w:r>
        <w:rPr>
          <w:rFonts w:ascii="Arial" w:cs="Arial" w:eastAsia="Arial" w:hAnsi="Arial"/>
          <w:sz w:val="16"/>
          <w:szCs w:val="16"/>
          <w:color w:val="auto"/>
        </w:rPr>
        <w:t xml:space="preserve">= volatility ~ the annualized standard deviation of daily log-returns (using a 262-day annualization factor) of the Company’s stock price on the securities exchange over a 20-day trading period, determined by Holder, that is within the 100-day trading period ending on the trading day immediately after the public announcement of the Corporate Reorganization described in </w:t>
      </w:r>
      <w:r>
        <w:rPr>
          <w:rFonts w:ascii="Arial" w:cs="Arial" w:eastAsia="Arial" w:hAnsi="Arial"/>
          <w:sz w:val="16"/>
          <w:szCs w:val="16"/>
          <w:u w:val="single" w:color="auto"/>
          <w:color w:val="auto"/>
        </w:rPr>
        <w:t>Article 5(d)</w:t>
      </w:r>
      <w:r>
        <w:rPr>
          <w:rFonts w:ascii="Arial" w:cs="Arial" w:eastAsia="Arial" w:hAnsi="Arial"/>
          <w:sz w:val="16"/>
          <w:szCs w:val="16"/>
          <w:color w:val="auto"/>
        </w:rPr>
        <w:t xml:space="preserve"> if the Company’s stock is then traded on such exchange or system, or the annualized standard deviation of daily-log returns (using a 262-day annualization factor) of the closing bid or sale prices (whichever is applicable) in the over-the-counter market over a 20-day trading period, determined by the Holder, that is within the 100-day trading period ending on the trading day immediately after the</w:t>
      </w:r>
    </w:p>
    <w:p>
      <w:pPr>
        <w:sectPr>
          <w:pgSz w:w="11900" w:h="16838" w:orient="portrait"/>
          <w:cols w:equalWidth="0" w:num="1">
            <w:col w:w="11420"/>
          </w:cols>
          <w:pgMar w:left="240" w:top="837" w:right="239" w:bottom="0" w:gutter="0" w:footer="0" w:header="0"/>
        </w:sectPr>
      </w:pPr>
    </w:p>
    <w:bookmarkStart w:id="64" w:name="page65"/>
    <w:bookmarkEnd w:id="64"/>
    <w:p>
      <w:pPr>
        <w:spacing w:after="0" w:line="277" w:lineRule="auto"/>
        <w:rPr>
          <w:sz w:val="20"/>
          <w:szCs w:val="20"/>
          <w:color w:val="auto"/>
        </w:rPr>
      </w:pPr>
      <w:r>
        <w:rPr>
          <w:rFonts w:ascii="Arial" w:cs="Arial" w:eastAsia="Arial" w:hAnsi="Arial"/>
          <w:sz w:val="18"/>
          <w:szCs w:val="18"/>
          <w:color w:val="auto"/>
        </w:rPr>
        <w:t>public announcement of the Corporate Reorganization if the Company’s stock is then actively traded in the over-the-counter market, or 0.6 (or 60%) if the Company’s stock is not then traded on a securities exchange or system or in the over-the-counter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 </w:t>
      </w:r>
      <w:r>
        <w:rPr>
          <w:rFonts w:ascii="Arial" w:cs="Arial" w:eastAsia="Arial" w:hAnsi="Arial"/>
          <w:sz w:val="18"/>
          <w:szCs w:val="18"/>
          <w:color w:val="auto"/>
        </w:rPr>
        <w:t>= cumulative normal distribution function.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1"/>
          <w:szCs w:val="11"/>
          <w:b w:val="1"/>
          <w:bCs w:val="1"/>
          <w:color w:val="auto"/>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 (ln(S</w:t>
      </w:r>
      <w:r>
        <w:rPr>
          <w:rFonts w:ascii="Arial" w:cs="Arial" w:eastAsia="Arial" w:hAnsi="Arial"/>
          <w:sz w:val="11"/>
          <w:szCs w:val="11"/>
          <w:color w:val="auto"/>
        </w:rPr>
        <w:t>Corp</w:t>
      </w:r>
      <w:r>
        <w:rPr>
          <w:rFonts w:ascii="Arial" w:cs="Arial" w:eastAsia="Arial" w:hAnsi="Arial"/>
          <w:sz w:val="18"/>
          <w:szCs w:val="18"/>
          <w:color w:val="auto"/>
        </w:rPr>
        <w:t>/K</w:t>
      </w:r>
      <w:r>
        <w:rPr>
          <w:rFonts w:ascii="Arial" w:cs="Arial" w:eastAsia="Arial" w:hAnsi="Arial"/>
          <w:sz w:val="11"/>
          <w:szCs w:val="11"/>
          <w:color w:val="auto"/>
        </w:rPr>
        <w:t>Corp</w:t>
      </w:r>
      <w:r>
        <w:rPr>
          <w:rFonts w:ascii="Arial" w:cs="Arial" w:eastAsia="Arial" w:hAnsi="Arial"/>
          <w:sz w:val="18"/>
          <w:szCs w:val="18"/>
          <w:color w:val="auto"/>
        </w:rPr>
        <w:t>) + (r- + · +σ</w:t>
      </w:r>
      <w:r>
        <w:rPr>
          <w:rFonts w:ascii="Arial" w:cs="Arial" w:eastAsia="Arial" w:hAnsi="Arial"/>
          <w:sz w:val="23"/>
          <w:szCs w:val="23"/>
          <w:color w:val="auto"/>
          <w:vertAlign w:val="superscript"/>
        </w:rPr>
        <w:t>2</w:t>
      </w:r>
      <w:r>
        <w:rPr>
          <w:rFonts w:ascii="Arial" w:cs="Arial" w:eastAsia="Arial" w:hAnsi="Arial"/>
          <w:sz w:val="18"/>
          <w:szCs w:val="18"/>
          <w:color w:val="auto"/>
        </w:rPr>
        <w:t>/2)(T</w:t>
      </w:r>
      <w:r>
        <w:rPr>
          <w:rFonts w:ascii="Arial" w:cs="Arial" w:eastAsia="Arial" w:hAnsi="Arial"/>
          <w:sz w:val="11"/>
          <w:szCs w:val="11"/>
          <w:color w:val="auto"/>
        </w:rPr>
        <w:t>Corp</w:t>
      </w:r>
      <w:r>
        <w:rPr>
          <w:rFonts w:ascii="Arial" w:cs="Arial" w:eastAsia="Arial" w:hAnsi="Arial"/>
          <w:sz w:val="18"/>
          <w:szCs w:val="18"/>
          <w:color w:val="auto"/>
        </w:rPr>
        <w:t>-t</w:t>
      </w:r>
      <w:r>
        <w:rPr>
          <w:rFonts w:ascii="Arial" w:cs="Arial" w:eastAsia="Arial" w:hAnsi="Arial"/>
          <w:sz w:val="11"/>
          <w:szCs w:val="11"/>
          <w:color w:val="auto"/>
        </w:rPr>
        <w:t>Corp</w:t>
      </w:r>
      <w:r>
        <w:rPr>
          <w:rFonts w:ascii="Arial" w:cs="Arial" w:eastAsia="Arial" w:hAnsi="Arial"/>
          <w:sz w:val="18"/>
          <w:szCs w:val="18"/>
          <w:color w:val="auto"/>
        </w:rPr>
        <w:t>)) ÷ (σ√(T</w:t>
      </w:r>
      <w:r>
        <w:rPr>
          <w:rFonts w:ascii="Arial" w:cs="Arial" w:eastAsia="Arial" w:hAnsi="Arial"/>
          <w:sz w:val="11"/>
          <w:szCs w:val="11"/>
          <w:color w:val="auto"/>
        </w:rPr>
        <w:t>Corp</w:t>
      </w:r>
      <w:r>
        <w:rPr>
          <w:rFonts w:ascii="Arial" w:cs="Arial" w:eastAsia="Arial" w:hAnsi="Arial"/>
          <w:sz w:val="18"/>
          <w:szCs w:val="18"/>
          <w:color w:val="auto"/>
        </w:rPr>
        <w:t>-t</w:t>
      </w:r>
      <w:r>
        <w:rPr>
          <w:rFonts w:ascii="Arial" w:cs="Arial" w:eastAsia="Arial" w:hAnsi="Arial"/>
          <w:sz w:val="11"/>
          <w:szCs w:val="11"/>
          <w:color w:val="auto"/>
        </w:rPr>
        <w:t>Corp</w:t>
      </w:r>
      <w:r>
        <w:rPr>
          <w:rFonts w:ascii="Arial" w:cs="Arial" w:eastAsia="Arial" w:hAnsi="Arial"/>
          <w:sz w:val="18"/>
          <w:szCs w:val="18"/>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t>
      </w:r>
      <w:r>
        <w:rPr>
          <w:rFonts w:ascii="Arial" w:cs="Arial" w:eastAsia="Arial" w:hAnsi="Arial"/>
          <w:sz w:val="18"/>
          <w:szCs w:val="18"/>
          <w:color w:val="auto"/>
        </w:rPr>
        <w:t>= natural logarithm.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 dividend rate of the Company for the most recent 12-month period at the time of closing of the Corporate Reorganization.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1"/>
          <w:szCs w:val="11"/>
          <w:b w:val="1"/>
          <w:bCs w:val="1"/>
          <w:color w:val="auto"/>
        </w:rPr>
        <w:t>Corp</w:t>
      </w:r>
      <w:r>
        <w:rPr>
          <w:rFonts w:ascii="Arial" w:cs="Arial" w:eastAsia="Arial" w:hAnsi="Arial"/>
          <w:sz w:val="18"/>
          <w:szCs w:val="18"/>
          <w:b w:val="1"/>
          <w:bCs w:val="1"/>
          <w:color w:val="auto"/>
        </w:rPr>
        <w:t xml:space="preserve"> </w:t>
      </w:r>
      <w:r>
        <w:rPr>
          <w:rFonts w:ascii="Arial" w:cs="Arial" w:eastAsia="Arial" w:hAnsi="Arial"/>
          <w:sz w:val="18"/>
          <w:szCs w:val="18"/>
          <w:color w:val="auto"/>
        </w:rPr>
        <w:t>= strike price of warrant.</w:t>
      </w: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Appendix 3 - 1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 </w:t>
      </w:r>
      <w:r>
        <w:rPr>
          <w:rFonts w:ascii="Arial" w:cs="Arial" w:eastAsia="Arial" w:hAnsi="Arial"/>
          <w:sz w:val="18"/>
          <w:szCs w:val="18"/>
          <w:color w:val="auto"/>
        </w:rPr>
        <w:t>= annual yield, as reported by Bloomberg at time tCorp, of the United States Treasury security measuring the nearest time TCorp.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1"/>
          <w:szCs w:val="11"/>
          <w:color w:val="auto"/>
        </w:rPr>
        <w:t>2</w:t>
      </w:r>
      <w:r>
        <w:rPr>
          <w:rFonts w:ascii="Arial" w:cs="Arial" w:eastAsia="Arial" w:hAnsi="Arial"/>
          <w:sz w:val="18"/>
          <w:szCs w:val="18"/>
          <w:color w:val="auto"/>
        </w:rPr>
        <w:t>= d</w:t>
      </w:r>
      <w:r>
        <w:rPr>
          <w:rFonts w:ascii="Arial" w:cs="Arial" w:eastAsia="Arial" w:hAnsi="Arial"/>
          <w:sz w:val="11"/>
          <w:szCs w:val="11"/>
          <w:color w:val="auto"/>
        </w:rPr>
        <w:t>l</w:t>
      </w:r>
      <w:r>
        <w:rPr>
          <w:rFonts w:ascii="Arial" w:cs="Arial" w:eastAsia="Arial" w:hAnsi="Arial"/>
          <w:sz w:val="18"/>
          <w:szCs w:val="18"/>
          <w:color w:val="auto"/>
        </w:rPr>
        <w:t>- σ √ (T</w:t>
      </w:r>
      <w:r>
        <w:rPr>
          <w:rFonts w:ascii="Arial" w:cs="Arial" w:eastAsia="Arial" w:hAnsi="Arial"/>
          <w:sz w:val="11"/>
          <w:szCs w:val="11"/>
          <w:color w:val="auto"/>
        </w:rPr>
        <w:t>Corp</w:t>
      </w:r>
      <w:r>
        <w:rPr>
          <w:rFonts w:ascii="Arial" w:cs="Arial" w:eastAsia="Arial" w:hAnsi="Arial"/>
          <w:sz w:val="18"/>
          <w:szCs w:val="18"/>
          <w:color w:val="auto"/>
        </w:rPr>
        <w:t>-t</w:t>
      </w:r>
      <w:r>
        <w:rPr>
          <w:rFonts w:ascii="Arial" w:cs="Arial" w:eastAsia="Arial" w:hAnsi="Arial"/>
          <w:sz w:val="11"/>
          <w:szCs w:val="11"/>
          <w:color w:val="auto"/>
        </w:rPr>
        <w:t>Corp</w:t>
      </w:r>
      <w:r>
        <w:rPr>
          <w:rFonts w:ascii="Arial" w:cs="Arial" w:eastAsia="Arial" w:hAnsi="Arial"/>
          <w:sz w:val="18"/>
          <w:szCs w:val="18"/>
          <w:color w:val="auto"/>
        </w:rPr>
        <w:t>).</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Appendix 3 - 2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u w:val="single" w:color="auto"/>
          <w:color w:val="auto"/>
        </w:rPr>
        <w:t>EXHIBIT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EXHIBIT G: Reorganisation</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260" w:firstLine="8"/>
        <w:spacing w:after="0" w:line="282" w:lineRule="auto"/>
        <w:tabs>
          <w:tab w:leader="none" w:pos="435"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 FINANCIAL STATEMENTS</w:t>
      </w:r>
    </w:p>
    <w:p>
      <w:pPr>
        <w:spacing w:after="0" w:line="211" w:lineRule="exact"/>
        <w:rPr>
          <w:sz w:val="20"/>
          <w:szCs w:val="20"/>
          <w:color w:val="auto"/>
        </w:rPr>
      </w:pPr>
    </w:p>
    <w:p>
      <w:pPr>
        <w:ind w:right="160" w:firstLine="495"/>
        <w:spacing w:after="0" w:line="291" w:lineRule="auto"/>
        <w:rPr>
          <w:sz w:val="20"/>
          <w:szCs w:val="20"/>
          <w:color w:val="auto"/>
        </w:rPr>
      </w:pPr>
      <w:r>
        <w:rPr>
          <w:rFonts w:ascii="Arial" w:cs="Arial" w:eastAsia="Arial" w:hAnsi="Arial"/>
          <w:sz w:val="16"/>
          <w:szCs w:val="16"/>
          <w:color w:val="auto"/>
        </w:rPr>
        <w:t>On April 10, 2015, Alkermes plc (“Alkermes” or the “Company”) completed the sale of its manufacturing facility in Gainesville, GA, and the related manufacturing and royalty revenue associated with products manufactured at the facility (herein referred to as the “Gainesville facility”) to Recro</w:t>
      </w:r>
    </w:p>
    <w:p>
      <w:pPr>
        <w:ind w:right="40"/>
        <w:spacing w:after="0" w:line="252" w:lineRule="auto"/>
        <w:rPr>
          <w:sz w:val="20"/>
          <w:szCs w:val="20"/>
          <w:color w:val="auto"/>
        </w:rPr>
      </w:pPr>
      <w:r>
        <w:rPr>
          <w:rFonts w:ascii="Arial" w:cs="Arial" w:eastAsia="Arial" w:hAnsi="Arial"/>
          <w:sz w:val="18"/>
          <w:szCs w:val="18"/>
          <w:color w:val="auto"/>
        </w:rPr>
        <w:t>Pharma, Inc. (“Recro” ) and Recro Pharma LLC (together with Recro, the “Purchasers”). Under the terms of the Purchase and Sale Agreement (the “Purchase Agreement”) entered into on March 7, 2015, the Purchasers made an initial cash payment of $50 million and issued warrants to purchase an aggregate of 350,000 shares of Recro common stock at a per share exercise price equal to $19.46, which was two times the closing price of Recro’s common stock on the day prior to closing. The Company’s subsidiary is also eligible to receive low double digit royalties on net sales of IV/IM and parenteral forms of Meloxicam and up to $120 million in milestone payments upon the achievement of certain regulatory and sales milestones related to IV/IM and parenteral forms of Meloxicam.</w:t>
      </w:r>
    </w:p>
    <w:p>
      <w:pPr>
        <w:spacing w:after="0" w:line="194" w:lineRule="exact"/>
        <w:rPr>
          <w:sz w:val="20"/>
          <w:szCs w:val="20"/>
          <w:color w:val="auto"/>
        </w:rPr>
      </w:pPr>
    </w:p>
    <w:p>
      <w:pPr>
        <w:ind w:right="100" w:firstLine="495"/>
        <w:spacing w:after="0" w:line="255" w:lineRule="auto"/>
        <w:rPr>
          <w:sz w:val="20"/>
          <w:szCs w:val="20"/>
          <w:color w:val="auto"/>
        </w:rPr>
      </w:pPr>
      <w:r>
        <w:rPr>
          <w:rFonts w:ascii="Arial" w:cs="Arial" w:eastAsia="Arial" w:hAnsi="Arial"/>
          <w:sz w:val="18"/>
          <w:szCs w:val="18"/>
          <w:color w:val="auto"/>
        </w:rPr>
        <w:t>The following unaudited pro forma consolidated financial statements give effect to the divestiture as if it had been completed on January 1, 2014 for statement of operations purposes, and as if it had been completed on December 31, 2014 for balance sheet purposes, subject to the assumptions and adjustments as described in the accompanying notes. The unaudited pro forma consolidated financial statements were prepared in accordance with the regulations of the Securities and Exchange Commission (the “SEC”) and should not be considered indicative of the financial position or results of operations that would have occurred if the divestiture had been consummated on the dates indicated, nor are they indicative of the future financial position or results of operations of the Company.</w:t>
      </w:r>
    </w:p>
    <w:p>
      <w:pPr>
        <w:spacing w:after="0" w:line="193"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 accordance with SEC regulations, the unaudited pro forma consolidated financial statements reflect adjustments to the extent they are directly attributable to the divestiture, factually supportable and, for statement of operations purposes, are expected to have a continuing impact on Alkermes’ operating results.</w:t>
      </w:r>
    </w:p>
    <w:p>
      <w:pPr>
        <w:spacing w:after="0" w:line="181"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The unaudited pro forma consolidated financial statements are based upon and should be read in conjunction with the historical consolidated financial statements of Alkermes included in its Annual Report on Form 10-K for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Pro Forma</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6"/>
              </w:rPr>
              <w:t>As Reported</w:t>
            </w:r>
          </w:p>
        </w:tc>
        <w:tc>
          <w:tcPr>
            <w:tcW w:w="16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Net Assets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As Adjusted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Sold (a)</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980" w:type="dxa"/>
            <w:vAlign w:val="bottom"/>
            <w:tcBorders>
              <w:top w:val="single" w:sz="8" w:color="auto"/>
            </w:tcBorders>
            <w:gridSpan w:val="6"/>
          </w:tcPr>
          <w:p>
            <w:pPr>
              <w:jc w:val="right"/>
              <w:ind w:right="130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3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224,064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47,433(b)</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Investments — short-term</w:t>
            </w: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407,102</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407,102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net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151,551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51,357</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(10,950)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29,289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(1,250)(c)</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Deferred tax assets — current</w:t>
            </w: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13,430</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520"/>
              <w:spacing w:after="0"/>
              <w:rPr>
                <w:sz w:val="20"/>
                <w:szCs w:val="20"/>
                <w:color w:val="auto"/>
              </w:rPr>
            </w:pPr>
            <w:r>
              <w:rPr>
                <w:rFonts w:ascii="Arial" w:cs="Arial" w:eastAsia="Arial" w:hAnsi="Arial"/>
                <w:sz w:val="18"/>
                <w:szCs w:val="18"/>
                <w:color w:val="auto"/>
              </w:rPr>
              <w:t>(1,140)(d)</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876,793</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45,043</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265,740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NET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479,412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94,212</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INVESTMENTS — LONG-TERM</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170,480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2,123(b)</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34,635</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60,476(b)(e)</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95,111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1,921,272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107,642</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1,921,993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121,258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Long-term debt — short-term</w:t>
            </w: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6,750</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 — short-term</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158(f)</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130,582</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5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DEFERRED TAX LIABILITIES, NET — LONG-TERM</w:t>
            </w: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18,918</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LONG-TERM</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11,914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11,914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524,435</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Ordinary shares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Treasury stock, at cost</w:t>
            </w:r>
          </w:p>
        </w:tc>
        <w:tc>
          <w:tcPr>
            <w:tcW w:w="1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(32,052)</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1,942,878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98,348(g)</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(3,136)</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(512,335)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9,136(h)</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Total shareholders’ equity</w:t>
            </w:r>
          </w:p>
        </w:tc>
        <w:tc>
          <w:tcPr>
            <w:tcW w:w="1140" w:type="dxa"/>
            <w:vAlign w:val="bottom"/>
          </w:tcPr>
          <w:p>
            <w:pPr>
              <w:jc w:val="right"/>
              <w:spacing w:after="0"/>
              <w:rPr>
                <w:sz w:val="20"/>
                <w:szCs w:val="20"/>
                <w:color w:val="auto"/>
              </w:rPr>
            </w:pPr>
            <w:r>
              <w:rPr>
                <w:rFonts w:ascii="Arial" w:cs="Arial" w:eastAsia="Arial" w:hAnsi="Arial"/>
                <w:sz w:val="18"/>
                <w:szCs w:val="18"/>
                <w:color w:val="auto"/>
              </w:rPr>
              <w:t>1,396,837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(98,786)</w:t>
            </w:r>
          </w:p>
        </w:tc>
        <w:tc>
          <w:tcPr>
            <w:tcW w:w="3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107,484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1,405,535</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$1,921,272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(106,921</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107,642</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1,921,993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4"/>
                <w:szCs w:val="14"/>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4"/>
                <w:szCs w:val="14"/>
                <w:color w:val="auto"/>
              </w:rPr>
            </w:pPr>
          </w:p>
        </w:tc>
        <w:tc>
          <w:tcPr>
            <w:tcW w:w="130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700" w:type="dxa"/>
            <w:vAlign w:val="bottom"/>
            <w:tcBorders>
              <w:top w:val="single" w:sz="8" w:color="auto"/>
            </w:tcBorders>
            <w:gridSpan w:val="6"/>
          </w:tcPr>
          <w:p>
            <w:pPr>
              <w:jc w:val="right"/>
              <w:ind w:right="25"/>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12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Manufacturing and royalty revenues</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516,876</w:t>
            </w:r>
          </w:p>
        </w:tc>
        <w:tc>
          <w:tcPr>
            <w:tcW w:w="3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(70,998)(i)</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445,878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94,160</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94,160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Research and development revenue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7,753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(2,608)(i)</w:t>
            </w: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618,789</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(73,606)</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Pr>
          <w:p>
            <w:pPr>
              <w:spacing w:after="0" w:line="196" w:lineRule="exact"/>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Cost of goods manufactured and sold (exclusive of amortization of acquired</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shown below)</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175,832</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(37,085)(i)</w:t>
            </w: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138,747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272,043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(4,375)(i)</w:t>
            </w: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267,668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199,905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(3,868)(i)</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196,037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Amortization of acquired intangible assets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58,153</w:t>
            </w:r>
          </w:p>
        </w:tc>
        <w:tc>
          <w:tcPr>
            <w:tcW w:w="2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(5,001)(i)</w:t>
            </w: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53,152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705,933</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(50,329)</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(87,144)</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(23,277)</w:t>
            </w: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(110,421)</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(13,430)</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Gain on sale of property, plant and equipment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41,933</w:t>
            </w:r>
          </w:p>
        </w:tc>
        <w:tc>
          <w:tcPr>
            <w:tcW w:w="220" w:type="dxa"/>
            <w:vAlign w:val="bottom"/>
          </w:tcPr>
          <w:p>
            <w:pPr>
              <w:spacing w:after="0"/>
              <w:rPr>
                <w:sz w:val="18"/>
                <w:szCs w:val="18"/>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41,933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investment in Civitas Therapeutics, Inc.</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29,564</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Gain on sale of investment in Acceleron Pharma Inc.</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15,296</w:t>
            </w:r>
          </w:p>
        </w:tc>
        <w:tc>
          <w:tcPr>
            <w:tcW w:w="220" w:type="dxa"/>
            <w:vAlign w:val="bottom"/>
          </w:tcPr>
          <w:p>
            <w:pPr>
              <w:spacing w:after="0"/>
              <w:rPr>
                <w:sz w:val="18"/>
                <w:szCs w:val="18"/>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(2,220)</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income, net</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73,115</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73,115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16,032</w:t>
            </w:r>
          </w:p>
        </w:tc>
        <w:tc>
          <w:tcPr>
            <w:tcW w:w="2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(3,201)(j)</w:t>
            </w: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12,831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(20,076)</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(50,137)</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PER COMMON SHARE: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(0.14)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WEIGHTED AVERAGE NUMBER OF COMMON SHARES</w:t>
            </w:r>
          </w:p>
        </w:tc>
        <w:tc>
          <w:tcPr>
            <w:tcW w:w="2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145,274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145,274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CONSOLIDATED FINANCIAL STATEMENTS</w:t>
      </w:r>
    </w:p>
    <w:p>
      <w:pPr>
        <w:spacing w:after="0" w:line="211" w:lineRule="exact"/>
        <w:rPr>
          <w:sz w:val="20"/>
          <w:szCs w:val="20"/>
          <w:color w:val="auto"/>
        </w:rPr>
      </w:pPr>
    </w:p>
    <w:p>
      <w:pPr>
        <w:ind w:left="580" w:hanging="572"/>
        <w:spacing w:after="0"/>
        <w:tabs>
          <w:tab w:leader="none" w:pos="5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Represents the assets and liabilities assumed by the Purchaser.</w:t>
      </w:r>
    </w:p>
    <w:p>
      <w:pPr>
        <w:spacing w:after="0" w:line="23" w:lineRule="exact"/>
        <w:rPr>
          <w:rFonts w:ascii="Arial" w:cs="Arial" w:eastAsia="Arial" w:hAnsi="Arial"/>
          <w:sz w:val="18"/>
          <w:szCs w:val="18"/>
          <w:color w:val="auto"/>
        </w:rPr>
      </w:pPr>
    </w:p>
    <w:p>
      <w:pPr>
        <w:ind w:left="580" w:right="60" w:hanging="572"/>
        <w:spacing w:after="0" w:line="281" w:lineRule="auto"/>
        <w:tabs>
          <w:tab w:leader="none" w:pos="5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Represents consideration paid by the Purchaser, including $50.0 million of cash; 350,000 warrants, with an estimated fair value of $2.1 million; and contingent consideration including future milestones and royalties with an estimated fair value of $58.9 million, less $2.6 million of transaction costs.</w:t>
      </w:r>
    </w:p>
    <w:p>
      <w:pPr>
        <w:spacing w:after="0" w:line="1" w:lineRule="exact"/>
        <w:rPr>
          <w:rFonts w:ascii="Arial" w:cs="Arial" w:eastAsia="Arial" w:hAnsi="Arial"/>
          <w:sz w:val="16"/>
          <w:szCs w:val="16"/>
          <w:color w:val="auto"/>
        </w:rPr>
      </w:pPr>
    </w:p>
    <w:p>
      <w:pPr>
        <w:ind w:left="580" w:right="200" w:hanging="572"/>
        <w:spacing w:after="0" w:line="250" w:lineRule="auto"/>
        <w:tabs>
          <w:tab w:leader="none" w:pos="5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Represents the elimination of prepaid state taxes and a short-term deferred tax charge of $0.3 million and $1.0 million, respectively, associated with the sale of the Gainesville facility.</w:t>
      </w:r>
    </w:p>
    <w:p>
      <w:pPr>
        <w:ind w:left="580" w:hanging="572"/>
        <w:spacing w:after="0"/>
        <w:tabs>
          <w:tab w:leader="none" w:pos="5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Represents the reversal of net current deferred tax assets of $1.1 million associated with the sale of the Gainesville facility.</w:t>
      </w:r>
    </w:p>
    <w:p>
      <w:pPr>
        <w:spacing w:after="0" w:line="9"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Represents the reversal of a $7.6 million long-term deferred tax charge and ($9.2) million of net long-term deferred tax liabilities associated with the sale of the Gainesville facility.</w:t>
      </w:r>
    </w:p>
    <w:p>
      <w:pPr>
        <w:ind w:left="580" w:right="160" w:hanging="572"/>
        <w:spacing w:after="0" w:line="250" w:lineRule="auto"/>
        <w:tabs>
          <w:tab w:leader="none" w:pos="5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Represents an allocation of $0.2 million of the $50.0 million cash received to deferred revenue for the Company’s future obligations under a clinical supply agreement with Recro.</w:t>
      </w:r>
    </w:p>
    <w:p>
      <w:pPr>
        <w:ind w:left="580" w:hanging="572"/>
        <w:spacing w:after="0"/>
        <w:tabs>
          <w:tab w:leader="none" w:pos="5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Represents the net impact of adjustments (b), (c), (d), (e), (f) and (h).</w:t>
      </w:r>
    </w:p>
    <w:p>
      <w:pPr>
        <w:spacing w:after="0" w:line="9" w:lineRule="exact"/>
        <w:rPr>
          <w:rFonts w:ascii="Arial" w:cs="Arial" w:eastAsia="Arial" w:hAnsi="Arial"/>
          <w:sz w:val="18"/>
          <w:szCs w:val="18"/>
          <w:color w:val="auto"/>
        </w:rPr>
      </w:pPr>
    </w:p>
    <w:p>
      <w:pPr>
        <w:ind w:left="580" w:right="860" w:hanging="572"/>
        <w:spacing w:after="0" w:line="261" w:lineRule="auto"/>
        <w:tabs>
          <w:tab w:leader="none" w:pos="5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Represents the estimated gain on the sale of the Gainesville facility if the facility was sold at December 31, 2014, calculated as follows (in thousands):</w:t>
      </w:r>
    </w:p>
    <w:p>
      <w:pPr>
        <w:spacing w:after="0" w:line="19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proceeds</w:t>
            </w:r>
          </w:p>
        </w:tc>
        <w:tc>
          <w:tcPr>
            <w:tcW w:w="1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Estimated fair value of warrants</w:t>
            </w:r>
          </w:p>
        </w:tc>
        <w:tc>
          <w:tcPr>
            <w:tcW w:w="1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2,123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contingent consideration</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58,900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tangible assets and liabilities assumed by acquirer</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(53,621)</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assumed by the acquirer</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(45,165)</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Allocation of cash proceeds to clinical supply agreement</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r>
    </w:tbl>
    <w:p>
      <w:pPr>
        <w:sectPr>
          <w:pgSz w:w="11900" w:h="16838" w:orient="portrait"/>
          <w:cols w:equalWidth="0" w:num="1">
            <w:col w:w="11420"/>
          </w:cols>
          <w:pgMar w:left="240" w:top="125" w:right="239" w:bottom="0" w:gutter="0" w:footer="0" w:header="0"/>
        </w:sectPr>
      </w:pPr>
    </w:p>
    <w:bookmarkStart w:id="67" w:name="page68"/>
    <w:bookmarkEnd w:id="67"/>
    <w:p>
      <w:pPr>
        <w:spacing w:after="0" w:line="1" w:lineRule="exact"/>
        <w:rPr>
          <w:sz w:val="20"/>
          <w:szCs w:val="20"/>
          <w:color w:val="auto"/>
        </w:rPr>
      </w:pPr>
    </w:p>
    <w:tbl>
      <w:tblPr>
        <w:tblLayout w:type="fixed"/>
        <w:tblInd w:w="1292"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Estimated tax on gain on sale of Gainesville facility</w:t>
            </w:r>
          </w:p>
        </w:tc>
        <w:tc>
          <w:tcPr>
            <w:tcW w:w="5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(376)</w:t>
            </w:r>
          </w:p>
        </w:tc>
      </w:tr>
      <w:tr>
        <w:trPr>
          <w:trHeight w:val="210"/>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sale of Gainesville facility</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72" w:hanging="572"/>
        <w:spacing w:after="0"/>
        <w:tabs>
          <w:tab w:leader="none" w:pos="572" w:val="left"/>
        </w:tabs>
        <w:numPr>
          <w:ilvl w:val="0"/>
          <w:numId w:val="175"/>
        </w:numPr>
        <w:rPr>
          <w:rFonts w:ascii="Arial" w:cs="Arial" w:eastAsia="Arial" w:hAnsi="Arial"/>
          <w:sz w:val="16"/>
          <w:szCs w:val="16"/>
          <w:color w:val="auto"/>
        </w:rPr>
      </w:pPr>
      <w:r>
        <w:rPr>
          <w:rFonts w:ascii="Arial" w:cs="Arial" w:eastAsia="Arial" w:hAnsi="Arial"/>
          <w:sz w:val="16"/>
          <w:szCs w:val="16"/>
          <w:color w:val="auto"/>
        </w:rPr>
        <w:t>Represents adjustments to eliminate the historical revenue and related operating expenses from the Company’s consolidated statement of operations.</w:t>
      </w:r>
    </w:p>
    <w:p>
      <w:pPr>
        <w:spacing w:after="0" w:line="46" w:lineRule="exact"/>
        <w:rPr>
          <w:rFonts w:ascii="Arial" w:cs="Arial" w:eastAsia="Arial" w:hAnsi="Arial"/>
          <w:sz w:val="16"/>
          <w:szCs w:val="16"/>
          <w:color w:val="auto"/>
        </w:rPr>
      </w:pPr>
    </w:p>
    <w:p>
      <w:pPr>
        <w:ind w:left="572" w:hanging="572"/>
        <w:spacing w:after="0"/>
        <w:tabs>
          <w:tab w:leader="none" w:pos="57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Represents the tax impact on the loss of pre-tax operating income generated by the Gainesville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72"/>
      </w:cols>
      <w:pgMar w:left="248" w:top="12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716703B"/>
    <w:multiLevelType w:val="hybridMultilevel"/>
    <w:lvl w:ilvl="0">
      <w:lvlJc w:val="left"/>
      <w:lvlText w:val="o"/>
      <w:numFmt w:val="bullet"/>
      <w:start w:val="1"/>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
      <w:numFmt w:val="bullet"/>
      <w:start w:val="1"/>
    </w:lvl>
  </w:abstractNum>
  <w:abstractNum w:abstractNumId="4">
    <w:nsid w:val="68EBC550"/>
    <w:multiLevelType w:val="hybridMultilevel"/>
    <w:lvl w:ilvl="0">
      <w:lvlJc w:val="left"/>
      <w:lvlText w:val="*"/>
      <w:numFmt w:val="bullet"/>
      <w:start w:val="1"/>
    </w:lvl>
  </w:abstractNum>
  <w:abstractNum w:abstractNumId="5">
    <w:nsid w:val="2DF6D648"/>
    <w:multiLevelType w:val="hybridMultilevel"/>
    <w:lvl w:ilvl="0">
      <w:lvlJc w:val="left"/>
      <w:lvlText w:val="[***]"/>
      <w:numFmt w:val="bullet"/>
      <w:start w:val="1"/>
    </w:lvl>
  </w:abstractNum>
  <w:abstractNum w:abstractNumId="6">
    <w:nsid w:val="46B7D447"/>
    <w:multiLevelType w:val="hybridMultilevel"/>
    <w:lvl w:ilvl="0">
      <w:lvlJc w:val="left"/>
      <w:lvlText w:val="(%1)"/>
      <w:numFmt w:val="upperLetter"/>
      <w:start w:val="4"/>
    </w:lvl>
  </w:abstractNum>
  <w:abstractNum w:abstractNumId="7">
    <w:nsid w:val="4A2AC315"/>
    <w:multiLevelType w:val="hybridMultilevel"/>
    <w:lvl w:ilvl="0">
      <w:lvlJc w:val="left"/>
      <w:lvlText w:val="(%1)"/>
      <w:numFmt w:val="lowerRoman"/>
      <w:start w:val="7"/>
    </w:lvl>
  </w:abstractNum>
  <w:abstractNum w:abstractNumId="8">
    <w:nsid w:val="39EE015C"/>
    <w:multiLevelType w:val="hybridMultilevel"/>
    <w:lvl w:ilvl="0">
      <w:lvlJc w:val="left"/>
      <w:lvlText w:val="(%1)"/>
      <w:numFmt w:val="lowerRoman"/>
      <w:start w:val="1"/>
    </w:lvl>
  </w:abstractNum>
  <w:abstractNum w:abstractNumId="9">
    <w:nsid w:val="57FC4FBB"/>
    <w:multiLevelType w:val="hybridMultilevel"/>
    <w:lvl w:ilvl="0">
      <w:lvlJc w:val="left"/>
      <w:lvlText w:val="(%1)"/>
      <w:numFmt w:val="lowerRoman"/>
      <w:start w:val="7"/>
    </w:lvl>
  </w:abstractNum>
  <w:abstractNum w:abstractNumId="10">
    <w:nsid w:val="CC1016F"/>
    <w:multiLevelType w:val="hybridMultilevel"/>
    <w:lvl w:ilvl="0">
      <w:lvlJc w:val="left"/>
      <w:lvlText w:val="(%1)"/>
      <w:numFmt w:val="lowerRoman"/>
      <w:start w:val="2"/>
    </w:lvl>
  </w:abstractNum>
  <w:abstractNum w:abstractNumId="11">
    <w:nsid w:val="43F18422"/>
    <w:multiLevelType w:val="hybridMultilevel"/>
    <w:lvl w:ilvl="0">
      <w:lvlJc w:val="left"/>
      <w:lvlText w:val="(%1)"/>
      <w:numFmt w:val="lowerLetter"/>
      <w:start w:val="2"/>
    </w:lvl>
  </w:abstractNum>
  <w:abstractNum w:abstractNumId="12">
    <w:nsid w:val="60EF0119"/>
    <w:multiLevelType w:val="hybridMultilevel"/>
    <w:lvl w:ilvl="0">
      <w:lvlJc w:val="left"/>
      <w:lvlText w:val="(%1)"/>
      <w:numFmt w:val="lowerLetter"/>
      <w:start w:val="1"/>
    </w:lvl>
  </w:abstractNum>
  <w:abstractNum w:abstractNumId="13">
    <w:nsid w:val="26F324BA"/>
    <w:multiLevelType w:val="hybridMultilevel"/>
    <w:lvl w:ilvl="0">
      <w:lvlJc w:val="left"/>
      <w:lvlText w:val="(%1)"/>
      <w:numFmt w:val="lowerLetter"/>
      <w:start w:val="2"/>
    </w:lvl>
  </w:abstractNum>
  <w:abstractNum w:abstractNumId="14">
    <w:nsid w:val="7F01579B"/>
    <w:multiLevelType w:val="hybridMultilevel"/>
    <w:lvl w:ilvl="0">
      <w:lvlJc w:val="left"/>
      <w:lvlText w:val="%1"/>
      <w:numFmt w:val="lowerLetter"/>
      <w:start w:val="1"/>
    </w:lvl>
    <w:lvl w:ilvl="1">
      <w:lvlJc w:val="left"/>
      <w:lvlText w:val="(%2)"/>
      <w:numFmt w:val="lowerRoman"/>
      <w:start w:val="1"/>
    </w:lvl>
  </w:abstractNum>
  <w:abstractNum w:abstractNumId="15">
    <w:nsid w:val="49DA307D"/>
    <w:multiLevelType w:val="hybridMultilevel"/>
    <w:lvl w:ilvl="0">
      <w:lvlJc w:val="left"/>
      <w:lvlText w:val="(%1)"/>
      <w:numFmt w:val="lowerLetter"/>
      <w:start w:val="3"/>
    </w:lvl>
    <w:lvl w:ilvl="1">
      <w:lvlJc w:val="left"/>
      <w:lvlText w:val="%2"/>
      <w:numFmt w:val="lowerRoman"/>
      <w:start w:val="1"/>
    </w:lvl>
  </w:abstractNum>
  <w:abstractNum w:abstractNumId="16">
    <w:nsid w:val="7055A5F5"/>
    <w:multiLevelType w:val="hybridMultilevel"/>
    <w:lvl w:ilvl="0">
      <w:lvlJc w:val="left"/>
      <w:lvlText w:val="(%1)"/>
      <w:numFmt w:val="lowerLetter"/>
      <w:start w:val="4"/>
    </w:lvl>
  </w:abstractNum>
  <w:abstractNum w:abstractNumId="17">
    <w:nsid w:val="5FB8370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
    <w:nsid w:val="50801EE1"/>
    <w:multiLevelType w:val="hybridMultilevel"/>
    <w:lvl w:ilvl="0">
      <w:lvlJc w:val="left"/>
      <w:lvlText w:val="(%1)"/>
      <w:numFmt w:val="upperLetter"/>
      <w:start w:val="2"/>
    </w:lvl>
  </w:abstractNum>
  <w:abstractNum w:abstractNumId="19">
    <w:nsid w:val="488AC1A"/>
    <w:multiLevelType w:val="hybridMultilevel"/>
    <w:lvl w:ilvl="0">
      <w:lvlJc w:val="left"/>
      <w:lvlText w:val="%1"/>
      <w:numFmt w:val="lowerRoman"/>
      <w:start w:val="1"/>
    </w:lvl>
    <w:lvl w:ilvl="1">
      <w:lvlJc w:val="left"/>
      <w:lvlText w:val="(%2)"/>
      <w:numFmt w:val="upperLetter"/>
      <w:start w:val="7"/>
    </w:lvl>
  </w:abstractNum>
  <w:abstractNum w:abstractNumId="20">
    <w:nsid w:val="5FB8011C"/>
    <w:multiLevelType w:val="hybridMultilevel"/>
    <w:lvl w:ilvl="0">
      <w:lvlJc w:val="left"/>
      <w:lvlText w:val="(%1)"/>
      <w:numFmt w:val="lowerRoman"/>
      <w:start w:val="2"/>
    </w:lvl>
    <w:lvl w:ilvl="1">
      <w:lvlJc w:val="left"/>
      <w:lvlText w:val="(%2)"/>
      <w:numFmt w:val="upperLetter"/>
      <w:start w:val="1"/>
    </w:lvl>
  </w:abstractNum>
  <w:abstractNum w:abstractNumId="21">
    <w:nsid w:val="6AA78F7F"/>
    <w:multiLevelType w:val="hybridMultilevel"/>
    <w:lvl w:ilvl="0">
      <w:lvlJc w:val="left"/>
      <w:lvlText w:val="(%1)"/>
      <w:numFmt w:val="lowerRoman"/>
      <w:start w:val="2"/>
    </w:lvl>
    <w:lvl w:ilvl="1">
      <w:lvlJc w:val="left"/>
      <w:lvlText w:val="%2"/>
      <w:numFmt w:val="upperLetter"/>
      <w:start w:val="1"/>
    </w:lvl>
  </w:abstractNum>
  <w:abstractNum w:abstractNumId="22">
    <w:nsid w:val="7672BD23"/>
    <w:multiLevelType w:val="hybridMultilevel"/>
    <w:lvl w:ilvl="0">
      <w:lvlJc w:val="left"/>
      <w:lvlText w:val="(%1)"/>
      <w:numFmt w:val="upperLetter"/>
      <w:start w:val="2"/>
    </w:lvl>
  </w:abstractNum>
  <w:abstractNum w:abstractNumId="23">
    <w:nsid w:val="6FC75AF8"/>
    <w:multiLevelType w:val="hybridMultilevel"/>
    <w:lvl w:ilvl="0">
      <w:lvlJc w:val="left"/>
      <w:lvlText w:val="(%1)"/>
      <w:numFmt w:val="lowerRoman"/>
      <w:start w:val="5"/>
    </w:lvl>
  </w:abstractNum>
  <w:abstractNum w:abstractNumId="24">
    <w:nsid w:val="6A5F7029"/>
    <w:multiLevelType w:val="hybridMultilevel"/>
    <w:lvl w:ilvl="0">
      <w:lvlJc w:val="left"/>
      <w:lvlText w:val="(%1)"/>
      <w:numFmt w:val="lowerLetter"/>
      <w:start w:val="1"/>
    </w:lvl>
  </w:abstractNum>
  <w:abstractNum w:abstractNumId="25">
    <w:nsid w:val="7D5E18F8"/>
    <w:multiLevelType w:val="hybridMultilevel"/>
    <w:lvl w:ilvl="0">
      <w:lvlJc w:val="left"/>
      <w:lvlText w:val="(%1)"/>
      <w:numFmt w:val="lowerLetter"/>
      <w:start w:val="3"/>
    </w:lvl>
    <w:lvl w:ilvl="1">
      <w:lvlJc w:val="left"/>
      <w:lvlText w:val="(%2)"/>
      <w:numFmt w:val="lowerLetter"/>
      <w:start w:val="9"/>
    </w:lvl>
  </w:abstractNum>
  <w:abstractNum w:abstractNumId="26">
    <w:nsid w:val="5F3534A4"/>
    <w:multiLevelType w:val="hybridMultilevel"/>
    <w:lvl w:ilvl="0">
      <w:lvlJc w:val="left"/>
      <w:lvlText w:val="(%1)"/>
      <w:numFmt w:val="lowerRoman"/>
      <w:start w:val="2"/>
    </w:lvl>
  </w:abstractNum>
  <w:abstractNum w:abstractNumId="27">
    <w:nsid w:val="73A1821B"/>
    <w:multiLevelType w:val="hybridMultilevel"/>
    <w:lvl w:ilvl="0">
      <w:lvlJc w:val="left"/>
      <w:lvlText w:val="(%1)"/>
      <w:numFmt w:val="lowerLetter"/>
      <w:start w:val="5"/>
    </w:lvl>
  </w:abstractNum>
  <w:abstractNum w:abstractNumId="28">
    <w:nsid w:val="7DE67713"/>
    <w:multiLevelType w:val="hybridMultilevel"/>
    <w:lvl w:ilvl="0">
      <w:lvlJc w:val="left"/>
      <w:lvlText w:val="(%1)"/>
      <w:numFmt w:val="lowerLetter"/>
      <w:start w:val="1"/>
    </w:lvl>
  </w:abstractNum>
  <w:abstractNum w:abstractNumId="29">
    <w:nsid w:val="555C55B5"/>
    <w:multiLevelType w:val="hybridMultilevel"/>
    <w:lvl w:ilvl="0">
      <w:lvlJc w:val="left"/>
      <w:lvlText w:val="(%1)"/>
      <w:numFmt w:val="lowerLetter"/>
      <w:start w:val="2"/>
    </w:lvl>
  </w:abstractNum>
  <w:abstractNum w:abstractNumId="30">
    <w:nsid w:val="3FA62ACA"/>
    <w:multiLevelType w:val="hybridMultilevel"/>
    <w:lvl w:ilvl="0">
      <w:lvlJc w:val="left"/>
      <w:lvlText w:val="%1"/>
      <w:numFmt w:val="lowerLetter"/>
      <w:start w:val="1"/>
    </w:lvl>
    <w:lvl w:ilvl="1">
      <w:lvlJc w:val="left"/>
      <w:lvlText w:val="(%2)"/>
      <w:numFmt w:val="lowerLetter"/>
      <w:start w:val="4"/>
    </w:lvl>
  </w:abstractNum>
  <w:abstractNum w:abstractNumId="31">
    <w:nsid w:val="14FCE74E"/>
    <w:multiLevelType w:val="hybridMultilevel"/>
    <w:lvl w:ilvl="0">
      <w:lvlJc w:val="left"/>
      <w:lvlText w:val="(%1)"/>
      <w:numFmt w:val="lowerLetter"/>
      <w:start w:val="9"/>
    </w:lvl>
    <w:lvl w:ilvl="1">
      <w:lvlJc w:val="left"/>
      <w:lvlText w:val="(%2)"/>
      <w:numFmt w:val="lowerLetter"/>
      <w:start w:val="5"/>
    </w:lvl>
  </w:abstractNum>
  <w:abstractNum w:abstractNumId="32">
    <w:nsid w:val="6A3DD3E8"/>
    <w:multiLevelType w:val="hybridMultilevel"/>
    <w:lvl w:ilvl="0">
      <w:lvlJc w:val="left"/>
      <w:lvlText w:val="(%1)"/>
      <w:numFmt w:val="lowerLetter"/>
      <w:start w:val="9"/>
    </w:lvl>
    <w:lvl w:ilvl="1">
      <w:lvlJc w:val="left"/>
      <w:lvlText w:val="%2"/>
      <w:numFmt w:val="lowerLetter"/>
      <w:start w:val="1"/>
    </w:lvl>
  </w:abstractNum>
  <w:abstractNum w:abstractNumId="33">
    <w:nsid w:val="71C91298"/>
    <w:multiLevelType w:val="hybridMultilevel"/>
    <w:lvl w:ilvl="0">
      <w:lvlJc w:val="left"/>
      <w:lvlText w:val="(%1)"/>
      <w:numFmt w:val="lowerLetter"/>
      <w:start w:val="1"/>
    </w:lvl>
  </w:abstractNum>
  <w:abstractNum w:abstractNumId="34">
    <w:nsid w:val="9DAF632"/>
    <w:multiLevelType w:val="hybridMultilevel"/>
    <w:lvl w:ilvl="0">
      <w:lvlJc w:val="left"/>
      <w:lvlText w:val="(%1)"/>
      <w:numFmt w:val="lowerLetter"/>
      <w:start w:val="2"/>
    </w:lvl>
  </w:abstractNum>
  <w:abstractNum w:abstractNumId="35">
    <w:nsid w:val="53299938"/>
    <w:multiLevelType w:val="hybridMultilevel"/>
    <w:lvl w:ilvl="0">
      <w:lvlJc w:val="left"/>
      <w:lvlText w:val="(%1)"/>
      <w:numFmt w:val="lowerLetter"/>
      <w:start w:val="1"/>
    </w:lvl>
  </w:abstractNum>
  <w:abstractNum w:abstractNumId="36">
    <w:nsid w:val="1FBFE8E0"/>
    <w:multiLevelType w:val="hybridMultilevel"/>
    <w:lvl w:ilvl="0">
      <w:lvlJc w:val="left"/>
      <w:lvlText w:val="(%1)"/>
      <w:numFmt w:val="lowerLetter"/>
      <w:start w:val="1"/>
    </w:lvl>
  </w:abstractNum>
  <w:abstractNum w:abstractNumId="37">
    <w:nsid w:val="5092CA79"/>
    <w:multiLevelType w:val="hybridMultilevel"/>
    <w:lvl w:ilvl="0">
      <w:lvlJc w:val="left"/>
      <w:lvlText w:val="(%1)"/>
      <w:numFmt w:val="lowerLetter"/>
      <w:start w:val="2"/>
    </w:lvl>
  </w:abstractNum>
  <w:abstractNum w:abstractNumId="38">
    <w:nsid w:val="1D545C4D"/>
    <w:multiLevelType w:val="hybridMultilevel"/>
    <w:lvl w:ilvl="0">
      <w:lvlJc w:val="left"/>
      <w:lvlText w:val="%1"/>
      <w:numFmt w:val="lowerLetter"/>
      <w:start w:val="1"/>
    </w:lvl>
    <w:lvl w:ilvl="1">
      <w:lvlJc w:val="left"/>
      <w:lvlText w:val="(%2)"/>
      <w:numFmt w:val="lowerLetter"/>
      <w:start w:val="5"/>
    </w:lvl>
  </w:abstractNum>
  <w:abstractNum w:abstractNumId="39">
    <w:nsid w:val="59ADEA3D"/>
    <w:multiLevelType w:val="hybridMultilevel"/>
    <w:lvl w:ilvl="0">
      <w:lvlJc w:val="left"/>
      <w:lvlText w:val="(%1)"/>
      <w:numFmt w:val="lowerLetter"/>
      <w:start w:val="35"/>
    </w:lvl>
    <w:lvl w:ilvl="1">
      <w:lvlJc w:val="left"/>
      <w:lvlText w:val="%2"/>
      <w:numFmt w:val="lowerLetter"/>
      <w:start w:val="1"/>
    </w:lvl>
  </w:abstractNum>
  <w:abstractNum w:abstractNumId="40">
    <w:nsid w:val="288F1A34"/>
    <w:multiLevelType w:val="hybridMultilevel"/>
    <w:lvl w:ilvl="0">
      <w:lvlJc w:val="left"/>
      <w:lvlText w:val="(%1)"/>
      <w:numFmt w:val="lowerLetter"/>
      <w:start w:val="1"/>
    </w:lvl>
  </w:abstractNum>
  <w:abstractNum w:abstractNumId="41">
    <w:nsid w:val="2A155DBC"/>
    <w:multiLevelType w:val="hybridMultilevel"/>
    <w:lvl w:ilvl="0">
      <w:lvlJc w:val="left"/>
      <w:lvlText w:val="(%1)"/>
      <w:numFmt w:val="lowerLetter"/>
      <w:start w:val="2"/>
    </w:lvl>
  </w:abstractNum>
  <w:abstractNum w:abstractNumId="42">
    <w:nsid w:val="1D9F6E5F"/>
    <w:multiLevelType w:val="hybridMultilevel"/>
    <w:lvl w:ilvl="0">
      <w:lvlJc w:val="left"/>
      <w:lvlText w:val="(%1)"/>
      <w:numFmt w:val="lowerLetter"/>
      <w:start w:val="1"/>
    </w:lvl>
  </w:abstractNum>
  <w:abstractNum w:abstractNumId="43">
    <w:nsid w:val="97E1B4E"/>
    <w:multiLevelType w:val="hybridMultilevel"/>
    <w:lvl w:ilvl="0">
      <w:lvlJc w:val="left"/>
      <w:lvlText w:val="(%1)"/>
      <w:numFmt w:val="lowerLetter"/>
      <w:start w:val="4"/>
    </w:lvl>
  </w:abstractNum>
  <w:abstractNum w:abstractNumId="44">
    <w:nsid w:val="51088277"/>
    <w:multiLevelType w:val="hybridMultilevel"/>
    <w:lvl w:ilvl="0">
      <w:lvlJc w:val="left"/>
      <w:lvlText w:val="(%1)"/>
      <w:numFmt w:val="lowerLetter"/>
      <w:start w:val="1"/>
    </w:lvl>
  </w:abstractNum>
  <w:abstractNum w:abstractNumId="45">
    <w:nsid w:val="1CA0C5FA"/>
    <w:multiLevelType w:val="hybridMultilevel"/>
    <w:lvl w:ilvl="0">
      <w:lvlJc w:val="left"/>
      <w:lvlText w:val="(%1)"/>
      <w:numFmt w:val="lowerLetter"/>
      <w:start w:val="7"/>
    </w:lvl>
  </w:abstractNum>
  <w:abstractNum w:abstractNumId="46">
    <w:nsid w:val="53584BCB"/>
    <w:multiLevelType w:val="hybridMultilevel"/>
    <w:lvl w:ilvl="0">
      <w:lvlJc w:val="left"/>
      <w:lvlText w:val="(%1)"/>
      <w:numFmt w:val="lowerLetter"/>
      <w:start w:val="1"/>
    </w:lvl>
  </w:abstractNum>
  <w:abstractNum w:abstractNumId="47">
    <w:nsid w:val="415E286C"/>
    <w:multiLevelType w:val="hybridMultilevel"/>
    <w:lvl w:ilvl="0">
      <w:lvlJc w:val="left"/>
      <w:lvlText w:val="(%1)"/>
      <w:numFmt w:val="lowerLetter"/>
      <w:start w:val="4"/>
    </w:lvl>
    <w:lvl w:ilvl="1">
      <w:lvlJc w:val="left"/>
      <w:lvlText w:val="(%2)"/>
      <w:numFmt w:val="lowerRoman"/>
      <w:start w:val="1"/>
    </w:lvl>
  </w:abstractNum>
  <w:abstractNum w:abstractNumId="48">
    <w:nsid w:val="7C58FD05"/>
    <w:multiLevelType w:val="hybridMultilevel"/>
    <w:lvl w:ilvl="0">
      <w:lvlJc w:val="left"/>
      <w:lvlText w:val="(%1)"/>
      <w:numFmt w:val="lowerLetter"/>
      <w:start w:val="1"/>
    </w:lvl>
  </w:abstractNum>
  <w:abstractNum w:abstractNumId="49">
    <w:nsid w:val="23D86AAC"/>
    <w:multiLevelType w:val="hybridMultilevel"/>
    <w:lvl w:ilvl="0">
      <w:lvlJc w:val="left"/>
      <w:lvlText w:val="(%1)"/>
      <w:numFmt w:val="lowerLetter"/>
      <w:start w:val="10"/>
    </w:lvl>
  </w:abstractNum>
  <w:abstractNum w:abstractNumId="50">
    <w:nsid w:val="45E6D486"/>
    <w:multiLevelType w:val="hybridMultilevel"/>
    <w:lvl w:ilvl="0">
      <w:lvlJc w:val="left"/>
      <w:lvlText w:val="(%1)"/>
      <w:numFmt w:val="lowerLetter"/>
      <w:start w:val="12"/>
    </w:lvl>
  </w:abstractNum>
  <w:abstractNum w:abstractNumId="51">
    <w:nsid w:val="5C10FE21"/>
    <w:multiLevelType w:val="hybridMultilevel"/>
    <w:lvl w:ilvl="0">
      <w:lvlJc w:val="left"/>
      <w:lvlText w:val="(%1)"/>
      <w:numFmt w:val="lowerLetter"/>
      <w:start w:val="1"/>
    </w:lvl>
  </w:abstractNum>
  <w:abstractNum w:abstractNumId="52">
    <w:nsid w:val="E7FFA2B"/>
    <w:multiLevelType w:val="hybridMultilevel"/>
    <w:lvl w:ilvl="0">
      <w:lvlJc w:val="left"/>
      <w:lvlText w:val="(%1)"/>
      <w:numFmt w:val="lowerLetter"/>
      <w:start w:val="1"/>
    </w:lvl>
  </w:abstractNum>
  <w:abstractNum w:abstractNumId="53">
    <w:nsid w:val="3C5991AA"/>
    <w:multiLevelType w:val="hybridMultilevel"/>
    <w:lvl w:ilvl="0">
      <w:lvlJc w:val="left"/>
      <w:lvlText w:val="(%1)"/>
      <w:numFmt w:val="lowerLetter"/>
      <w:start w:val="6"/>
    </w:lvl>
  </w:abstractNum>
  <w:abstractNum w:abstractNumId="54">
    <w:nsid w:val="4BD8591A"/>
    <w:multiLevelType w:val="hybridMultilevel"/>
    <w:lvl w:ilvl="0">
      <w:lvlJc w:val="left"/>
      <w:lvlText w:val="%1"/>
      <w:numFmt w:val="lowerRoman"/>
      <w:start w:val="1"/>
    </w:lvl>
    <w:lvl w:ilvl="1">
      <w:lvlJc w:val="left"/>
      <w:lvlText w:val="(%2)"/>
      <w:numFmt w:val="lowerLetter"/>
      <w:start w:val="1"/>
    </w:lvl>
  </w:abstractNum>
  <w:abstractNum w:abstractNumId="55">
    <w:nsid w:val="78DF6A55"/>
    <w:multiLevelType w:val="hybridMultilevel"/>
    <w:lvl w:ilvl="0">
      <w:lvlJc w:val="left"/>
      <w:lvlText w:val="(%1)"/>
      <w:numFmt w:val="lowerRoman"/>
      <w:start w:val="4"/>
    </w:lvl>
    <w:lvl w:ilvl="1">
      <w:lvlJc w:val="left"/>
      <w:lvlText w:val="(%2)"/>
      <w:numFmt w:val="lowerLetter"/>
      <w:start w:val="2"/>
    </w:lvl>
  </w:abstractNum>
  <w:abstractNum w:abstractNumId="56">
    <w:nsid w:val="39B7AAA2"/>
    <w:multiLevelType w:val="hybridMultilevel"/>
    <w:lvl w:ilvl="0">
      <w:lvlJc w:val="left"/>
      <w:lvlText w:val="(%1)"/>
      <w:numFmt w:val="lowerRoman"/>
      <w:start w:val="3"/>
    </w:lvl>
  </w:abstractNum>
  <w:abstractNum w:abstractNumId="57">
    <w:nsid w:val="2B0D8DBE"/>
    <w:multiLevelType w:val="hybridMultilevel"/>
    <w:lvl w:ilvl="0">
      <w:lvlJc w:val="left"/>
      <w:lvlText w:val="(%1)"/>
      <w:numFmt w:val="lowerLetter"/>
      <w:start w:val="1"/>
    </w:lvl>
  </w:abstractNum>
  <w:abstractNum w:abstractNumId="58">
    <w:nsid w:val="6C80EC70"/>
    <w:multiLevelType w:val="hybridMultilevel"/>
    <w:lvl w:ilvl="0">
      <w:lvlJc w:val="left"/>
      <w:lvlText w:val="(%1)"/>
      <w:numFmt w:val="lowerLetter"/>
      <w:start w:val="1"/>
    </w:lvl>
  </w:abstractNum>
  <w:abstractNum w:abstractNumId="59">
    <w:nsid w:val="379E21B5"/>
    <w:multiLevelType w:val="hybridMultilevel"/>
    <w:lvl w:ilvl="0">
      <w:lvlJc w:val="left"/>
      <w:lvlText w:val="(%1)"/>
      <w:numFmt w:val="lowerLetter"/>
      <w:start w:val="2"/>
    </w:lvl>
  </w:abstractNum>
  <w:abstractNum w:abstractNumId="60">
    <w:nsid w:val="69E373"/>
    <w:multiLevelType w:val="hybridMultilevel"/>
    <w:lvl w:ilvl="0">
      <w:lvlJc w:val="left"/>
      <w:lvlText w:val="(%1)"/>
      <w:numFmt w:val="lowerLetter"/>
      <w:start w:val="1"/>
    </w:lvl>
  </w:abstractNum>
  <w:abstractNum w:abstractNumId="61">
    <w:nsid w:val="2C27173B"/>
    <w:multiLevelType w:val="hybridMultilevel"/>
    <w:lvl w:ilvl="0">
      <w:lvlJc w:val="left"/>
      <w:lvlText w:val="%1"/>
      <w:numFmt w:val="lowerLetter"/>
      <w:start w:val="1"/>
    </w:lvl>
    <w:lvl w:ilvl="1">
      <w:lvlJc w:val="left"/>
      <w:lvlText w:val="(%2)"/>
      <w:numFmt w:val="lowerLetter"/>
      <w:start w:val="3"/>
    </w:lvl>
  </w:abstractNum>
  <w:abstractNum w:abstractNumId="62">
    <w:nsid w:val="4C9B0904"/>
    <w:multiLevelType w:val="hybridMultilevel"/>
    <w:lvl w:ilvl="0">
      <w:lvlJc w:val="left"/>
      <w:lvlText w:val="(%1)"/>
      <w:numFmt w:val="lowerLetter"/>
      <w:start w:val="61"/>
    </w:lvl>
    <w:lvl w:ilvl="1">
      <w:lvlJc w:val="left"/>
      <w:lvlText w:val="%2"/>
      <w:numFmt w:val="lowerLetter"/>
      <w:start w:val="1"/>
    </w:lvl>
  </w:abstractNum>
  <w:abstractNum w:abstractNumId="63">
    <w:nsid w:val="6AA7B75C"/>
    <w:multiLevelType w:val="hybridMultilevel"/>
    <w:lvl w:ilvl="0">
      <w:lvlJc w:val="left"/>
      <w:lvlText w:val="(%1)"/>
      <w:numFmt w:val="lowerRoman"/>
      <w:start w:val="3"/>
    </w:lvl>
  </w:abstractNum>
  <w:abstractNum w:abstractNumId="64">
    <w:nsid w:val="1DF029D3"/>
    <w:multiLevelType w:val="hybridMultilevel"/>
    <w:lvl w:ilvl="0">
      <w:lvlJc w:val="left"/>
      <w:lvlText w:val="(%1)"/>
      <w:numFmt w:val="lowerLetter"/>
      <w:start w:val="5"/>
    </w:lvl>
  </w:abstractNum>
  <w:abstractNum w:abstractNumId="65">
    <w:nsid w:val="5675FF36"/>
    <w:multiLevelType w:val="hybridMultilevel"/>
    <w:lvl w:ilvl="0">
      <w:lvlJc w:val="left"/>
      <w:lvlText w:val="(%1)"/>
      <w:numFmt w:val="lowerLetter"/>
      <w:start w:val="1"/>
    </w:lvl>
  </w:abstractNum>
  <w:abstractNum w:abstractNumId="66">
    <w:nsid w:val="3DD15094"/>
    <w:multiLevelType w:val="hybridMultilevel"/>
    <w:lvl w:ilvl="0">
      <w:lvlJc w:val="left"/>
      <w:lvlText w:val="(%1)"/>
      <w:numFmt w:val="lowerLetter"/>
      <w:start w:val="5"/>
    </w:lvl>
  </w:abstractNum>
  <w:abstractNum w:abstractNumId="67">
    <w:nsid w:val="3DB012B3"/>
    <w:multiLevelType w:val="hybridMultilevel"/>
    <w:lvl w:ilvl="0">
      <w:lvlJc w:val="left"/>
      <w:lvlText w:val="(%1)"/>
      <w:numFmt w:val="lowerLetter"/>
      <w:start w:val="1"/>
    </w:lvl>
  </w:abstractNum>
  <w:abstractNum w:abstractNumId="68">
    <w:nsid w:val="2708C9AF"/>
    <w:multiLevelType w:val="hybridMultilevel"/>
    <w:lvl w:ilvl="0">
      <w:lvlJc w:val="left"/>
      <w:lvlText w:val="(%1)"/>
      <w:numFmt w:val="lowerLetter"/>
      <w:start w:val="2"/>
    </w:lvl>
  </w:abstractNum>
  <w:abstractNum w:abstractNumId="69">
    <w:nsid w:val="5B25ACE2"/>
    <w:multiLevelType w:val="hybridMultilevel"/>
    <w:lvl w:ilvl="0">
      <w:lvlJc w:val="left"/>
      <w:lvlText w:val="(%1)"/>
      <w:numFmt w:val="lowerLetter"/>
      <w:start w:val="3"/>
    </w:lvl>
  </w:abstractNum>
  <w:abstractNum w:abstractNumId="70">
    <w:nsid w:val="175DFCF0"/>
    <w:multiLevelType w:val="hybridMultilevel"/>
    <w:lvl w:ilvl="0">
      <w:lvlJc w:val="left"/>
      <w:lvlText w:val="%1"/>
      <w:numFmt w:val="upperLetter"/>
      <w:start w:val="1"/>
    </w:lvl>
    <w:lvl w:ilvl="1">
      <w:lvlJc w:val="left"/>
      <w:lvlText w:val="(%2)"/>
      <w:numFmt w:val="lowerLetter"/>
      <w:start w:val="1"/>
    </w:lvl>
  </w:abstractNum>
  <w:abstractNum w:abstractNumId="71">
    <w:nsid w:val="4F97E3E4"/>
    <w:multiLevelType w:val="hybridMultilevel"/>
    <w:lvl w:ilvl="0">
      <w:lvlJc w:val="left"/>
      <w:lvlText w:val="(%1)"/>
      <w:numFmt w:val="upperLetter"/>
      <w:start w:val="2"/>
    </w:lvl>
    <w:lvl w:ilvl="1">
      <w:lvlJc w:val="left"/>
      <w:lvlText w:val="%2"/>
      <w:numFmt w:val="lowerLetter"/>
      <w:start w:val="1"/>
    </w:lvl>
  </w:abstractNum>
  <w:abstractNum w:abstractNumId="72">
    <w:nsid w:val="53B0A9E"/>
    <w:multiLevelType w:val="hybridMultilevel"/>
    <w:lvl w:ilvl="0">
      <w:lvlJc w:val="left"/>
      <w:lvlText w:val="(%1)"/>
      <w:numFmt w:val="lowerLetter"/>
      <w:start w:val="2"/>
    </w:lvl>
  </w:abstractNum>
  <w:abstractNum w:abstractNumId="73">
    <w:nsid w:val="34FD6B4F"/>
    <w:multiLevelType w:val="hybridMultilevel"/>
    <w:lvl w:ilvl="0">
      <w:lvlJc w:val="left"/>
      <w:lvlText w:val="(%1)"/>
      <w:numFmt w:val="lowerLetter"/>
      <w:start w:val="4"/>
    </w:lvl>
  </w:abstractNum>
  <w:abstractNum w:abstractNumId="74">
    <w:nsid w:val="5915FF32"/>
    <w:multiLevelType w:val="hybridMultilevel"/>
    <w:lvl w:ilvl="0">
      <w:lvlJc w:val="left"/>
      <w:lvlText w:val="(%1)"/>
      <w:numFmt w:val="lowerLetter"/>
      <w:start w:val="1"/>
    </w:lvl>
  </w:abstractNum>
  <w:abstractNum w:abstractNumId="75">
    <w:nsid w:val="56438D15"/>
    <w:multiLevelType w:val="hybridMultilevel"/>
    <w:lvl w:ilvl="0">
      <w:lvlJc w:val="left"/>
      <w:lvlText w:val="(%1)"/>
      <w:numFmt w:val="lowerLetter"/>
      <w:start w:val="3"/>
    </w:lvl>
  </w:abstractNum>
  <w:abstractNum w:abstractNumId="76">
    <w:nsid w:val="519E3149"/>
    <w:multiLevelType w:val="hybridMultilevel"/>
    <w:lvl w:ilvl="0">
      <w:lvlJc w:val="left"/>
      <w:lvlText w:val="(%1)"/>
      <w:numFmt w:val="lowerLetter"/>
      <w:start w:val="1"/>
    </w:lvl>
    <w:lvl w:ilvl="1">
      <w:lvlJc w:val="left"/>
      <w:lvlText w:val="(%2)"/>
      <w:numFmt w:val="lowerRoman"/>
      <w:start w:val="1"/>
    </w:lvl>
  </w:abstractNum>
  <w:abstractNum w:abstractNumId="77">
    <w:nsid w:val="2C6E4AFD"/>
    <w:multiLevelType w:val="hybridMultilevel"/>
    <w:lvl w:ilvl="0">
      <w:lvlJc w:val="left"/>
      <w:lvlText w:val="%1"/>
      <w:numFmt w:val="upperLetter"/>
      <w:start w:val="1"/>
    </w:lvl>
    <w:lvl w:ilvl="1">
      <w:lvlJc w:val="left"/>
      <w:lvlText w:val="(%2)"/>
      <w:numFmt w:val="lowerRoman"/>
      <w:start w:val="4"/>
    </w:lvl>
  </w:abstractNum>
  <w:abstractNum w:abstractNumId="78">
    <w:nsid w:val="17A1B582"/>
    <w:multiLevelType w:val="hybridMultilevel"/>
    <w:lvl w:ilvl="0">
      <w:lvlJc w:val="left"/>
      <w:lvlText w:val="(%1)"/>
      <w:numFmt w:val="upperLetter"/>
      <w:start w:val="2"/>
    </w:lvl>
    <w:lvl w:ilvl="1">
      <w:lvlJc w:val="left"/>
      <w:lvlText w:val="(%2)"/>
      <w:numFmt w:val="lowerRoman"/>
      <w:start w:val="8"/>
    </w:lvl>
  </w:abstractNum>
  <w:abstractNum w:abstractNumId="79">
    <w:nsid w:val="4DF72E4E"/>
    <w:multiLevelType w:val="hybridMultilevel"/>
    <w:lvl w:ilvl="0">
      <w:lvlJc w:val="left"/>
      <w:lvlText w:val="(%1)"/>
      <w:numFmt w:val="lowerRoman"/>
      <w:start w:val="12"/>
    </w:lvl>
  </w:abstractNum>
  <w:abstractNum w:abstractNumId="80">
    <w:nsid w:val="5046B5A9"/>
    <w:multiLevelType w:val="hybridMultilevel"/>
    <w:lvl w:ilvl="0">
      <w:lvlJc w:val="left"/>
      <w:lvlText w:val="(%1)"/>
      <w:numFmt w:val="lowerLetter"/>
      <w:start w:val="1"/>
    </w:lvl>
  </w:abstractNum>
  <w:abstractNum w:abstractNumId="81">
    <w:nsid w:val="5D888A08"/>
    <w:multiLevelType w:val="hybridMultilevel"/>
    <w:lvl w:ilvl="0">
      <w:lvlJc w:val="left"/>
      <w:lvlText w:val="%1"/>
      <w:numFmt w:val="lowerLetter"/>
      <w:start w:val="1"/>
    </w:lvl>
    <w:lvl w:ilvl="1">
      <w:lvlJc w:val="left"/>
      <w:lvlText w:val="(%2)"/>
      <w:numFmt w:val="lowerLetter"/>
      <w:start w:val="1"/>
    </w:lvl>
  </w:abstractNum>
  <w:abstractNum w:abstractNumId="82">
    <w:nsid w:val="2A082C70"/>
    <w:multiLevelType w:val="hybridMultilevel"/>
    <w:lvl w:ilvl="0">
      <w:lvlJc w:val="left"/>
      <w:lvlText w:val="(%1)"/>
      <w:numFmt w:val="lowerLetter"/>
      <w:start w:val="9"/>
    </w:lvl>
    <w:lvl w:ilvl="1">
      <w:lvlJc w:val="left"/>
      <w:lvlText w:val="(%2)"/>
      <w:numFmt w:val="lowerLetter"/>
      <w:start w:val="3"/>
    </w:lvl>
  </w:abstractNum>
  <w:abstractNum w:abstractNumId="83">
    <w:nsid w:val="5EC6AFD4"/>
    <w:multiLevelType w:val="hybridMultilevel"/>
    <w:lvl w:ilvl="0">
      <w:lvlJc w:val="left"/>
      <w:lvlText w:val="(%1)"/>
      <w:numFmt w:val="lowerLetter"/>
      <w:start w:val="1"/>
    </w:lvl>
  </w:abstractNum>
  <w:abstractNum w:abstractNumId="84">
    <w:nsid w:val="19E21BB2"/>
    <w:multiLevelType w:val="hybridMultilevel"/>
    <w:lvl w:ilvl="0">
      <w:lvlJc w:val="left"/>
      <w:lvlText w:val="(%1)"/>
      <w:numFmt w:val="lowerLetter"/>
      <w:start w:val="2"/>
    </w:lvl>
  </w:abstractNum>
  <w:abstractNum w:abstractNumId="85">
    <w:nsid w:val="75E0858A"/>
    <w:multiLevelType w:val="hybridMultilevel"/>
    <w:lvl w:ilvl="0">
      <w:lvlJc w:val="left"/>
      <w:lvlText w:val="(%1)"/>
      <w:numFmt w:val="lowerLetter"/>
      <w:start w:val="2"/>
    </w:lvl>
  </w:abstractNum>
  <w:abstractNum w:abstractNumId="86">
    <w:nsid w:val="57A61A29"/>
    <w:multiLevelType w:val="hybridMultilevel"/>
    <w:lvl w:ilvl="0">
      <w:lvlJc w:val="left"/>
      <w:lvlText w:val="(%1)"/>
      <w:numFmt w:val="lowerLetter"/>
      <w:start w:val="1"/>
    </w:lvl>
  </w:abstractNum>
  <w:abstractNum w:abstractNumId="87">
    <w:nsid w:val="5399C654"/>
    <w:multiLevelType w:val="hybridMultilevel"/>
    <w:lvl w:ilvl="0">
      <w:lvlJc w:val="left"/>
      <w:lvlText w:val="(%1)"/>
      <w:numFmt w:val="lowerLetter"/>
      <w:start w:val="2"/>
    </w:lvl>
  </w:abstractNum>
  <w:abstractNum w:abstractNumId="88">
    <w:nsid w:val="20EE1348"/>
    <w:multiLevelType w:val="hybridMultilevel"/>
    <w:lvl w:ilvl="0">
      <w:lvlJc w:val="left"/>
      <w:lvlText w:val="(%1)"/>
      <w:numFmt w:val="lowerLetter"/>
      <w:start w:val="1"/>
    </w:lvl>
  </w:abstractNum>
  <w:abstractNum w:abstractNumId="89">
    <w:nsid w:val="4427069A"/>
    <w:multiLevelType w:val="hybridMultilevel"/>
    <w:lvl w:ilvl="0">
      <w:lvlJc w:val="left"/>
      <w:lvlText w:val="(%1)"/>
      <w:numFmt w:val="lowerLetter"/>
      <w:start w:val="2"/>
    </w:lvl>
  </w:abstractNum>
  <w:abstractNum w:abstractNumId="90">
    <w:nsid w:val="B37E80A"/>
    <w:multiLevelType w:val="hybridMultilevel"/>
    <w:lvl w:ilvl="0">
      <w:lvlJc w:val="left"/>
      <w:lvlText w:val="(%1)"/>
      <w:numFmt w:val="lowerLetter"/>
      <w:start w:val="1"/>
    </w:lvl>
  </w:abstractNum>
  <w:abstractNum w:abstractNumId="91">
    <w:nsid w:val="2157F6BC"/>
    <w:multiLevelType w:val="hybridMultilevel"/>
    <w:lvl w:ilvl="0">
      <w:lvlJc w:val="left"/>
      <w:lvlText w:val="(%1)"/>
      <w:numFmt w:val="lowerLetter"/>
      <w:start w:val="2"/>
    </w:lvl>
  </w:abstractNum>
  <w:abstractNum w:abstractNumId="92">
    <w:nsid w:val="704E1DD5"/>
    <w:multiLevelType w:val="hybridMultilevel"/>
    <w:lvl w:ilvl="0">
      <w:lvlJc w:val="left"/>
      <w:lvlText w:val="(%1)"/>
      <w:numFmt w:val="lowerLetter"/>
      <w:start w:val="35"/>
    </w:lvl>
    <w:lvl w:ilvl="1">
      <w:lvlJc w:val="left"/>
      <w:lvlText w:val="(%2)"/>
      <w:numFmt w:val="lowerLetter"/>
      <w:start w:val="3"/>
    </w:lvl>
  </w:abstractNum>
  <w:abstractNum w:abstractNumId="93">
    <w:nsid w:val="57D2F10E"/>
    <w:multiLevelType w:val="hybridMultilevel"/>
    <w:lvl w:ilvl="0">
      <w:lvlJc w:val="left"/>
      <w:lvlText w:val="%1"/>
      <w:numFmt w:val="upperLetter"/>
      <w:start w:val="1"/>
    </w:lvl>
    <w:lvl w:ilvl="1">
      <w:lvlJc w:val="left"/>
      <w:lvlText w:val="(%2)"/>
      <w:numFmt w:val="lowerLetter"/>
      <w:start w:val="1"/>
    </w:lvl>
  </w:abstractNum>
  <w:abstractNum w:abstractNumId="94">
    <w:nsid w:val="BFFAE18"/>
    <w:multiLevelType w:val="hybridMultilevel"/>
    <w:lvl w:ilvl="0">
      <w:lvlJc w:val="left"/>
      <w:lvlText w:val="(%1)"/>
      <w:numFmt w:val="upperLetter"/>
      <w:start w:val="1"/>
    </w:lvl>
    <w:lvl w:ilvl="1">
      <w:lvlJc w:val="left"/>
      <w:lvlText w:val="(%2)"/>
      <w:numFmt w:val="lowerLetter"/>
      <w:start w:val="2"/>
    </w:lvl>
  </w:abstractNum>
  <w:abstractNum w:abstractNumId="95">
    <w:nsid w:val="E3E47A8"/>
    <w:multiLevelType w:val="hybridMultilevel"/>
    <w:lvl w:ilvl="0">
      <w:lvlJc w:val="left"/>
      <w:lvlText w:val="(%1)"/>
      <w:numFmt w:val="lowerLetter"/>
      <w:start w:val="1"/>
    </w:lvl>
  </w:abstractNum>
  <w:abstractNum w:abstractNumId="96">
    <w:nsid w:val="2E48F044"/>
    <w:multiLevelType w:val="hybridMultilevel"/>
    <w:lvl w:ilvl="0">
      <w:lvlJc w:val="left"/>
      <w:lvlText w:val="%1"/>
      <w:numFmt w:val="lowerLetter"/>
      <w:start w:val="1"/>
    </w:lvl>
    <w:lvl w:ilvl="1">
      <w:lvlJc w:val="left"/>
      <w:lvlText w:val="(%2)"/>
      <w:numFmt w:val="lowerLetter"/>
      <w:start w:val="1"/>
    </w:lvl>
  </w:abstractNum>
  <w:abstractNum w:abstractNumId="97">
    <w:nsid w:val="49D0FEAC"/>
    <w:multiLevelType w:val="hybridMultilevel"/>
    <w:lvl w:ilvl="0">
      <w:lvlJc w:val="left"/>
      <w:lvlText w:val="(%1)"/>
      <w:numFmt w:val="lowerLetter"/>
      <w:start w:val="35"/>
    </w:lvl>
    <w:lvl w:ilvl="1">
      <w:lvlJc w:val="left"/>
      <w:lvlText w:val="%2"/>
      <w:numFmt w:val="lowerLetter"/>
      <w:start w:val="1"/>
    </w:lvl>
  </w:abstractNum>
  <w:abstractNum w:abstractNumId="98">
    <w:nsid w:val="4BEE5A5B"/>
    <w:multiLevelType w:val="hybridMultilevel"/>
    <w:lvl w:ilvl="0">
      <w:lvlJc w:val="left"/>
      <w:lvlText w:val="(%1)"/>
      <w:numFmt w:val="lowerLetter"/>
      <w:start w:val="2"/>
    </w:lvl>
  </w:abstractNum>
  <w:abstractNum w:abstractNumId="99">
    <w:nsid w:val="5551B9F3"/>
    <w:multiLevelType w:val="hybridMultilevel"/>
    <w:lvl w:ilvl="0">
      <w:lvlJc w:val="left"/>
      <w:lvlText w:val="(%1)"/>
      <w:numFmt w:val="lowerLetter"/>
      <w:start w:val="3"/>
    </w:lvl>
  </w:abstractNum>
  <w:abstractNum w:abstractNumId="100">
    <w:nsid w:val="24F6AB8E"/>
    <w:multiLevelType w:val="hybridMultilevel"/>
    <w:lvl w:ilvl="0">
      <w:lvlJc w:val="left"/>
      <w:lvlText w:val="(%1)"/>
      <w:numFmt w:val="lowerLetter"/>
      <w:start w:val="1"/>
    </w:lvl>
  </w:abstractNum>
  <w:abstractNum w:abstractNumId="101">
    <w:nsid w:val="634C574C"/>
    <w:multiLevelType w:val="hybridMultilevel"/>
    <w:lvl w:ilvl="0">
      <w:lvlJc w:val="left"/>
      <w:lvlText w:val="(%1)"/>
      <w:numFmt w:val="lowerLetter"/>
      <w:start w:val="1"/>
    </w:lvl>
    <w:lvl w:ilvl="1">
      <w:lvlJc w:val="left"/>
      <w:lvlText w:val="(%2)"/>
      <w:numFmt w:val="lowerLetter"/>
      <w:start w:val="9"/>
    </w:lvl>
  </w:abstractNum>
  <w:abstractNum w:abstractNumId="102">
    <w:nsid w:val="24E99DD7"/>
    <w:multiLevelType w:val="hybridMultilevel"/>
    <w:lvl w:ilvl="0">
      <w:lvlJc w:val="left"/>
      <w:lvlText w:val="%1"/>
      <w:numFmt w:val="lowerLetter"/>
      <w:start w:val="1"/>
    </w:lvl>
    <w:lvl w:ilvl="1">
      <w:lvlJc w:val="left"/>
      <w:lvlText w:val="(%2)"/>
      <w:numFmt w:val="lowerRoman"/>
      <w:start w:val="2"/>
    </w:lvl>
  </w:abstractNum>
  <w:abstractNum w:abstractNumId="103">
    <w:nsid w:val="2A31B62D"/>
    <w:multiLevelType w:val="hybridMultilevel"/>
    <w:lvl w:ilvl="0">
      <w:lvlJc w:val="left"/>
      <w:lvlText w:val="(%1)"/>
      <w:numFmt w:val="lowerLetter"/>
      <w:start w:val="3"/>
    </w:lvl>
    <w:lvl w:ilvl="1">
      <w:lvlJc w:val="left"/>
      <w:lvlText w:val="%2"/>
      <w:numFmt w:val="lowerRoman"/>
      <w:start w:val="1"/>
    </w:lvl>
  </w:abstractNum>
  <w:abstractNum w:abstractNumId="104">
    <w:nsid w:val="1849C29B"/>
    <w:multiLevelType w:val="hybridMultilevel"/>
    <w:lvl w:ilvl="0">
      <w:lvlJc w:val="left"/>
      <w:lvlText w:val="(%1)"/>
      <w:numFmt w:val="lowerLetter"/>
      <w:start w:val="1"/>
    </w:lvl>
  </w:abstractNum>
  <w:abstractNum w:abstractNumId="105">
    <w:nsid w:val="7DFF9D09"/>
    <w:multiLevelType w:val="hybridMultilevel"/>
    <w:lvl w:ilvl="0">
      <w:lvlJc w:val="left"/>
      <w:lvlText w:val="(%1)"/>
      <w:numFmt w:val="decimal"/>
      <w:start w:val="3"/>
    </w:lvl>
  </w:abstractNum>
  <w:abstractNum w:abstractNumId="106">
    <w:nsid w:val="754342"/>
    <w:multiLevelType w:val="hybridMultilevel"/>
    <w:lvl w:ilvl="0">
      <w:lvlJc w:val="left"/>
      <w:lvlText w:val="(%1)"/>
      <w:numFmt w:val="lowerLetter"/>
      <w:start w:val="1"/>
    </w:lvl>
  </w:abstractNum>
  <w:abstractNum w:abstractNumId="107">
    <w:nsid w:val="69E7F3E5"/>
    <w:multiLevelType w:val="hybridMultilevel"/>
    <w:lvl w:ilvl="0">
      <w:lvlJc w:val="left"/>
      <w:lvlText w:val="(%1)"/>
      <w:numFmt w:val="lowerLetter"/>
      <w:start w:val="1"/>
    </w:lvl>
  </w:abstractNum>
  <w:abstractNum w:abstractNumId="108">
    <w:nsid w:val="2A6DE806"/>
    <w:multiLevelType w:val="hybridMultilevel"/>
    <w:lvl w:ilvl="0">
      <w:lvlJc w:val="left"/>
      <w:lvlText w:val="(%1)"/>
      <w:numFmt w:val="lowerLetter"/>
      <w:start w:val="1"/>
    </w:lvl>
  </w:abstractNum>
  <w:abstractNum w:abstractNumId="109">
    <w:nsid w:val="1816F8C4"/>
    <w:multiLevelType w:val="hybridMultilevel"/>
    <w:lvl w:ilvl="0">
      <w:lvlJc w:val="left"/>
      <w:lvlText w:val="(%1)"/>
      <w:numFmt w:val="lowerLetter"/>
      <w:start w:val="1"/>
    </w:lvl>
  </w:abstractNum>
  <w:abstractNum w:abstractNumId="110">
    <w:nsid w:val="37DF2233"/>
    <w:multiLevelType w:val="hybridMultilevel"/>
    <w:lvl w:ilvl="0">
      <w:lvlJc w:val="left"/>
      <w:lvlText w:val="(%1)"/>
      <w:numFmt w:val="lowerLetter"/>
      <w:start w:val="3"/>
    </w:lvl>
  </w:abstractNum>
  <w:abstractNum w:abstractNumId="111">
    <w:nsid w:val="7AB49DAF"/>
    <w:multiLevelType w:val="hybridMultilevel"/>
    <w:lvl w:ilvl="0">
      <w:lvlJc w:val="left"/>
      <w:lvlText w:val="(%1)"/>
      <w:numFmt w:val="lowerLetter"/>
      <w:start w:val="4"/>
    </w:lvl>
  </w:abstractNum>
  <w:abstractNum w:abstractNumId="112">
    <w:nsid w:val="759F82CD"/>
    <w:multiLevelType w:val="hybridMultilevel"/>
    <w:lvl w:ilvl="0">
      <w:lvlJc w:val="left"/>
      <w:lvlText w:val="(%1)"/>
      <w:numFmt w:val="lowerLetter"/>
      <w:start w:val="1"/>
    </w:lvl>
  </w:abstractNum>
  <w:abstractNum w:abstractNumId="113">
    <w:nsid w:val="61E74EA3"/>
    <w:multiLevelType w:val="hybridMultilevel"/>
    <w:lvl w:ilvl="0">
      <w:lvlJc w:val="left"/>
      <w:lvlText w:val="(%1)"/>
      <w:numFmt w:val="lowerLetter"/>
      <w:start w:val="4"/>
    </w:lvl>
  </w:abstractNum>
  <w:abstractNum w:abstractNumId="114">
    <w:nsid w:val="597B4D84"/>
    <w:multiLevelType w:val="hybridMultilevel"/>
    <w:lvl w:ilvl="0">
      <w:lvlJc w:val="left"/>
      <w:lvlText w:val="(%1)"/>
      <w:numFmt w:val="lowerLetter"/>
      <w:start w:val="1"/>
    </w:lvl>
  </w:abstractNum>
  <w:abstractNum w:abstractNumId="115">
    <w:nsid w:val="F819E7F"/>
    <w:multiLevelType w:val="hybridMultilevel"/>
    <w:lvl w:ilvl="0">
      <w:lvlJc w:val="left"/>
      <w:lvlText w:val="(%1)"/>
      <w:numFmt w:val="lowerLetter"/>
      <w:start w:val="1"/>
    </w:lvl>
  </w:abstractNum>
  <w:abstractNum w:abstractNumId="116">
    <w:nsid w:val="57C7D42D"/>
    <w:multiLevelType w:val="hybridMultilevel"/>
    <w:lvl w:ilvl="0">
      <w:lvlJc w:val="left"/>
      <w:lvlText w:val="(%1)"/>
      <w:numFmt w:val="lowerLetter"/>
      <w:start w:val="2"/>
    </w:lvl>
  </w:abstractNum>
  <w:abstractNum w:abstractNumId="117">
    <w:nsid w:val="312167AD"/>
    <w:multiLevelType w:val="hybridMultilevel"/>
    <w:lvl w:ilvl="0">
      <w:lvlJc w:val="left"/>
      <w:lvlText w:val="(%1)"/>
      <w:numFmt w:val="lowerLetter"/>
      <w:start w:val="5"/>
    </w:lvl>
  </w:abstractNum>
  <w:abstractNum w:abstractNumId="118">
    <w:nsid w:val="631B64D4"/>
    <w:multiLevelType w:val="hybridMultilevel"/>
    <w:lvl w:ilvl="0">
      <w:lvlJc w:val="left"/>
      <w:lvlText w:val="(%1)"/>
      <w:numFmt w:val="lowerLetter"/>
      <w:start w:val="1"/>
    </w:lvl>
  </w:abstractNum>
  <w:abstractNum w:abstractNumId="119">
    <w:nsid w:val="78B5E776"/>
    <w:multiLevelType w:val="hybridMultilevel"/>
    <w:lvl w:ilvl="0">
      <w:lvlJc w:val="left"/>
      <w:lvlText w:val="(%1)"/>
      <w:numFmt w:val="lowerLetter"/>
      <w:start w:val="1"/>
    </w:lvl>
  </w:abstractNum>
  <w:abstractNum w:abstractNumId="120">
    <w:nsid w:val="75486E47"/>
    <w:multiLevelType w:val="hybridMultilevel"/>
    <w:lvl w:ilvl="0">
      <w:lvlJc w:val="left"/>
      <w:lvlText w:val="(%1)"/>
      <w:numFmt w:val="lowerLetter"/>
      <w:start w:val="1"/>
    </w:lvl>
  </w:abstractNum>
  <w:abstractNum w:abstractNumId="121">
    <w:nsid w:val="6E534CDE"/>
    <w:multiLevelType w:val="hybridMultilevel"/>
    <w:lvl w:ilvl="0">
      <w:lvlJc w:val="left"/>
      <w:lvlText w:val="(%1)"/>
      <w:numFmt w:val="lowerLetter"/>
      <w:start w:val="3"/>
    </w:lvl>
  </w:abstractNum>
  <w:abstractNum w:abstractNumId="122">
    <w:nsid w:val="1A0DDE32"/>
    <w:multiLevelType w:val="hybridMultilevel"/>
    <w:lvl w:ilvl="0">
      <w:lvlJc w:val="left"/>
      <w:lvlText w:val="·"/>
      <w:numFmt w:val="bullet"/>
      <w:start w:val="1"/>
    </w:lvl>
  </w:abstractNum>
  <w:abstractNum w:abstractNumId="123">
    <w:nsid w:val="65968C1C"/>
    <w:multiLevelType w:val="hybridMultilevel"/>
    <w:lvl w:ilvl="0">
      <w:lvlJc w:val="left"/>
      <w:lvlText w:val="[***]"/>
      <w:numFmt w:val="bullet"/>
      <w:start w:val="1"/>
    </w:lvl>
  </w:abstractNum>
  <w:abstractNum w:abstractNumId="124">
    <w:nsid w:val="46263DEC"/>
    <w:multiLevelType w:val="hybridMultilevel"/>
    <w:lvl w:ilvl="0">
      <w:lvlJc w:val="left"/>
      <w:lvlText w:val="·"/>
      <w:numFmt w:val="bullet"/>
      <w:start w:val="1"/>
    </w:lvl>
    <w:lvl w:ilvl="1">
      <w:lvlJc w:val="left"/>
      <w:lvlText w:val="%2:"/>
      <w:numFmt w:val="upperLetter"/>
      <w:start w:val="20"/>
    </w:lvl>
  </w:abstractNum>
  <w:abstractNum w:abstractNumId="125">
    <w:nsid w:val="260D8C4A"/>
    <w:multiLevelType w:val="hybridMultilevel"/>
    <w:lvl w:ilvl="0">
      <w:lvlJc w:val="left"/>
      <w:lvlText w:val="·"/>
      <w:numFmt w:val="bullet"/>
      <w:start w:val="1"/>
    </w:lvl>
    <w:lvl w:ilvl="1">
      <w:lvlJc w:val="left"/>
      <w:lvlText w:val="%2:"/>
      <w:numFmt w:val="upperLetter"/>
      <w:start w:val="6"/>
    </w:lvl>
  </w:abstractNum>
  <w:abstractNum w:abstractNumId="126">
    <w:nsid w:val="73D4D3C4"/>
    <w:multiLevelType w:val="hybridMultilevel"/>
    <w:lvl w:ilvl="0">
      <w:lvlJc w:val="left"/>
      <w:lvlText w:val="·"/>
      <w:numFmt w:val="bullet"/>
      <w:start w:val="1"/>
    </w:lvl>
    <w:lvl w:ilvl="1">
      <w:lvlJc w:val="left"/>
      <w:lvlText w:val="%2:"/>
      <w:numFmt w:val="upperLetter"/>
      <w:start w:val="5"/>
    </w:lvl>
  </w:abstractNum>
  <w:abstractNum w:abstractNumId="127">
    <w:nsid w:val="746F2E30"/>
    <w:multiLevelType w:val="hybridMultilevel"/>
    <w:lvl w:ilvl="0">
      <w:lvlJc w:val="left"/>
      <w:lvlText w:val="·"/>
      <w:numFmt w:val="bullet"/>
      <w:start w:val="1"/>
    </w:lvl>
  </w:abstractNum>
  <w:abstractNum w:abstractNumId="128">
    <w:nsid w:val="6FDE8AF6"/>
    <w:multiLevelType w:val="hybridMultilevel"/>
    <w:lvl w:ilvl="0">
      <w:lvlJc w:val="left"/>
      <w:lvlText w:val="·"/>
      <w:numFmt w:val="bullet"/>
      <w:start w:val="1"/>
    </w:lvl>
  </w:abstractNum>
  <w:abstractNum w:abstractNumId="129">
    <w:nsid w:val="3FC32E20"/>
    <w:multiLevelType w:val="hybridMultilevel"/>
    <w:lvl w:ilvl="0">
      <w:lvlJc w:val="left"/>
      <w:lvlText w:val="·"/>
      <w:numFmt w:val="bullet"/>
      <w:start w:val="1"/>
    </w:lvl>
  </w:abstractNum>
  <w:abstractNum w:abstractNumId="130">
    <w:nsid w:val="49C0E823"/>
    <w:multiLevelType w:val="hybridMultilevel"/>
    <w:lvl w:ilvl="0">
      <w:lvlJc w:val="left"/>
      <w:lvlText w:val="[***]"/>
      <w:numFmt w:val="bullet"/>
      <w:start w:val="1"/>
    </w:lvl>
  </w:abstractNum>
  <w:abstractNum w:abstractNumId="131">
    <w:nsid w:val="14D53685"/>
    <w:multiLevelType w:val="hybridMultilevel"/>
    <w:lvl w:ilvl="0">
      <w:lvlJc w:val="left"/>
      <w:lvlText w:val="(%1)"/>
      <w:numFmt w:val="lowerRoman"/>
      <w:start w:val="2"/>
    </w:lvl>
  </w:abstractNum>
  <w:abstractNum w:abstractNumId="132">
    <w:nsid w:val="230F856C"/>
    <w:multiLevelType w:val="hybridMultilevel"/>
    <w:lvl w:ilvl="0">
      <w:lvlJc w:val="left"/>
      <w:lvlText w:val="[***]"/>
      <w:numFmt w:val="bullet"/>
      <w:start w:val="1"/>
    </w:lvl>
  </w:abstractNum>
  <w:abstractNum w:abstractNumId="133">
    <w:nsid w:val="6EAA85FB"/>
    <w:multiLevelType w:val="hybridMultilevel"/>
    <w:lvl w:ilvl="0">
      <w:lvlJc w:val="left"/>
      <w:lvlText w:val="*"/>
      <w:numFmt w:val="bullet"/>
      <w:start w:val="1"/>
    </w:lvl>
  </w:abstractNum>
  <w:abstractNum w:abstractNumId="134">
    <w:nsid w:val="3F06ECB2"/>
    <w:multiLevelType w:val="hybridMultilevel"/>
    <w:lvl w:ilvl="0">
      <w:lvlJc w:val="left"/>
      <w:lvlText w:val="[***]"/>
      <w:numFmt w:val="bullet"/>
      <w:start w:val="1"/>
    </w:lvl>
  </w:abstractNum>
  <w:abstractNum w:abstractNumId="135">
    <w:nsid w:val="3B594807"/>
    <w:multiLevelType w:val="hybridMultilevel"/>
    <w:lvl w:ilvl="0">
      <w:lvlJc w:val="left"/>
      <w:lvlText w:val="·"/>
      <w:numFmt w:val="bullet"/>
      <w:start w:val="1"/>
    </w:lvl>
  </w:abstractNum>
  <w:abstractNum w:abstractNumId="136">
    <w:nsid w:val="6CAA2304"/>
    <w:multiLevelType w:val="hybridMultilevel"/>
    <w:lvl w:ilvl="0">
      <w:lvlJc w:val="left"/>
      <w:lvlText w:val="(%1)"/>
      <w:numFmt w:val="lowerLetter"/>
      <w:start w:val="1"/>
    </w:lvl>
  </w:abstractNum>
  <w:abstractNum w:abstractNumId="137">
    <w:nsid w:val="3F7C2FF4"/>
    <w:multiLevelType w:val="hybridMultilevel"/>
    <w:lvl w:ilvl="0">
      <w:lvlJc w:val="left"/>
      <w:lvlText w:val="(%1)"/>
      <w:numFmt w:val="lowerLetter"/>
      <w:start w:val="3"/>
    </w:lvl>
  </w:abstractNum>
  <w:abstractNum w:abstractNumId="138">
    <w:nsid w:val="25413BEC"/>
    <w:multiLevelType w:val="hybridMultilevel"/>
    <w:lvl w:ilvl="0">
      <w:lvlJc w:val="left"/>
      <w:lvlText w:val="(%1)"/>
      <w:numFmt w:val="lowerLetter"/>
      <w:start w:val="7"/>
    </w:lvl>
  </w:abstractNum>
  <w:abstractNum w:abstractNumId="139">
    <w:nsid w:val="17180B0B"/>
    <w:multiLevelType w:val="hybridMultilevel"/>
    <w:lvl w:ilvl="0">
      <w:lvlJc w:val="left"/>
      <w:lvlText w:val="%1"/>
      <w:numFmt w:val="upperLetter"/>
      <w:start w:val="1"/>
    </w:lvl>
    <w:lvl w:ilvl="1">
      <w:lvlJc w:val="left"/>
      <w:lvlText w:val="(%2)"/>
      <w:numFmt w:val="lowerLetter"/>
      <w:start w:val="10"/>
    </w:lvl>
    <w:lvl w:ilvl="2">
      <w:lvlJc w:val="left"/>
      <w:lvlText w:val="(%3)"/>
      <w:numFmt w:val="lowerLetter"/>
      <w:start w:val="9"/>
    </w:lvl>
  </w:abstractNum>
  <w:abstractNum w:abstractNumId="140">
    <w:nsid w:val="579328B9"/>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1"/>
    </w:lvl>
  </w:abstractNum>
  <w:abstractNum w:abstractNumId="141">
    <w:nsid w:val="5D205E20"/>
    <w:multiLevelType w:val="hybridMultilevel"/>
    <w:lvl w:ilvl="0">
      <w:lvlJc w:val="left"/>
      <w:lvlText w:val="%1"/>
      <w:numFmt w:val="decimal"/>
      <w:start w:val="1"/>
    </w:lvl>
    <w:lvl w:ilvl="1">
      <w:lvlJc w:val="left"/>
      <w:lvlText w:val="(%2)"/>
      <w:numFmt w:val="lowerRoman"/>
      <w:start w:val="2"/>
    </w:lvl>
  </w:abstractNum>
  <w:abstractNum w:abstractNumId="142">
    <w:nsid w:val="11CCA8BA"/>
    <w:multiLevelType w:val="hybridMultilevel"/>
    <w:lvl w:ilvl="0">
      <w:lvlJc w:val="left"/>
      <w:lvlText w:val="(%1)"/>
      <w:numFmt w:val="decimal"/>
      <w:start w:val="2"/>
    </w:lvl>
    <w:lvl w:ilvl="1">
      <w:lvlJc w:val="left"/>
      <w:lvlText w:val="%2"/>
      <w:numFmt w:val="lowerRoman"/>
      <w:start w:val="1"/>
    </w:lvl>
  </w:abstractNum>
  <w:abstractNum w:abstractNumId="143">
    <w:nsid w:val="4D32AB86"/>
    <w:multiLevelType w:val="hybridMultilevel"/>
    <w:lvl w:ilvl="0">
      <w:lvlJc w:val="left"/>
      <w:lvlText w:val="(%1)"/>
      <w:numFmt w:val="lowerLetter"/>
      <w:start w:val="15"/>
    </w:lvl>
  </w:abstractNum>
  <w:abstractNum w:abstractNumId="144">
    <w:nsid w:val="3F07ACC3"/>
    <w:multiLevelType w:val="hybridMultilevel"/>
    <w:lvl w:ilvl="0">
      <w:lvlJc w:val="left"/>
      <w:lvlText w:val="(%1)"/>
      <w:numFmt w:val="lowerLetter"/>
      <w:start w:val="16"/>
    </w:lvl>
  </w:abstractNum>
  <w:abstractNum w:abstractNumId="145">
    <w:nsid w:val="6B47F63E"/>
    <w:multiLevelType w:val="hybridMultilevel"/>
    <w:lvl w:ilvl="0">
      <w:lvlJc w:val="left"/>
      <w:lvlText w:val="(%1)"/>
      <w:numFmt w:val="lowerLetter"/>
      <w:start w:val="1"/>
    </w:lvl>
    <w:lvl w:ilvl="1">
      <w:lvlJc w:val="left"/>
      <w:lvlText w:val="(%2)"/>
      <w:numFmt w:val="lowerLetter"/>
      <w:start w:val="9"/>
    </w:lvl>
  </w:abstractNum>
  <w:abstractNum w:abstractNumId="146">
    <w:nsid w:val="5CB44A05"/>
    <w:multiLevelType w:val="hybridMultilevel"/>
    <w:lvl w:ilvl="0">
      <w:lvlJc w:val="left"/>
      <w:lvlText w:val="%1"/>
      <w:numFmt w:val="lowerLetter"/>
      <w:start w:val="1"/>
    </w:lvl>
    <w:lvl w:ilvl="1">
      <w:lvlJc w:val="left"/>
      <w:lvlText w:val="(%2)"/>
      <w:numFmt w:val="lowerLetter"/>
      <w:start w:val="35"/>
    </w:lvl>
  </w:abstractNum>
  <w:abstractNum w:abstractNumId="147">
    <w:nsid w:val="16CF80F1"/>
    <w:multiLevelType w:val="hybridMultilevel"/>
    <w:lvl w:ilvl="0">
      <w:lvlJc w:val="left"/>
      <w:lvlText w:val="(%1)"/>
      <w:numFmt w:val="lowerLetter"/>
      <w:start w:val="2"/>
    </w:lvl>
    <w:lvl w:ilvl="1">
      <w:lvlJc w:val="left"/>
      <w:lvlText w:val="(%2)"/>
      <w:numFmt w:val="lowerLetter"/>
      <w:start w:val="9"/>
    </w:lvl>
  </w:abstractNum>
  <w:abstractNum w:abstractNumId="148">
    <w:nsid w:val="1C695DEC"/>
    <w:multiLevelType w:val="hybridMultilevel"/>
    <w:lvl w:ilvl="0">
      <w:lvlJc w:val="left"/>
      <w:lvlText w:val="[***]"/>
      <w:numFmt w:val="bullet"/>
      <w:start w:val="1"/>
    </w:lvl>
    <w:lvl w:ilvl="1">
      <w:lvlJc w:val="left"/>
      <w:lvlText w:val="(%2)"/>
      <w:numFmt w:val="lowerRoman"/>
      <w:start w:val="2"/>
    </w:lvl>
  </w:abstractNum>
  <w:abstractNum w:abstractNumId="149">
    <w:nsid w:val="3FCFAED9"/>
    <w:multiLevelType w:val="hybridMultilevel"/>
    <w:lvl w:ilvl="0">
      <w:lvlJc w:val="left"/>
      <w:lvlText w:val="(%1)"/>
      <w:numFmt w:val="lowerLetter"/>
      <w:start w:val="3"/>
    </w:lvl>
    <w:lvl w:ilvl="1">
      <w:lvlJc w:val="left"/>
      <w:lvlText w:val="(%2)"/>
      <w:numFmt w:val="lowerRoman"/>
      <w:start w:val="1"/>
    </w:lvl>
  </w:abstractNum>
  <w:abstractNum w:abstractNumId="150">
    <w:nsid w:val="F856867"/>
    <w:multiLevelType w:val="hybridMultilevel"/>
    <w:lvl w:ilvl="0">
      <w:lvlJc w:val="left"/>
      <w:lvlText w:val="(%1)"/>
      <w:numFmt w:val="lowerLetter"/>
      <w:start w:val="2"/>
    </w:lvl>
  </w:abstractNum>
  <w:abstractNum w:abstractNumId="151">
    <w:nsid w:val="11B1CC33"/>
    <w:multiLevelType w:val="hybridMultilevel"/>
    <w:lvl w:ilvl="0">
      <w:lvlJc w:val="left"/>
      <w:lvlText w:val="[***]"/>
      <w:numFmt w:val="bullet"/>
      <w:start w:val="1"/>
    </w:lvl>
  </w:abstractNum>
  <w:abstractNum w:abstractNumId="152">
    <w:nsid w:val="2E22FBB7"/>
    <w:multiLevelType w:val="hybridMultilevel"/>
    <w:lvl w:ilvl="0">
      <w:lvlJc w:val="left"/>
      <w:lvlText w:val="(%1)"/>
      <w:numFmt w:val="lowerLetter"/>
      <w:start w:val="1"/>
    </w:lvl>
  </w:abstractNum>
  <w:abstractNum w:abstractNumId="153">
    <w:nsid w:val="29934699"/>
    <w:multiLevelType w:val="hybridMultilevel"/>
    <w:lvl w:ilvl="0">
      <w:lvlJc w:val="left"/>
      <w:lvlText w:val="[***]"/>
      <w:numFmt w:val="bullet"/>
      <w:start w:val="1"/>
    </w:lvl>
  </w:abstractNum>
  <w:abstractNum w:abstractNumId="154">
    <w:nsid w:val="77485850"/>
    <w:multiLevelType w:val="hybridMultilevel"/>
    <w:lvl w:ilvl="0">
      <w:lvlJc w:val="left"/>
      <w:lvlText w:val="(%1)"/>
      <w:numFmt w:val="decimal"/>
      <w:start w:val="30"/>
    </w:lvl>
  </w:abstractNum>
  <w:abstractNum w:abstractNumId="155">
    <w:nsid w:val="744939A3"/>
    <w:multiLevelType w:val="hybridMultilevel"/>
    <w:lvl w:ilvl="0">
      <w:lvlJc w:val="left"/>
      <w:lvlText w:val="(%1)"/>
      <w:numFmt w:val="lowerLetter"/>
      <w:start w:val="1"/>
    </w:lvl>
    <w:lvl w:ilvl="1">
      <w:lvlJc w:val="left"/>
      <w:lvlText w:val="(%2)"/>
      <w:numFmt w:val="upperLetter"/>
      <w:start w:val="1"/>
    </w:lvl>
  </w:abstractNum>
  <w:abstractNum w:abstractNumId="156">
    <w:nsid w:val="4FA0D2E3"/>
    <w:multiLevelType w:val="hybridMultilevel"/>
    <w:lvl w:ilvl="0">
      <w:lvlJc w:val="left"/>
      <w:lvlText w:val="(%1)"/>
      <w:numFmt w:val="decimal"/>
      <w:start w:val="5"/>
    </w:lvl>
    <w:lvl w:ilvl="1">
      <w:lvlJc w:val="left"/>
      <w:lvlText w:val="(%2)"/>
      <w:numFmt w:val="lowerLetter"/>
      <w:start w:val="3"/>
    </w:lvl>
  </w:abstractNum>
  <w:abstractNum w:abstractNumId="157">
    <w:nsid w:val="6B1D2C14"/>
    <w:multiLevelType w:val="hybridMultilevel"/>
    <w:lvl w:ilvl="0">
      <w:lvlJc w:val="left"/>
      <w:lvlText w:val="(%1)"/>
      <w:numFmt w:val="lowerRoman"/>
      <w:start w:val="3"/>
    </w:lvl>
  </w:abstractNum>
  <w:abstractNum w:abstractNumId="158">
    <w:nsid w:val="68B867D3"/>
    <w:multiLevelType w:val="hybridMultilevel"/>
    <w:lvl w:ilvl="0">
      <w:lvlJc w:val="left"/>
      <w:lvlText w:val="(%1)"/>
      <w:numFmt w:val="lowerLetter"/>
      <w:start w:val="1"/>
    </w:lvl>
  </w:abstractNum>
  <w:abstractNum w:abstractNumId="159">
    <w:nsid w:val="3F7F5DD9"/>
    <w:multiLevelType w:val="hybridMultilevel"/>
    <w:lvl w:ilvl="0">
      <w:lvlJc w:val="left"/>
      <w:lvlText w:val="(%1)"/>
      <w:numFmt w:val="lowerLetter"/>
      <w:start w:val="8"/>
    </w:lvl>
  </w:abstractNum>
  <w:abstractNum w:abstractNumId="160">
    <w:nsid w:val="2AE05A34"/>
    <w:multiLevelType w:val="hybridMultilevel"/>
    <w:lvl w:ilvl="0">
      <w:lvlJc w:val="left"/>
      <w:lvlText w:val="%1"/>
      <w:numFmt w:val="decimal"/>
      <w:start w:val="1"/>
    </w:lvl>
    <w:lvl w:ilvl="1">
      <w:lvlJc w:val="left"/>
      <w:lvlText w:val="(%2)"/>
      <w:numFmt w:val="lowerLetter"/>
      <w:start w:val="9"/>
    </w:lvl>
  </w:abstractNum>
  <w:abstractNum w:abstractNumId="161">
    <w:nsid w:val="32794FF7"/>
    <w:multiLevelType w:val="hybridMultilevel"/>
    <w:lvl w:ilvl="0">
      <w:lvlJc w:val="left"/>
      <w:lvlText w:val="(%1)"/>
      <w:numFmt w:val="decimal"/>
      <w:start w:val="30"/>
    </w:lvl>
    <w:lvl w:ilvl="1">
      <w:lvlJc w:val="left"/>
      <w:lvlText w:val="%2"/>
      <w:numFmt w:val="lowerLetter"/>
      <w:start w:val="1"/>
    </w:lvl>
  </w:abstractNum>
  <w:abstractNum w:abstractNumId="162">
    <w:nsid w:val="5454945E"/>
    <w:multiLevelType w:val="hybridMultilevel"/>
    <w:lvl w:ilvl="0">
      <w:lvlJc w:val="left"/>
      <w:lvlText w:val="[***]"/>
      <w:numFmt w:val="bullet"/>
      <w:start w:val="1"/>
    </w:lvl>
  </w:abstractNum>
  <w:abstractNum w:abstractNumId="163">
    <w:nsid w:val="4DEFDFA0"/>
    <w:multiLevelType w:val="hybridMultilevel"/>
    <w:lvl w:ilvl="0">
      <w:lvlJc w:val="left"/>
      <w:lvlText w:val="(%1)"/>
      <w:numFmt w:val="decimal"/>
      <w:start w:val="1"/>
    </w:lvl>
  </w:abstractNum>
  <w:abstractNum w:abstractNumId="164">
    <w:nsid w:val="2123D5F2"/>
    <w:multiLevelType w:val="hybridMultilevel"/>
    <w:lvl w:ilvl="0">
      <w:lvlJc w:val="left"/>
      <w:lvlText w:val="(%1)"/>
      <w:numFmt w:val="lowerLetter"/>
      <w:start w:val="1"/>
    </w:lvl>
  </w:abstractNum>
  <w:abstractNum w:abstractNumId="165">
    <w:nsid w:val="135B8110"/>
    <w:multiLevelType w:val="hybridMultilevel"/>
    <w:lvl w:ilvl="0">
      <w:lvlJc w:val="left"/>
      <w:lvlText w:val="(%1)"/>
      <w:numFmt w:val="lowerLetter"/>
      <w:start w:val="2"/>
    </w:lvl>
  </w:abstractNum>
  <w:abstractNum w:abstractNumId="166">
    <w:nsid w:val="94927A8"/>
    <w:multiLevelType w:val="hybridMultilevel"/>
    <w:lvl w:ilvl="0">
      <w:lvlJc w:val="left"/>
      <w:lvlText w:val="(%1)"/>
      <w:numFmt w:val="lowerLetter"/>
      <w:start w:val="3"/>
    </w:lvl>
  </w:abstractNum>
  <w:abstractNum w:abstractNumId="167">
    <w:nsid w:val="DCDF8F6"/>
    <w:multiLevelType w:val="hybridMultilevel"/>
    <w:lvl w:ilvl="0">
      <w:lvlJc w:val="left"/>
      <w:lvlText w:val="%1."/>
      <w:numFmt w:val="decimal"/>
      <w:start w:val="1"/>
    </w:lvl>
  </w:abstractNum>
  <w:abstractNum w:abstractNumId="168">
    <w:nsid w:val="52D7B105"/>
    <w:multiLevelType w:val="hybridMultilevel"/>
    <w:lvl w:ilvl="0">
      <w:lvlJc w:val="left"/>
      <w:lvlText w:val="%1."/>
      <w:numFmt w:val="decimal"/>
      <w:start w:val="2"/>
    </w:lvl>
  </w:abstractNum>
  <w:abstractNum w:abstractNumId="169">
    <w:nsid w:val="2E8A6394"/>
    <w:multiLevelType w:val="hybridMultilevel"/>
    <w:lvl w:ilvl="0">
      <w:lvlJc w:val="left"/>
      <w:lvlText w:val="%1."/>
      <w:numFmt w:val="decimal"/>
      <w:start w:val="3"/>
    </w:lvl>
  </w:abstractNum>
  <w:abstractNum w:abstractNumId="170">
    <w:nsid w:val="24E60401"/>
    <w:multiLevelType w:val="hybridMultilevel"/>
    <w:lvl w:ilvl="0">
      <w:lvlJc w:val="left"/>
      <w:lvlText w:val="σ"/>
      <w:numFmt w:val="bullet"/>
      <w:start w:val="1"/>
    </w:lvl>
  </w:abstractNum>
  <w:abstractNum w:abstractNumId="171">
    <w:nsid w:val="2A6AD9BE"/>
    <w:multiLevelType w:val="hybridMultilevel"/>
    <w:lvl w:ilvl="0">
      <w:lvlJc w:val="left"/>
      <w:lvlText w:val="σ"/>
      <w:numFmt w:val="bullet"/>
      <w:start w:val="1"/>
    </w:lvl>
  </w:abstractNum>
  <w:abstractNum w:abstractNumId="172">
    <w:nsid w:val="BAAC1B4"/>
    <w:multiLevelType w:val="hybridMultilevel"/>
    <w:lvl w:ilvl="0">
      <w:lvlJc w:val="left"/>
      <w:lvlText w:val="[***]"/>
      <w:numFmt w:val="bullet"/>
      <w:start w:val="1"/>
    </w:lvl>
  </w:abstractNum>
  <w:abstractNum w:abstractNumId="173">
    <w:nsid w:val="36B2ACBC"/>
    <w:multiLevelType w:val="hybridMultilevel"/>
    <w:lvl w:ilvl="0">
      <w:lvlJc w:val="left"/>
      <w:lvlText w:val="(%1)"/>
      <w:numFmt w:val="lowerLetter"/>
      <w:start w:val="1"/>
    </w:lvl>
  </w:abstractNum>
  <w:abstractNum w:abstractNumId="174">
    <w:nsid w:val="779D8544"/>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2019-12-09T01:07:43Z</dcterms:created>
  <dcterms:modified xsi:type="dcterms:W3CDTF">2019-12-09T01:07:43Z</dcterms:modified>
</cp:coreProperties>
</file>