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2" w:lineRule="exact"/>
        <w:rPr>
          <w:sz w:val="24"/>
          <w:szCs w:val="24"/>
          <w:color w:val="auto"/>
        </w:rPr>
      </w:pPr>
    </w:p>
    <w:p>
      <w:pPr>
        <w:ind w:left="3660" w:right="1480" w:hanging="3265"/>
        <w:spacing w:after="0" w:line="505" w:lineRule="auto"/>
        <w:tabs>
          <w:tab w:leader="none" w:pos="61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317" w:lineRule="exact"/>
        <w:rPr>
          <w:sz w:val="24"/>
          <w:szCs w:val="24"/>
          <w:color w:val="auto"/>
        </w:rPr>
      </w:pPr>
    </w:p>
    <w:p>
      <w:pPr>
        <w:ind w:left="4220" w:right="1480" w:hanging="3825"/>
        <w:spacing w:after="0" w:line="505" w:lineRule="auto"/>
        <w:tabs>
          <w:tab w:leader="none" w:pos="60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001-35299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-161290</wp:posOffset>
            </wp:positionV>
            <wp:extent cx="164592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ALKERMES PUBLIC LIMITED COMPANY</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4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8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98-1007018</w:t>
            </w:r>
          </w:p>
        </w:tc>
      </w:tr>
      <w:tr>
        <w:trPr>
          <w:trHeight w:val="234"/>
        </w:trPr>
        <w:tc>
          <w:tcPr>
            <w:tcW w:w="7060" w:type="dxa"/>
            <w:vAlign w:val="bottom"/>
            <w:gridSpan w:val="5"/>
          </w:tcPr>
          <w:p>
            <w:pPr>
              <w:jc w:val="center"/>
              <w:ind w:right="16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1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6"/>
        </w:trPr>
        <w:tc>
          <w:tcPr>
            <w:tcW w:w="3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Connaught House</w:t>
            </w:r>
          </w:p>
        </w:tc>
        <w:tc>
          <w:tcPr>
            <w:tcW w:w="4180" w:type="dxa"/>
            <w:vAlign w:val="bottom"/>
          </w:tcPr>
          <w:p>
            <w:pPr>
              <w:spacing w:after="0"/>
              <w:rPr>
                <w:sz w:val="24"/>
                <w:szCs w:val="24"/>
                <w:color w:val="auto"/>
              </w:rPr>
            </w:pPr>
          </w:p>
        </w:tc>
      </w:tr>
      <w:tr>
        <w:trPr>
          <w:trHeight w:val="203"/>
        </w:trPr>
        <w:tc>
          <w:tcPr>
            <w:tcW w:w="3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rPr>
              <w:t>1 Burlington Road</w:t>
            </w:r>
          </w:p>
        </w:tc>
        <w:tc>
          <w:tcPr>
            <w:tcW w:w="4180" w:type="dxa"/>
            <w:vAlign w:val="bottom"/>
          </w:tcPr>
          <w:p>
            <w:pPr>
              <w:spacing w:after="0"/>
              <w:rPr>
                <w:sz w:val="17"/>
                <w:szCs w:val="17"/>
                <w:color w:val="auto"/>
              </w:rPr>
            </w:pPr>
          </w:p>
        </w:tc>
      </w:tr>
      <w:tr>
        <w:trPr>
          <w:trHeight w:val="206"/>
        </w:trPr>
        <w:tc>
          <w:tcPr>
            <w:tcW w:w="3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Dublin 4, Ireland, D04 C5Y6</w:t>
            </w:r>
          </w:p>
        </w:tc>
        <w:tc>
          <w:tcPr>
            <w:tcW w:w="4180" w:type="dxa"/>
            <w:vAlign w:val="bottom"/>
          </w:tcPr>
          <w:p>
            <w:pPr>
              <w:spacing w:after="0"/>
              <w:rPr>
                <w:sz w:val="17"/>
                <w:szCs w:val="17"/>
                <w:color w:val="auto"/>
              </w:rPr>
            </w:pPr>
          </w:p>
        </w:tc>
      </w:tr>
      <w:tr>
        <w:trPr>
          <w:trHeight w:val="234"/>
        </w:trPr>
        <w:tc>
          <w:tcPr>
            <w:tcW w:w="3420" w:type="dxa"/>
            <w:vAlign w:val="bottom"/>
          </w:tcPr>
          <w:p>
            <w:pPr>
              <w:spacing w:after="0"/>
              <w:rPr>
                <w:sz w:val="20"/>
                <w:szCs w:val="20"/>
                <w:color w:val="auto"/>
              </w:rPr>
            </w:pPr>
          </w:p>
        </w:tc>
        <w:tc>
          <w:tcPr>
            <w:tcW w:w="364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180" w:type="dxa"/>
            <w:vAlign w:val="bottom"/>
          </w:tcPr>
          <w:p>
            <w:pPr>
              <w:spacing w:after="0"/>
              <w:rPr>
                <w:sz w:val="20"/>
                <w:szCs w:val="20"/>
                <w:color w:val="auto"/>
              </w:rPr>
            </w:pPr>
          </w:p>
        </w:tc>
      </w:tr>
      <w:tr>
        <w:trPr>
          <w:trHeight w:val="387"/>
        </w:trPr>
        <w:tc>
          <w:tcPr>
            <w:tcW w:w="3420" w:type="dxa"/>
            <w:vAlign w:val="bottom"/>
          </w:tcPr>
          <w:p>
            <w:pPr>
              <w:spacing w:after="0"/>
              <w:rPr>
                <w:sz w:val="24"/>
                <w:szCs w:val="24"/>
                <w:color w:val="auto"/>
              </w:rPr>
            </w:pPr>
          </w:p>
        </w:tc>
        <w:tc>
          <w:tcPr>
            <w:tcW w:w="342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+ 353-1-772-8000</w:t>
            </w:r>
          </w:p>
        </w:tc>
        <w:tc>
          <w:tcPr>
            <w:tcW w:w="2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34"/>
        </w:trPr>
        <w:tc>
          <w:tcPr>
            <w:tcW w:w="3420" w:type="dxa"/>
            <w:vAlign w:val="bottom"/>
          </w:tcPr>
          <w:p>
            <w:pPr>
              <w:spacing w:after="0"/>
              <w:rPr>
                <w:sz w:val="20"/>
                <w:szCs w:val="20"/>
                <w:color w:val="auto"/>
              </w:rPr>
            </w:pPr>
          </w:p>
        </w:tc>
        <w:tc>
          <w:tcPr>
            <w:tcW w:w="7820" w:type="dxa"/>
            <w:vAlign w:val="bottom"/>
            <w:gridSpan w:val="5"/>
          </w:tcPr>
          <w:p>
            <w:pPr>
              <w:jc w:val="center"/>
              <w:ind w:right="33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18"/>
        </w:trPr>
        <w:tc>
          <w:tcPr>
            <w:tcW w:w="3420" w:type="dxa"/>
            <w:vAlign w:val="bottom"/>
          </w:tcPr>
          <w:p>
            <w:pPr>
              <w:spacing w:after="0"/>
              <w:rPr>
                <w:sz w:val="24"/>
                <w:szCs w:val="24"/>
                <w:color w:val="auto"/>
              </w:rPr>
            </w:pPr>
          </w:p>
        </w:tc>
        <w:tc>
          <w:tcPr>
            <w:tcW w:w="7820" w:type="dxa"/>
            <w:vAlign w:val="bottom"/>
            <w:gridSpan w:val="5"/>
          </w:tcPr>
          <w:p>
            <w:pPr>
              <w:jc w:val="center"/>
              <w:ind w:right="331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391"/>
        </w:trPr>
        <w:tc>
          <w:tcPr>
            <w:tcW w:w="34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420" w:type="dxa"/>
            <w:vAlign w:val="bottom"/>
            <w:tcBorders>
              <w:top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Ordinary shares, $0.01 par value</w:t>
            </w: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ALKS</w:t>
            </w:r>
          </w:p>
        </w:tc>
        <w:tc>
          <w:tcPr>
            <w:tcW w:w="22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52" w:lineRule="exact"/>
        <w:rPr>
          <w:sz w:val="24"/>
          <w:szCs w:val="24"/>
          <w:color w:val="auto"/>
        </w:rPr>
      </w:pPr>
    </w:p>
    <w:p>
      <w:pPr>
        <w:ind w:right="300"/>
        <w:spacing w:after="0" w:line="231"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80"/>
        <w:spacing w:after="0" w:line="231"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w:t>
      </w:r>
    </w:p>
    <w:p>
      <w:pPr>
        <w:spacing w:after="0" w:line="2" w:lineRule="exact"/>
        <w:rPr>
          <w:sz w:val="24"/>
          <w:szCs w:val="24"/>
          <w:color w:val="auto"/>
        </w:rPr>
      </w:pPr>
    </w:p>
    <w:p>
      <w:pPr>
        <w:ind w:right="660"/>
        <w:spacing w:after="0" w:line="226" w:lineRule="auto"/>
        <w:rPr>
          <w:sz w:val="20"/>
          <w:szCs w:val="20"/>
          <w:color w:val="auto"/>
        </w:rPr>
      </w:pPr>
      <w:r>
        <w:rPr>
          <w:rFonts w:ascii="Times New Roman" w:cs="Times New Roman" w:eastAsia="Times New Roman" w:hAnsi="Times New Roman"/>
          <w:sz w:val="18"/>
          <w:szCs w:val="18"/>
          <w:color w:val="auto"/>
        </w:rPr>
        <w:t>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43" w:right="339" w:bottom="1440" w:gutter="0" w:footer="0" w:header="0"/>
        </w:sectPr>
      </w:pPr>
    </w:p>
    <w:p>
      <w:pPr>
        <w:spacing w:after="0" w:line="358" w:lineRule="exact"/>
        <w:rPr>
          <w:sz w:val="24"/>
          <w:szCs w:val="24"/>
          <w:color w:val="auto"/>
        </w:rPr>
      </w:pPr>
    </w:p>
    <w:p>
      <w:pPr>
        <w:ind w:left="18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63" w:lineRule="exact"/>
        <w:rPr>
          <w:sz w:val="24"/>
          <w:szCs w:val="24"/>
          <w:color w:val="auto"/>
        </w:rPr>
      </w:pPr>
    </w:p>
    <w:p>
      <w:pPr>
        <w:sectPr>
          <w:pgSz w:w="11900" w:h="16838" w:orient="portrait"/>
          <w:cols w:equalWidth="0" w:num="2">
            <w:col w:w="7180" w:space="720"/>
            <w:col w:w="3340"/>
          </w:cols>
          <w:pgMar w:left="320" w:top="943" w:right="339" w:bottom="1440" w:gutter="0" w:footer="0" w:header="0"/>
          <w:type w:val="continuous"/>
        </w:sectPr>
      </w:pPr>
    </w:p>
    <w:p>
      <w:pPr>
        <w:spacing w:after="0" w:line="25" w:lineRule="exact"/>
        <w:rPr>
          <w:sz w:val="24"/>
          <w:szCs w:val="24"/>
          <w:color w:val="auto"/>
        </w:rPr>
      </w:pPr>
    </w:p>
    <w:p>
      <w:pPr>
        <w:ind w:left="190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76" w:lineRule="exact"/>
        <w:rPr>
          <w:sz w:val="24"/>
          <w:szCs w:val="24"/>
          <w:color w:val="auto"/>
        </w:rPr>
      </w:pPr>
    </w:p>
    <w:p>
      <w:pPr>
        <w:sectPr>
          <w:pgSz w:w="11900" w:h="16838" w:orient="portrait"/>
          <w:cols w:equalWidth="0" w:num="2">
            <w:col w:w="6800" w:space="720"/>
            <w:col w:w="3720"/>
          </w:cols>
          <w:pgMar w:left="320" w:top="943" w:right="339" w:bottom="1440" w:gutter="0" w:footer="0" w:header="0"/>
          <w:type w:val="continuous"/>
        </w:sectPr>
      </w:pPr>
    </w:p>
    <w:p>
      <w:pPr>
        <w:ind w:right="160"/>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ind w:right="202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the registrant’s ordinary shares, $0.01 par value, outstanding as of October 28, 2022 was 164,312,356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type w:val="continuous"/>
        </w:sectPr>
      </w:pPr>
    </w:p>
    <w:bookmarkStart w:id="1" w:name="page2"/>
    <w:bookmarkEnd w:id="1"/>
    <w:p>
      <w:pPr>
        <w:ind w:left="4040"/>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2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780" w:type="dxa"/>
            <w:vAlign w:val="bottom"/>
            <w:gridSpan w:val="13"/>
            <w:shd w:val="clear" w:color="auto" w:fill="CCEEFF"/>
          </w:tcPr>
          <w:p>
            <w:pPr>
              <w:jc w:val="center"/>
              <w:ind w:right="3760"/>
              <w:spacing w:after="0" w:line="169" w:lineRule="exact"/>
              <w:rPr>
                <w:sz w:val="20"/>
                <w:szCs w:val="20"/>
                <w:color w:val="auto"/>
              </w:rPr>
            </w:pPr>
            <w:r>
              <w:rPr>
                <w:rFonts w:ascii="Times New Roman" w:cs="Times New Roman" w:eastAsia="Times New Roman" w:hAnsi="Times New Roman"/>
                <w:sz w:val="18"/>
                <w:szCs w:val="18"/>
                <w:b w:val="1"/>
                <w:bCs w:val="1"/>
                <w:i w:val="1"/>
                <w:iCs w:val="1"/>
                <w:color w:val="0000FF"/>
                <w:w w:val="98"/>
              </w:rPr>
              <w:t>PART I - FINANCIAL INFORMATION</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420" w:type="dxa"/>
            <w:vAlign w:val="bottom"/>
            <w:tcBorders>
              <w:bottom w:val="single" w:sz="8" w:color="0000FF"/>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Condensed Consolidated Balance Sheets — September 30, 2022 and December 31, 2021</w:t>
            </w:r>
          </w:p>
        </w:tc>
        <w:tc>
          <w:tcPr>
            <w:tcW w:w="2960" w:type="dxa"/>
            <w:vAlign w:val="bottom"/>
            <w:tcBorders>
              <w:bottom w:val="single" w:sz="8" w:color="CCEEFF"/>
            </w:tcBorders>
            <w:gridSpan w:val="5"/>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 For the Three and Nine Months Ended</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2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September 30, 2022 and 2021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FF"/>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 For the Nine Months Ended September 30, 2022 and 2021</w:t>
            </w:r>
          </w:p>
        </w:tc>
        <w:tc>
          <w:tcPr>
            <w:tcW w:w="1180" w:type="dxa"/>
            <w:vAlign w:val="bottom"/>
            <w:tcBorders>
              <w:bottom w:val="single" w:sz="8" w:color="CCEEFF"/>
            </w:tcBorders>
            <w:gridSpan w:val="3"/>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FF"/>
              </w:rPr>
              <w:t>Condensed Consolidated Statements of Shareholders’ Equity — For the Three and Nine Months Ended September 30, 2022 and</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2021</w:t>
            </w:r>
          </w:p>
        </w:tc>
        <w:tc>
          <w:tcPr>
            <w:tcW w:w="2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7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CCEEFF"/>
            </w:tcBorders>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bottom w:val="single" w:sz="8" w:color="0000FF"/>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60" w:type="dxa"/>
            <w:vAlign w:val="bottom"/>
            <w:tcBorders>
              <w:bottom w:val="single" w:sz="8" w:color="CCEEFF"/>
            </w:tcBorders>
            <w:gridSpan w:val="9"/>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76"/>
        </w:trPr>
        <w:tc>
          <w:tcPr>
            <w:tcW w:w="11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FF"/>
              </w:rPr>
              <w:t>Controls and Procedures</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40" w:type="dxa"/>
            <w:vAlign w:val="bottom"/>
            <w:gridSpan w:val="12"/>
          </w:tcPr>
          <w:p>
            <w:pPr>
              <w:jc w:val="center"/>
              <w:ind w:right="3880"/>
              <w:spacing w:after="0" w:line="176" w:lineRule="exact"/>
              <w:rPr>
                <w:sz w:val="20"/>
                <w:szCs w:val="20"/>
                <w:color w:val="auto"/>
              </w:rPr>
            </w:pPr>
            <w:r>
              <w:rPr>
                <w:rFonts w:ascii="Times New Roman" w:cs="Times New Roman" w:eastAsia="Times New Roman" w:hAnsi="Times New Roman"/>
                <w:sz w:val="18"/>
                <w:szCs w:val="18"/>
                <w:b w:val="1"/>
                <w:bCs w:val="1"/>
                <w:i w:val="1"/>
                <w:iCs w:val="1"/>
                <w:color w:val="0000FF"/>
                <w:w w:val="98"/>
              </w:rPr>
              <w:t>PART II - OTHER INFORMATION</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76"/>
        </w:trPr>
        <w:tc>
          <w:tcPr>
            <w:tcW w:w="1160" w:type="dxa"/>
            <w:vAlign w:val="bottom"/>
            <w:tcBorders>
              <w:top w:val="single" w:sz="8" w:color="CCEEFF"/>
            </w:tcBorders>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340" w:type="dxa"/>
            <w:vAlign w:val="bottom"/>
            <w:tcBorders>
              <w:top w:val="single" w:sz="8" w:color="0000FF"/>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8040" w:type="dxa"/>
            <w:vAlign w:val="bottom"/>
            <w:tcBorders>
              <w:top w:val="single" w:sz="8" w:color="CCEEFF"/>
            </w:tcBorders>
            <w:gridSpan w:val="16"/>
          </w:tcPr>
          <w:p>
            <w:pPr>
              <w:spacing w:after="0"/>
              <w:rPr>
                <w:sz w:val="15"/>
                <w:szCs w:val="15"/>
                <w:color w:val="auto"/>
              </w:rPr>
            </w:pPr>
          </w:p>
        </w:tc>
        <w:tc>
          <w:tcPr>
            <w:tcW w:w="7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CCEEFF"/>
            </w:tcBorders>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20" w:type="dxa"/>
            <w:vAlign w:val="bottom"/>
            <w:tcBorders>
              <w:bottom w:val="single" w:sz="8" w:color="CCEEFF"/>
            </w:tcBorders>
            <w:gridSpan w:val="8"/>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76"/>
        </w:trPr>
        <w:tc>
          <w:tcPr>
            <w:tcW w:w="11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Exhibits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75"/>
        </w:trPr>
        <w:tc>
          <w:tcPr>
            <w:tcW w:w="1160" w:type="dxa"/>
            <w:vAlign w:val="bottom"/>
            <w:tcBorders>
              <w:top w:val="single" w:sz="8" w:color="CCEEFF"/>
            </w:tcBorders>
            <w:gridSpan w:val="3"/>
          </w:tcPr>
          <w:p>
            <w:pPr>
              <w:ind w:left="20"/>
              <w:spacing w:after="0" w:line="176" w:lineRule="exact"/>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74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5480" w:type="dxa"/>
            <w:vAlign w:val="bottom"/>
            <w:gridSpan w:val="14"/>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175" w:lineRule="exact"/>
        <w:rPr>
          <w:sz w:val="20"/>
          <w:szCs w:val="20"/>
          <w:color w:val="auto"/>
        </w:rPr>
      </w:pPr>
    </w:p>
    <w:p>
      <w:pPr>
        <w:ind w:right="20" w:firstLine="374"/>
        <w:spacing w:after="0" w:line="203" w:lineRule="exact"/>
        <w:rPr>
          <w:sz w:val="20"/>
          <w:szCs w:val="20"/>
          <w:color w:val="auto"/>
        </w:rPr>
      </w:pPr>
      <w:r>
        <w:rPr>
          <w:rFonts w:ascii="Times New Roman" w:cs="Times New Roman" w:eastAsia="Times New Roman" w:hAnsi="Times New Roman"/>
          <w:sz w:val="18"/>
          <w:szCs w:val="18"/>
          <w:color w:val="auto"/>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 this Quarterly Report on Form 10-Q (this “Form 10-Q”) may include, without limitation, statements regarding:</w:t>
      </w:r>
    </w:p>
    <w:p>
      <w:pPr>
        <w:spacing w:after="0" w:line="66"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revenues, expenses, liquidity, capital expenditures and income taxes;</w:t>
      </w:r>
    </w:p>
    <w:p>
      <w:pPr>
        <w:spacing w:after="0" w:line="103" w:lineRule="exact"/>
        <w:rPr>
          <w:rFonts w:ascii="Times New Roman" w:cs="Times New Roman" w:eastAsia="Times New Roman" w:hAnsi="Times New Roman"/>
          <w:sz w:val="18"/>
          <w:szCs w:val="18"/>
          <w:color w:val="auto"/>
        </w:rPr>
      </w:pPr>
    </w:p>
    <w:p>
      <w:pPr>
        <w:ind w:left="760" w:right="40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products, including expectations related to product development; regulatory filings, approvals and timelines; therapeutic and commercial value, scope and potential; and the costs and expenses related to such activities and expectations;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initiation, timing and results of clinical trials of our products;</w:t>
      </w:r>
    </w:p>
    <w:p>
      <w:pPr>
        <w:spacing w:after="0" w:line="103" w:lineRule="exact"/>
        <w:rPr>
          <w:rFonts w:ascii="Times New Roman" w:cs="Times New Roman" w:eastAsia="Times New Roman" w:hAnsi="Times New Roman"/>
          <w:sz w:val="18"/>
          <w:szCs w:val="18"/>
          <w:color w:val="auto"/>
        </w:rPr>
      </w:pPr>
    </w:p>
    <w:p>
      <w:pPr>
        <w:ind w:left="760" w:right="120" w:hanging="378"/>
        <w:spacing w:after="0" w:line="23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spacing w:after="0" w:line="7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financial impact of currency exchange rate fluctuations and valuations;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amortization of intangible assets;</w:t>
      </w:r>
    </w:p>
    <w:p>
      <w:pPr>
        <w:spacing w:after="0" w:line="103" w:lineRule="exact"/>
        <w:rPr>
          <w:rFonts w:ascii="Times New Roman" w:cs="Times New Roman" w:eastAsia="Times New Roman" w:hAnsi="Times New Roman"/>
          <w:sz w:val="18"/>
          <w:szCs w:val="18"/>
          <w:color w:val="auto"/>
        </w:rPr>
      </w:pPr>
    </w:p>
    <w:p>
      <w:pPr>
        <w:ind w:left="760" w:right="4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collaborations, licensing arrangements and other significant agreements with third parties relating to our products and our development programs;</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new legislation, rules and regulations and the adoption of new accounting pronouncements;</w:t>
      </w:r>
    </w:p>
    <w:p>
      <w:pPr>
        <w:spacing w:after="0" w:line="74" w:lineRule="exact"/>
        <w:rPr>
          <w:rFonts w:ascii="Times New Roman" w:cs="Times New Roman" w:eastAsia="Times New Roman" w:hAnsi="Times New Roman"/>
          <w:sz w:val="18"/>
          <w:szCs w:val="18"/>
          <w:color w:val="auto"/>
        </w:rPr>
      </w:pPr>
    </w:p>
    <w:p>
      <w:pPr>
        <w:ind w:left="760" w:right="200" w:hanging="378"/>
        <w:spacing w:after="0" w:line="226" w:lineRule="exact"/>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changes in the nature of our market risk exposures or in our management’s objectives and strategies with respect to managing such exposures;</w:t>
      </w:r>
    </w:p>
    <w:p>
      <w:pPr>
        <w:spacing w:after="0" w:line="76" w:lineRule="exact"/>
        <w:rPr>
          <w:rFonts w:ascii="Times New Roman" w:cs="Times New Roman" w:eastAsia="Times New Roman" w:hAnsi="Times New Roman"/>
          <w:sz w:val="18"/>
          <w:szCs w:val="18"/>
          <w:color w:val="auto"/>
        </w:rPr>
      </w:pPr>
    </w:p>
    <w:p>
      <w:pPr>
        <w:ind w:left="760" w:right="78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comply with restrictive covenants of our indebtedness and our ability to fund our debt service obligations;</w:t>
      </w:r>
    </w:p>
    <w:p>
      <w:pPr>
        <w:spacing w:after="0" w:line="68" w:lineRule="exact"/>
        <w:rPr>
          <w:rFonts w:ascii="Times New Roman" w:cs="Times New Roman" w:eastAsia="Times New Roman" w:hAnsi="Times New Roman"/>
          <w:sz w:val="18"/>
          <w:szCs w:val="18"/>
          <w:color w:val="auto"/>
        </w:rPr>
      </w:pPr>
    </w:p>
    <w:p>
      <w:pPr>
        <w:ind w:left="760" w:right="22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capital requirements and expenditures for our operations and our ability to finance such capital requirements and expenditures;</w:t>
      </w:r>
    </w:p>
    <w:p>
      <w:pPr>
        <w:spacing w:after="0" w:line="68" w:lineRule="exact"/>
        <w:rPr>
          <w:rFonts w:ascii="Times New Roman" w:cs="Times New Roman" w:eastAsia="Times New Roman" w:hAnsi="Times New Roman"/>
          <w:sz w:val="18"/>
          <w:szCs w:val="18"/>
          <w:color w:val="auto"/>
        </w:rPr>
      </w:pPr>
    </w:p>
    <w:p>
      <w:pPr>
        <w:ind w:left="760" w:right="8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outcome and impact of administrative, regulatory, legal and other proceedings related to our products and intellectual property (“IP”), including our patents;</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ongoing novel coronavirus (“COVID-19”) pandemic on our business and operations;</w:t>
      </w:r>
    </w:p>
    <w:p>
      <w:pPr>
        <w:spacing w:after="0" w:line="103" w:lineRule="exact"/>
        <w:rPr>
          <w:rFonts w:ascii="Times New Roman" w:cs="Times New Roman" w:eastAsia="Times New Roman" w:hAnsi="Times New Roman"/>
          <w:sz w:val="18"/>
          <w:szCs w:val="18"/>
          <w:color w:val="auto"/>
        </w:rPr>
      </w:pPr>
    </w:p>
    <w:p>
      <w:pPr>
        <w:ind w:left="760" w:right="26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separation of our commercial-stage neuroscience business and development-stage oncology business, including anticipated timing, effects, costs, benefits and tax treatment; and</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expectations discussed elsewhere in this Form 10-Q.</w:t>
      </w:r>
    </w:p>
    <w:p>
      <w:pPr>
        <w:spacing w:after="0" w:line="171" w:lineRule="exact"/>
        <w:rPr>
          <w:sz w:val="20"/>
          <w:szCs w:val="20"/>
          <w:color w:val="auto"/>
        </w:rPr>
      </w:pPr>
    </w:p>
    <w:p>
      <w:pPr>
        <w:ind w:firstLine="374"/>
        <w:spacing w:after="0" w:line="262" w:lineRule="auto"/>
        <w:rPr>
          <w:sz w:val="20"/>
          <w:szCs w:val="20"/>
          <w:color w:val="auto"/>
        </w:rPr>
      </w:pPr>
      <w:r>
        <w:rPr>
          <w:rFonts w:ascii="Times New Roman" w:cs="Times New Roman" w:eastAsia="Times New Roman" w:hAnsi="Times New Roman"/>
          <w:sz w:val="17"/>
          <w:szCs w:val="17"/>
          <w:color w:val="auto"/>
        </w:rPr>
        <w:t>Actual results might differ materially from those expressed or implied by these forward-looking statements because these forward-looking statements are subject to risks, assumptions and uncertainties. In light of these risks, assumptions and uncertainties, the forward-looking expectations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 For information about the risks, assumptions and uncertainties of our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3" w:name="page4"/>
    <w:bookmarkEnd w:id="3"/>
    <w:p>
      <w:pPr>
        <w:ind w:right="160"/>
        <w:spacing w:after="0" w:line="250" w:lineRule="auto"/>
        <w:rPr>
          <w:sz w:val="20"/>
          <w:szCs w:val="20"/>
          <w:color w:val="auto"/>
        </w:rPr>
      </w:pPr>
      <w:r>
        <w:rPr>
          <w:rFonts w:ascii="Times New Roman" w:cs="Times New Roman" w:eastAsia="Times New Roman" w:hAnsi="Times New Roman"/>
          <w:sz w:val="18"/>
          <w:szCs w:val="18"/>
          <w:color w:val="auto"/>
        </w:rPr>
        <w:t>see “Part I, Item 1A—Risk Factors” in our Annual Report on Form 10-K for the year ended December 31, 2021, filed with the United States (“U.S.”) Securities and Exchange Commission (the “SEC”) on February 16, 2022, as amended by our Amendment No. 1 to Annual Report on Form 10-K/A, filed with the SEC on April 29, 2022 (our “Annual Report”) and “Part II, Item 1A—Risk Factors” in this Form 10-Q.</w:t>
      </w:r>
    </w:p>
    <w:p>
      <w:pPr>
        <w:spacing w:after="0" w:line="150" w:lineRule="exact"/>
        <w:rPr>
          <w:sz w:val="20"/>
          <w:szCs w:val="20"/>
          <w:color w:val="auto"/>
        </w:rPr>
      </w:pPr>
    </w:p>
    <w:p>
      <w:pPr>
        <w:ind w:right="20" w:firstLine="374"/>
        <w:spacing w:after="0" w:line="243" w:lineRule="auto"/>
        <w:rPr>
          <w:sz w:val="20"/>
          <w:szCs w:val="20"/>
          <w:color w:val="auto"/>
        </w:rPr>
      </w:pPr>
      <w:r>
        <w:rPr>
          <w:rFonts w:ascii="Times New Roman" w:cs="Times New Roman" w:eastAsia="Times New Roman" w:hAnsi="Times New Roman"/>
          <w:sz w:val="18"/>
          <w:szCs w:val="18"/>
          <w:color w:val="auto"/>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While we believe that any industry publications and third-party research, surveys and studies from which data is included in this Form 10-Q are reliable, we have not independently verified any such data. This Form 10-Q may also include data based on our own internal estimates and research. Our internal estimates and research have not been verified by any independent source and are necessarily subject to a high degree of uncertainty and risk due to a variety of factors, including those described in “Part I, Item 1A—Risk Factors” in our Annual Report and “Part II, Item 1A—Risk Factors” in this Form 10-Q. These and other factors could cause our results to differ materially from those expressed or implied in this Form 10-Q.</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Company and Product References</w:t>
      </w:r>
    </w:p>
    <w:p>
      <w:pPr>
        <w:spacing w:after="0" w:line="121"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7"/>
          <w:szCs w:val="17"/>
          <w:color w:val="auto"/>
        </w:rPr>
        <w:t>Alkermes plc is a fully-integrated,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We have a portfolio of proprietary commercial products focused on alcohol dependence, opioid dependence, schizophrenia and bipolar I disorder, and a pipeline of product candidates in development for neurodegenerative disorders and cancer. Use of terms such as “us,” “we,” “our,” “Alkermes” or the “Company” in this Form 10-Q is meant to refer to Alkermes plc and its consolidated subsidiaries. Except as otherwise suggested by the context, (a) references to “products” or “our products” in this Form 10-Q include our marketed products, marketed products using our proprietary technologies, our licensed products, our product candidates and product candidates using our proprietary technologies, (b) references to the “biopharmaceutical industry” in this Form 10-Q are intended to include reference to the “biotechnology industry” and/or the “pharmaceutical industry” and</w:t>
      </w:r>
    </w:p>
    <w:p>
      <w:pPr>
        <w:spacing w:after="0" w:line="5" w:lineRule="exact"/>
        <w:rPr>
          <w:sz w:val="20"/>
          <w:szCs w:val="20"/>
          <w:color w:val="auto"/>
        </w:rPr>
      </w:pPr>
    </w:p>
    <w:p>
      <w:pPr>
        <w:ind w:right="3840"/>
        <w:spacing w:after="0" w:line="360" w:lineRule="auto"/>
        <w:rPr>
          <w:sz w:val="20"/>
          <w:szCs w:val="20"/>
          <w:color w:val="auto"/>
        </w:rPr>
      </w:pPr>
      <w:r>
        <w:rPr>
          <w:rFonts w:ascii="Times New Roman" w:cs="Times New Roman" w:eastAsia="Times New Roman" w:hAnsi="Times New Roman"/>
          <w:sz w:val="18"/>
          <w:szCs w:val="18"/>
          <w:color w:val="auto"/>
        </w:rPr>
        <w:t xml:space="preserve">(c) references to “licensees” in this Form 10-Q are used interchangeably with references to “partners.” </w:t>
      </w:r>
      <w:r>
        <w:rPr>
          <w:rFonts w:ascii="Times New Roman" w:cs="Times New Roman" w:eastAsia="Times New Roman" w:hAnsi="Times New Roman"/>
          <w:sz w:val="18"/>
          <w:szCs w:val="18"/>
          <w:b w:val="1"/>
          <w:bCs w:val="1"/>
          <w:color w:val="auto"/>
        </w:rPr>
        <w:t>Note Regarding Trademarks</w:t>
      </w:r>
    </w:p>
    <w:p>
      <w:pPr>
        <w:ind w:right="680" w:firstLine="374"/>
        <w:spacing w:after="0" w:line="231" w:lineRule="auto"/>
        <w:rPr>
          <w:sz w:val="20"/>
          <w:szCs w:val="20"/>
          <w:color w:val="auto"/>
        </w:rPr>
      </w:pPr>
      <w:r>
        <w:rPr>
          <w:rFonts w:ascii="Times New Roman" w:cs="Times New Roman" w:eastAsia="Times New Roman" w:hAnsi="Times New Roman"/>
          <w:sz w:val="18"/>
          <w:szCs w:val="18"/>
          <w:color w:val="auto"/>
        </w:rPr>
        <w:t>We are the owner of various U.S. federal trademark registrations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other trademarks (“</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including ALKERMES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ARISTADA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ARISTADA INITIO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LinkeRx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LYBALVI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NanoCrystal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VIVITROL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firstLine="374"/>
        <w:spacing w:after="0" w:line="215" w:lineRule="auto"/>
        <w:rPr>
          <w:sz w:val="20"/>
          <w:szCs w:val="20"/>
          <w:color w:val="auto"/>
        </w:rPr>
      </w:pPr>
      <w:r>
        <w:rPr>
          <w:rFonts w:ascii="Times New Roman" w:cs="Times New Roman" w:eastAsia="Times New Roman" w:hAnsi="Times New Roman"/>
          <w:sz w:val="17"/>
          <w:szCs w:val="17"/>
          <w:color w:val="auto"/>
        </w:rPr>
        <w:t>The following are trademarks of the respective companies listed: AMPYRA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—Acorda Therapeutics, Inc. (“Acorda”); BYANNLI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INVEGA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INVEGA HAFYERA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INVEGA SUSTENNA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INVEGA TRINZA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TREVICTA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XEPLION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and RISPERDAL CONSTA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—Johnson &amp; Johnson Corporation (or its affiliates);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—Merck Sharp &amp; Dohme Corp.; and VUMERITY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—Biogen MA Inc. (together with its affiliates, “Biogen”). Other trademarks, trade names and service marks appearing in this Form 10-Q are the property of their respective owners. Solely for convenience, the</w:t>
      </w:r>
    </w:p>
    <w:p>
      <w:pPr>
        <w:spacing w:after="0" w:line="3" w:lineRule="exact"/>
        <w:rPr>
          <w:sz w:val="20"/>
          <w:szCs w:val="20"/>
          <w:color w:val="auto"/>
        </w:rPr>
      </w:pPr>
    </w:p>
    <w:p>
      <w:pPr>
        <w:ind w:right="560"/>
        <w:spacing w:after="0" w:line="214" w:lineRule="auto"/>
        <w:rPr>
          <w:sz w:val="20"/>
          <w:szCs w:val="20"/>
          <w:color w:val="auto"/>
        </w:rPr>
      </w:pPr>
      <w:r>
        <w:rPr>
          <w:rFonts w:ascii="Times New Roman" w:cs="Times New Roman" w:eastAsia="Times New Roman" w:hAnsi="Times New Roman"/>
          <w:sz w:val="18"/>
          <w:szCs w:val="18"/>
          <w:color w:val="auto"/>
        </w:rPr>
        <w:t xml:space="preserve">trademarks and trade names in this Form 10-Q may be referred to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69"/>
        </w:trPr>
        <w:tc>
          <w:tcPr>
            <w:tcW w:w="7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175"/>
        </w:trPr>
        <w:tc>
          <w:tcPr>
            <w:tcW w:w="7480" w:type="dxa"/>
            <w:vAlign w:val="bottom"/>
            <w:shd w:val="clear" w:color="auto" w:fill="CFF0FC"/>
          </w:tcPr>
          <w:p>
            <w:pPr>
              <w:ind w:left="34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263,957</w:t>
            </w:r>
          </w:p>
        </w:tc>
        <w:tc>
          <w:tcPr>
            <w:tcW w:w="3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337,544</w:t>
            </w:r>
          </w:p>
        </w:tc>
        <w:tc>
          <w:tcPr>
            <w:tcW w:w="0" w:type="dxa"/>
            <w:vAlign w:val="bottom"/>
          </w:tcPr>
          <w:p>
            <w:pPr>
              <w:spacing w:after="0"/>
              <w:rPr>
                <w:sz w:val="1"/>
                <w:szCs w:val="1"/>
                <w:color w:val="auto"/>
              </w:rPr>
            </w:pPr>
          </w:p>
        </w:tc>
      </w:tr>
      <w:tr>
        <w:trPr>
          <w:trHeight w:val="176"/>
        </w:trPr>
        <w:tc>
          <w:tcPr>
            <w:tcW w:w="7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Receivables, net</w:t>
            </w:r>
          </w:p>
        </w:tc>
        <w:tc>
          <w:tcPr>
            <w:tcW w:w="160" w:type="dxa"/>
            <w:vAlign w:val="bottom"/>
          </w:tcPr>
          <w:p>
            <w:pPr>
              <w:spacing w:after="0"/>
              <w:rPr>
                <w:sz w:val="15"/>
                <w:szCs w:val="15"/>
                <w:color w:val="auto"/>
              </w:rPr>
            </w:pP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257,173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313,193</w:t>
            </w:r>
          </w:p>
        </w:tc>
        <w:tc>
          <w:tcPr>
            <w:tcW w:w="0" w:type="dxa"/>
            <w:vAlign w:val="bottom"/>
          </w:tcPr>
          <w:p>
            <w:pPr>
              <w:spacing w:after="0"/>
              <w:rPr>
                <w:sz w:val="1"/>
                <w:szCs w:val="1"/>
                <w:color w:val="auto"/>
              </w:rPr>
            </w:pPr>
          </w:p>
        </w:tc>
      </w:tr>
      <w:tr>
        <w:trPr>
          <w:trHeight w:val="17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Investments—short-term</w:t>
            </w:r>
          </w:p>
        </w:tc>
        <w:tc>
          <w:tcPr>
            <w:tcW w:w="16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316,225</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198,767</w:t>
            </w:r>
          </w:p>
        </w:tc>
        <w:tc>
          <w:tcPr>
            <w:tcW w:w="0" w:type="dxa"/>
            <w:vAlign w:val="bottom"/>
          </w:tcPr>
          <w:p>
            <w:pPr>
              <w:spacing w:after="0"/>
              <w:rPr>
                <w:sz w:val="1"/>
                <w:szCs w:val="1"/>
                <w:color w:val="auto"/>
              </w:rPr>
            </w:pPr>
          </w:p>
        </w:tc>
      </w:tr>
      <w:tr>
        <w:trPr>
          <w:trHeight w:val="175"/>
        </w:trPr>
        <w:tc>
          <w:tcPr>
            <w:tcW w:w="7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Inventory</w:t>
            </w:r>
          </w:p>
        </w:tc>
        <w:tc>
          <w:tcPr>
            <w:tcW w:w="160" w:type="dxa"/>
            <w:vAlign w:val="bottom"/>
          </w:tcPr>
          <w:p>
            <w:pPr>
              <w:spacing w:after="0"/>
              <w:rPr>
                <w:sz w:val="15"/>
                <w:szCs w:val="15"/>
                <w:color w:val="auto"/>
              </w:rPr>
            </w:pP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166,296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150,335</w:t>
            </w:r>
          </w:p>
        </w:tc>
        <w:tc>
          <w:tcPr>
            <w:tcW w:w="0" w:type="dxa"/>
            <w:vAlign w:val="bottom"/>
          </w:tcPr>
          <w:p>
            <w:pPr>
              <w:spacing w:after="0"/>
              <w:rPr>
                <w:sz w:val="1"/>
                <w:szCs w:val="1"/>
                <w:color w:val="auto"/>
              </w:rPr>
            </w:pPr>
          </w:p>
        </w:tc>
      </w:tr>
      <w:tr>
        <w:trPr>
          <w:trHeight w:val="17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Contract assets</w:t>
            </w:r>
          </w:p>
        </w:tc>
        <w:tc>
          <w:tcPr>
            <w:tcW w:w="16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10,105</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13,363</w:t>
            </w:r>
          </w:p>
        </w:tc>
        <w:tc>
          <w:tcPr>
            <w:tcW w:w="0" w:type="dxa"/>
            <w:vAlign w:val="bottom"/>
          </w:tcPr>
          <w:p>
            <w:pPr>
              <w:spacing w:after="0"/>
              <w:rPr>
                <w:sz w:val="1"/>
                <w:szCs w:val="1"/>
                <w:color w:val="auto"/>
              </w:rPr>
            </w:pPr>
          </w:p>
        </w:tc>
      </w:tr>
      <w:tr>
        <w:trPr>
          <w:trHeight w:val="175"/>
        </w:trPr>
        <w:tc>
          <w:tcPr>
            <w:tcW w:w="7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40,041</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48,967</w:t>
            </w:r>
          </w:p>
        </w:tc>
        <w:tc>
          <w:tcPr>
            <w:tcW w:w="0" w:type="dxa"/>
            <w:vAlign w:val="bottom"/>
          </w:tcPr>
          <w:p>
            <w:pPr>
              <w:spacing w:after="0"/>
              <w:rPr>
                <w:sz w:val="1"/>
                <w:szCs w:val="1"/>
                <w:color w:val="auto"/>
              </w:rPr>
            </w:pPr>
          </w:p>
        </w:tc>
      </w:tr>
      <w:tr>
        <w:trPr>
          <w:trHeight w:val="169"/>
        </w:trPr>
        <w:tc>
          <w:tcPr>
            <w:tcW w:w="74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Borders>
              <w:bottom w:val="single" w:sz="8" w:color="auto"/>
            </w:tcBorders>
            <w:shd w:val="clear" w:color="auto" w:fill="CFF0FC"/>
          </w:tcPr>
          <w:p>
            <w:pPr>
              <w:spacing w:after="0"/>
              <w:rPr>
                <w:sz w:val="14"/>
                <w:szCs w:val="14"/>
                <w:color w:val="auto"/>
              </w:rPr>
            </w:pPr>
          </w:p>
        </w:tc>
        <w:tc>
          <w:tcPr>
            <w:tcW w:w="16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1,053,797</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6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1,062,169</w:t>
            </w:r>
          </w:p>
        </w:tc>
        <w:tc>
          <w:tcPr>
            <w:tcW w:w="0" w:type="dxa"/>
            <w:vAlign w:val="bottom"/>
          </w:tcPr>
          <w:p>
            <w:pPr>
              <w:spacing w:after="0"/>
              <w:rPr>
                <w:sz w:val="1"/>
                <w:szCs w:val="1"/>
                <w:color w:val="auto"/>
              </w:rPr>
            </w:pPr>
          </w:p>
        </w:tc>
      </w:tr>
      <w:tr>
        <w:trPr>
          <w:trHeight w:val="169"/>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60" w:type="dxa"/>
            <w:vAlign w:val="bottom"/>
          </w:tcPr>
          <w:p>
            <w:pPr>
              <w:spacing w:after="0"/>
              <w:rPr>
                <w:sz w:val="14"/>
                <w:szCs w:val="14"/>
                <w:color w:val="auto"/>
              </w:rPr>
            </w:pP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326,350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341,054</w:t>
            </w:r>
          </w:p>
        </w:tc>
        <w:tc>
          <w:tcPr>
            <w:tcW w:w="0" w:type="dxa"/>
            <w:vAlign w:val="bottom"/>
          </w:tcPr>
          <w:p>
            <w:pPr>
              <w:spacing w:after="0"/>
              <w:rPr>
                <w:sz w:val="1"/>
                <w:szCs w:val="1"/>
                <w:color w:val="auto"/>
              </w:rPr>
            </w:pPr>
          </w:p>
        </w:tc>
      </w:tr>
      <w:tr>
        <w:trPr>
          <w:trHeight w:val="175"/>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INVESTMENTS—LONG-TERM</w:t>
            </w:r>
          </w:p>
        </w:tc>
        <w:tc>
          <w:tcPr>
            <w:tcW w:w="16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166,928</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229,430</w:t>
            </w:r>
          </w:p>
        </w:tc>
        <w:tc>
          <w:tcPr>
            <w:tcW w:w="0" w:type="dxa"/>
            <w:vAlign w:val="bottom"/>
          </w:tcPr>
          <w:p>
            <w:pPr>
              <w:spacing w:after="0"/>
              <w:rPr>
                <w:sz w:val="1"/>
                <w:szCs w:val="1"/>
                <w:color w:val="auto"/>
              </w:rPr>
            </w:pPr>
          </w:p>
        </w:tc>
      </w:tr>
      <w:tr>
        <w:trPr>
          <w:trHeight w:val="176"/>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160" w:type="dxa"/>
            <w:vAlign w:val="bottom"/>
          </w:tcPr>
          <w:p>
            <w:pPr>
              <w:spacing w:after="0"/>
              <w:rPr>
                <w:sz w:val="15"/>
                <w:szCs w:val="15"/>
                <w:color w:val="auto"/>
              </w:rPr>
            </w:pP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106,980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115,627</w:t>
            </w:r>
          </w:p>
        </w:tc>
        <w:tc>
          <w:tcPr>
            <w:tcW w:w="0" w:type="dxa"/>
            <w:vAlign w:val="bottom"/>
          </w:tcPr>
          <w:p>
            <w:pPr>
              <w:spacing w:after="0"/>
              <w:rPr>
                <w:sz w:val="1"/>
                <w:szCs w:val="1"/>
                <w:color w:val="auto"/>
              </w:rPr>
            </w:pPr>
          </w:p>
        </w:tc>
      </w:tr>
      <w:tr>
        <w:trPr>
          <w:trHeight w:val="17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46,845</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74,043</w:t>
            </w:r>
          </w:p>
        </w:tc>
        <w:tc>
          <w:tcPr>
            <w:tcW w:w="0" w:type="dxa"/>
            <w:vAlign w:val="bottom"/>
          </w:tcPr>
          <w:p>
            <w:pPr>
              <w:spacing w:after="0"/>
              <w:rPr>
                <w:sz w:val="1"/>
                <w:szCs w:val="1"/>
                <w:color w:val="auto"/>
              </w:rPr>
            </w:pPr>
          </w:p>
        </w:tc>
      </w:tr>
      <w:tr>
        <w:trPr>
          <w:trHeight w:val="17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Pr>
          <w:p>
            <w:pPr>
              <w:spacing w:after="0"/>
              <w:rPr>
                <w:sz w:val="15"/>
                <w:szCs w:val="15"/>
                <w:color w:val="auto"/>
              </w:rPr>
            </w:pP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92,873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92,873</w:t>
            </w:r>
          </w:p>
        </w:tc>
        <w:tc>
          <w:tcPr>
            <w:tcW w:w="0" w:type="dxa"/>
            <w:vAlign w:val="bottom"/>
          </w:tcPr>
          <w:p>
            <w:pPr>
              <w:spacing w:after="0"/>
              <w:rPr>
                <w:sz w:val="1"/>
                <w:szCs w:val="1"/>
                <w:color w:val="auto"/>
              </w:rPr>
            </w:pPr>
          </w:p>
        </w:tc>
      </w:tr>
      <w:tr>
        <w:trPr>
          <w:trHeight w:val="17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6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137,149</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81,833</w:t>
            </w:r>
          </w:p>
        </w:tc>
        <w:tc>
          <w:tcPr>
            <w:tcW w:w="0" w:type="dxa"/>
            <w:vAlign w:val="bottom"/>
          </w:tcPr>
          <w:p>
            <w:pPr>
              <w:spacing w:after="0"/>
              <w:rPr>
                <w:sz w:val="1"/>
                <w:szCs w:val="1"/>
                <w:color w:val="auto"/>
              </w:rPr>
            </w:pPr>
          </w:p>
        </w:tc>
      </w:tr>
      <w:tr>
        <w:trPr>
          <w:trHeight w:val="17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10,977</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27,455</w:t>
            </w:r>
          </w:p>
        </w:tc>
        <w:tc>
          <w:tcPr>
            <w:tcW w:w="0" w:type="dxa"/>
            <w:vAlign w:val="bottom"/>
          </w:tcPr>
          <w:p>
            <w:pPr>
              <w:spacing w:after="0"/>
              <w:rPr>
                <w:sz w:val="1"/>
                <w:szCs w:val="1"/>
                <w:color w:val="auto"/>
              </w:rPr>
            </w:pPr>
          </w:p>
        </w:tc>
      </w:tr>
      <w:tr>
        <w:trPr>
          <w:trHeight w:val="209"/>
        </w:trPr>
        <w:tc>
          <w:tcPr>
            <w:tcW w:w="748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1,941,899</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2,024,484</w:t>
            </w:r>
          </w:p>
        </w:tc>
        <w:tc>
          <w:tcPr>
            <w:tcW w:w="0" w:type="dxa"/>
            <w:vAlign w:val="bottom"/>
          </w:tcPr>
          <w:p>
            <w:pPr>
              <w:spacing w:after="0"/>
              <w:rPr>
                <w:sz w:val="1"/>
                <w:szCs w:val="1"/>
                <w:color w:val="auto"/>
              </w:rPr>
            </w:pPr>
          </w:p>
        </w:tc>
      </w:tr>
      <w:tr>
        <w:trPr>
          <w:trHeight w:val="156"/>
        </w:trPr>
        <w:tc>
          <w:tcPr>
            <w:tcW w:w="7480" w:type="dxa"/>
            <w:vAlign w:val="bottom"/>
          </w:tcPr>
          <w:p>
            <w:pPr>
              <w:ind w:left="210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211,177</w:t>
            </w: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208,491</w:t>
            </w:r>
          </w:p>
        </w:tc>
        <w:tc>
          <w:tcPr>
            <w:tcW w:w="0" w:type="dxa"/>
            <w:vAlign w:val="bottom"/>
          </w:tcPr>
          <w:p>
            <w:pPr>
              <w:spacing w:after="0"/>
              <w:rPr>
                <w:sz w:val="1"/>
                <w:szCs w:val="1"/>
                <w:color w:val="auto"/>
              </w:rPr>
            </w:pPr>
          </w:p>
        </w:tc>
      </w:tr>
      <w:tr>
        <w:trPr>
          <w:trHeight w:val="175"/>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sales discounts, allowances and reserves</w:t>
            </w:r>
          </w:p>
        </w:tc>
        <w:tc>
          <w:tcPr>
            <w:tcW w:w="16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235,640</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237,216</w:t>
            </w:r>
          </w:p>
        </w:tc>
        <w:tc>
          <w:tcPr>
            <w:tcW w:w="0" w:type="dxa"/>
            <w:vAlign w:val="bottom"/>
          </w:tcPr>
          <w:p>
            <w:pPr>
              <w:spacing w:after="0"/>
              <w:rPr>
                <w:sz w:val="1"/>
                <w:szCs w:val="1"/>
                <w:color w:val="auto"/>
              </w:rPr>
            </w:pPr>
          </w:p>
        </w:tc>
      </w:tr>
      <w:tr>
        <w:trPr>
          <w:trHeight w:val="176"/>
        </w:trPr>
        <w:tc>
          <w:tcPr>
            <w:tcW w:w="7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liabilities—short-term</w:t>
            </w:r>
          </w:p>
        </w:tc>
        <w:tc>
          <w:tcPr>
            <w:tcW w:w="160" w:type="dxa"/>
            <w:vAlign w:val="bottom"/>
          </w:tcPr>
          <w:p>
            <w:pPr>
              <w:spacing w:after="0"/>
              <w:rPr>
                <w:sz w:val="15"/>
                <w:szCs w:val="15"/>
                <w:color w:val="auto"/>
              </w:rPr>
            </w:pP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15,756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16,240</w:t>
            </w:r>
          </w:p>
        </w:tc>
        <w:tc>
          <w:tcPr>
            <w:tcW w:w="0" w:type="dxa"/>
            <w:vAlign w:val="bottom"/>
          </w:tcPr>
          <w:p>
            <w:pPr>
              <w:spacing w:after="0"/>
              <w:rPr>
                <w:sz w:val="1"/>
                <w:szCs w:val="1"/>
                <w:color w:val="auto"/>
              </w:rPr>
            </w:pPr>
          </w:p>
        </w:tc>
      </w:tr>
      <w:tr>
        <w:trPr>
          <w:trHeight w:val="175"/>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Contract liabilities—short-term</w:t>
            </w:r>
          </w:p>
        </w:tc>
        <w:tc>
          <w:tcPr>
            <w:tcW w:w="16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3,982</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6,339</w:t>
            </w:r>
          </w:p>
        </w:tc>
        <w:tc>
          <w:tcPr>
            <w:tcW w:w="0" w:type="dxa"/>
            <w:vAlign w:val="bottom"/>
          </w:tcPr>
          <w:p>
            <w:pPr>
              <w:spacing w:after="0"/>
              <w:rPr>
                <w:sz w:val="1"/>
                <w:szCs w:val="1"/>
                <w:color w:val="auto"/>
              </w:rPr>
            </w:pPr>
          </w:p>
        </w:tc>
      </w:tr>
      <w:tr>
        <w:trPr>
          <w:trHeight w:val="176"/>
        </w:trPr>
        <w:tc>
          <w:tcPr>
            <w:tcW w:w="7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169"/>
        </w:trPr>
        <w:tc>
          <w:tcPr>
            <w:tcW w:w="74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Borders>
              <w:bottom w:val="single" w:sz="8" w:color="auto"/>
            </w:tcBorders>
            <w:shd w:val="clear" w:color="auto" w:fill="CFF0FC"/>
          </w:tcPr>
          <w:p>
            <w:pPr>
              <w:spacing w:after="0"/>
              <w:rPr>
                <w:sz w:val="14"/>
                <w:szCs w:val="14"/>
                <w:color w:val="auto"/>
              </w:rPr>
            </w:pPr>
          </w:p>
        </w:tc>
        <w:tc>
          <w:tcPr>
            <w:tcW w:w="16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469,555</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6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471,286</w:t>
            </w:r>
          </w:p>
        </w:tc>
        <w:tc>
          <w:tcPr>
            <w:tcW w:w="0" w:type="dxa"/>
            <w:vAlign w:val="bottom"/>
          </w:tcPr>
          <w:p>
            <w:pPr>
              <w:spacing w:after="0"/>
              <w:rPr>
                <w:sz w:val="1"/>
                <w:szCs w:val="1"/>
                <w:color w:val="auto"/>
              </w:rPr>
            </w:pPr>
          </w:p>
        </w:tc>
      </w:tr>
      <w:tr>
        <w:trPr>
          <w:trHeight w:val="169"/>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60" w:type="dxa"/>
            <w:vAlign w:val="bottom"/>
          </w:tcPr>
          <w:p>
            <w:pPr>
              <w:spacing w:after="0"/>
              <w:rPr>
                <w:sz w:val="14"/>
                <w:szCs w:val="14"/>
                <w:color w:val="auto"/>
              </w:rPr>
            </w:pP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290,904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292,804</w:t>
            </w:r>
          </w:p>
        </w:tc>
        <w:tc>
          <w:tcPr>
            <w:tcW w:w="0" w:type="dxa"/>
            <w:vAlign w:val="bottom"/>
          </w:tcPr>
          <w:p>
            <w:pPr>
              <w:spacing w:after="0"/>
              <w:rPr>
                <w:sz w:val="1"/>
                <w:szCs w:val="1"/>
                <w:color w:val="auto"/>
              </w:rPr>
            </w:pPr>
          </w:p>
        </w:tc>
      </w:tr>
      <w:tr>
        <w:trPr>
          <w:trHeight w:val="175"/>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LEASE LIABILITIES—LONG-TERM</w:t>
            </w:r>
          </w:p>
        </w:tc>
        <w:tc>
          <w:tcPr>
            <w:tcW w:w="16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95,731</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104,162</w:t>
            </w:r>
          </w:p>
        </w:tc>
        <w:tc>
          <w:tcPr>
            <w:tcW w:w="0" w:type="dxa"/>
            <w:vAlign w:val="bottom"/>
          </w:tcPr>
          <w:p>
            <w:pPr>
              <w:spacing w:after="0"/>
              <w:rPr>
                <w:sz w:val="1"/>
                <w:szCs w:val="1"/>
                <w:color w:val="auto"/>
              </w:rPr>
            </w:pPr>
          </w:p>
        </w:tc>
      </w:tr>
      <w:tr>
        <w:trPr>
          <w:trHeight w:val="175"/>
        </w:trPr>
        <w:tc>
          <w:tcPr>
            <w:tcW w:w="7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42,855</w:t>
            </w:r>
          </w:p>
        </w:tc>
        <w:tc>
          <w:tcPr>
            <w:tcW w:w="1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43,648</w:t>
            </w:r>
          </w:p>
        </w:tc>
        <w:tc>
          <w:tcPr>
            <w:tcW w:w="0" w:type="dxa"/>
            <w:vAlign w:val="bottom"/>
          </w:tcPr>
          <w:p>
            <w:pPr>
              <w:spacing w:after="0"/>
              <w:rPr>
                <w:sz w:val="1"/>
                <w:szCs w:val="1"/>
                <w:color w:val="auto"/>
              </w:rPr>
            </w:pPr>
          </w:p>
        </w:tc>
      </w:tr>
      <w:tr>
        <w:trPr>
          <w:trHeight w:val="169"/>
        </w:trPr>
        <w:tc>
          <w:tcPr>
            <w:tcW w:w="74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shd w:val="clear" w:color="auto" w:fill="CFF0FC"/>
          </w:tcPr>
          <w:p>
            <w:pPr>
              <w:spacing w:after="0"/>
              <w:rPr>
                <w:sz w:val="14"/>
                <w:szCs w:val="14"/>
                <w:color w:val="auto"/>
              </w:rPr>
            </w:pPr>
          </w:p>
        </w:tc>
        <w:tc>
          <w:tcPr>
            <w:tcW w:w="16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899,045</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6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911,900</w:t>
            </w:r>
          </w:p>
        </w:tc>
        <w:tc>
          <w:tcPr>
            <w:tcW w:w="0" w:type="dxa"/>
            <w:vAlign w:val="bottom"/>
          </w:tcPr>
          <w:p>
            <w:pPr>
              <w:spacing w:after="0"/>
              <w:rPr>
                <w:sz w:val="1"/>
                <w:szCs w:val="1"/>
                <w:color w:val="auto"/>
              </w:rPr>
            </w:pPr>
          </w:p>
        </w:tc>
      </w:tr>
      <w:tr>
        <w:trPr>
          <w:trHeight w:val="169"/>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CONTINGENT LIABILITIES (Note 15)</w:t>
            </w: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4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Preferred shares, par value, $0.01 per share; 50,000,000 shares authorized; zero issued and outstanding at September 30,</w:t>
            </w:r>
          </w:p>
        </w:tc>
        <w:tc>
          <w:tcPr>
            <w:tcW w:w="160" w:type="dxa"/>
            <w:vAlign w:val="bottom"/>
          </w:tcPr>
          <w:p>
            <w:pPr>
              <w:spacing w:after="0"/>
              <w:rPr>
                <w:sz w:val="12"/>
                <w:szCs w:val="12"/>
                <w:color w:val="auto"/>
              </w:rPr>
            </w:pPr>
          </w:p>
        </w:tc>
        <w:tc>
          <w:tcPr>
            <w:tcW w:w="1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2022 and December 31, 2021, respectively</w:t>
            </w:r>
          </w:p>
        </w:tc>
        <w:tc>
          <w:tcPr>
            <w:tcW w:w="16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48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Ordinary shares, par value, $0.01 per share; 450,000,000 shares authorized; 168,864,804 and 165,790,549 shares issued;</w:t>
            </w:r>
          </w:p>
        </w:tc>
        <w:tc>
          <w:tcPr>
            <w:tcW w:w="160" w:type="dxa"/>
            <w:vAlign w:val="bottom"/>
            <w:shd w:val="clear" w:color="auto" w:fill="CFF0FC"/>
          </w:tcPr>
          <w:p>
            <w:pPr>
              <w:spacing w:after="0"/>
              <w:rPr>
                <w:sz w:val="12"/>
                <w:szCs w:val="12"/>
                <w:color w:val="auto"/>
              </w:rPr>
            </w:pPr>
          </w:p>
        </w:tc>
        <w:tc>
          <w:tcPr>
            <w:tcW w:w="16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1,689</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1,658</w:t>
            </w:r>
          </w:p>
        </w:tc>
        <w:tc>
          <w:tcPr>
            <w:tcW w:w="0" w:type="dxa"/>
            <w:vAlign w:val="bottom"/>
          </w:tcPr>
          <w:p>
            <w:pPr>
              <w:spacing w:after="0"/>
              <w:rPr>
                <w:sz w:val="1"/>
                <w:szCs w:val="1"/>
                <w:color w:val="auto"/>
              </w:rPr>
            </w:pPr>
          </w:p>
        </w:tc>
      </w:tr>
      <w:tr>
        <w:trPr>
          <w:trHeight w:val="185"/>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164,303,229 and 161,937,327 shares outstanding at September 30, 2022 and December 31, 2021, respectively</w:t>
            </w:r>
          </w:p>
        </w:tc>
        <w:tc>
          <w:tcPr>
            <w:tcW w:w="160" w:type="dxa"/>
            <w:vAlign w:val="bottom"/>
            <w:shd w:val="clear" w:color="auto" w:fill="CFF0FC"/>
          </w:tcPr>
          <w:p>
            <w:pPr>
              <w:spacing w:after="0"/>
              <w:rPr>
                <w:sz w:val="16"/>
                <w:szCs w:val="16"/>
                <w:color w:val="auto"/>
              </w:rPr>
            </w:pPr>
          </w:p>
        </w:tc>
        <w:tc>
          <w:tcPr>
            <w:tcW w:w="166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Treasury shares, at cost (4,561,575 and 3,853,222 shares at September 30, 2022 and December 31, 2021, respectively)</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(160,561 )</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(142,658 )</w:t>
            </w:r>
          </w:p>
        </w:tc>
        <w:tc>
          <w:tcPr>
            <w:tcW w:w="0" w:type="dxa"/>
            <w:vAlign w:val="bottom"/>
          </w:tcPr>
          <w:p>
            <w:pPr>
              <w:spacing w:after="0"/>
              <w:rPr>
                <w:sz w:val="1"/>
                <w:szCs w:val="1"/>
                <w:color w:val="auto"/>
              </w:rPr>
            </w:pPr>
          </w:p>
        </w:tc>
      </w:tr>
      <w:tr>
        <w:trPr>
          <w:trHeight w:val="175"/>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2,885,594</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2,798,325</w:t>
            </w:r>
          </w:p>
        </w:tc>
        <w:tc>
          <w:tcPr>
            <w:tcW w:w="0" w:type="dxa"/>
            <w:vAlign w:val="bottom"/>
          </w:tcPr>
          <w:p>
            <w:pPr>
              <w:spacing w:after="0"/>
              <w:rPr>
                <w:sz w:val="1"/>
                <w:szCs w:val="1"/>
                <w:color w:val="auto"/>
              </w:rPr>
            </w:pPr>
          </w:p>
        </w:tc>
      </w:tr>
      <w:tr>
        <w:trPr>
          <w:trHeight w:val="175"/>
        </w:trPr>
        <w:tc>
          <w:tcPr>
            <w:tcW w:w="7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(12,837 )</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(3,723 )</w:t>
            </w:r>
          </w:p>
        </w:tc>
        <w:tc>
          <w:tcPr>
            <w:tcW w:w="0" w:type="dxa"/>
            <w:vAlign w:val="bottom"/>
          </w:tcPr>
          <w:p>
            <w:pPr>
              <w:spacing w:after="0"/>
              <w:rPr>
                <w:sz w:val="1"/>
                <w:szCs w:val="1"/>
                <w:color w:val="auto"/>
              </w:rPr>
            </w:pPr>
          </w:p>
        </w:tc>
      </w:tr>
      <w:tr>
        <w:trPr>
          <w:trHeight w:val="175"/>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Borders>
              <w:bottom w:val="single" w:sz="8" w:color="auto"/>
            </w:tcBorders>
            <w:shd w:val="clear" w:color="auto" w:fill="CFF0FC"/>
          </w:tcPr>
          <w:p>
            <w:pPr>
              <w:spacing w:after="0"/>
              <w:rPr>
                <w:sz w:val="15"/>
                <w:szCs w:val="15"/>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(1,671,031 )</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(1,541,018 )</w:t>
            </w:r>
          </w:p>
        </w:tc>
        <w:tc>
          <w:tcPr>
            <w:tcW w:w="0" w:type="dxa"/>
            <w:vAlign w:val="bottom"/>
          </w:tcPr>
          <w:p>
            <w:pPr>
              <w:spacing w:after="0"/>
              <w:rPr>
                <w:sz w:val="1"/>
                <w:szCs w:val="1"/>
                <w:color w:val="auto"/>
              </w:rPr>
            </w:pPr>
          </w:p>
        </w:tc>
      </w:tr>
      <w:tr>
        <w:trPr>
          <w:trHeight w:val="169"/>
        </w:trPr>
        <w:tc>
          <w:tcPr>
            <w:tcW w:w="7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1,042,854</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1,112,584</w:t>
            </w:r>
          </w:p>
        </w:tc>
        <w:tc>
          <w:tcPr>
            <w:tcW w:w="0" w:type="dxa"/>
            <w:vAlign w:val="bottom"/>
          </w:tcPr>
          <w:p>
            <w:pPr>
              <w:spacing w:after="0"/>
              <w:rPr>
                <w:sz w:val="1"/>
                <w:szCs w:val="1"/>
                <w:color w:val="auto"/>
              </w:rPr>
            </w:pPr>
          </w:p>
        </w:tc>
      </w:tr>
      <w:tr>
        <w:trPr>
          <w:trHeight w:val="209"/>
        </w:trPr>
        <w:tc>
          <w:tcPr>
            <w:tcW w:w="748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LIABILITIES AND SHAREHOLDERS’ EQUITY</w:t>
            </w:r>
          </w:p>
        </w:tc>
        <w:tc>
          <w:tcPr>
            <w:tcW w:w="1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1,941,899</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2,024,484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-3651250</wp:posOffset>
            </wp:positionV>
            <wp:extent cx="10287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-2742565</wp:posOffset>
            </wp:positionV>
            <wp:extent cx="10287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-1816735</wp:posOffset>
            </wp:positionV>
            <wp:extent cx="10287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-1486535</wp:posOffset>
            </wp:positionV>
            <wp:extent cx="7132320" cy="2527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273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-265430</wp:posOffset>
            </wp:positionV>
            <wp:extent cx="1028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102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102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5" w:name="page6"/>
    <w:bookmarkEnd w:id="5"/>
    <w:p>
      <w:pPr>
        <w:ind w:left="4040"/>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ind w:left="1620"/>
        <w:spacing w:after="0" w:line="210"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9"/>
        </w:trPr>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 amounts)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199,380</w:t>
            </w:r>
          </w:p>
        </w:tc>
        <w:tc>
          <w:tcPr>
            <w:tcW w:w="5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157,737</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561,435</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448,508</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Manufacturing and royalty revenues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52,941</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136,294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243,437</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398,435</w:t>
            </w:r>
          </w:p>
        </w:tc>
        <w:tc>
          <w:tcPr>
            <w:tcW w:w="0" w:type="dxa"/>
            <w:vAlign w:val="bottom"/>
          </w:tcPr>
          <w:p>
            <w:pPr>
              <w:spacing w:after="0"/>
              <w:rPr>
                <w:sz w:val="1"/>
                <w:szCs w:val="1"/>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2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5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revenue</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09"/>
        </w:trPr>
        <w:tc>
          <w:tcPr>
            <w:tcW w:w="5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252,357</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294,141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807,121</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849,288</w:t>
            </w:r>
          </w:p>
        </w:tc>
        <w:tc>
          <w:tcPr>
            <w:tcW w:w="0" w:type="dxa"/>
            <w:vAlign w:val="bottom"/>
          </w:tcPr>
          <w:p>
            <w:pPr>
              <w:spacing w:after="0"/>
              <w:rPr>
                <w:sz w:val="1"/>
                <w:szCs w:val="1"/>
                <w:color w:val="auto"/>
              </w:rPr>
            </w:pPr>
          </w:p>
        </w:tc>
      </w:tr>
      <w:tr>
        <w:trPr>
          <w:trHeight w:val="210"/>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7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Cost of goods manufactured and sold (exclusive of amortization of</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intangible assets shown below)</w:t>
            </w:r>
          </w:p>
        </w:tc>
        <w:tc>
          <w:tcPr>
            <w:tcW w:w="26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50,625</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49,561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164,144</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143,705</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100,430</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118,411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289,256</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308,152</w:t>
            </w:r>
          </w:p>
        </w:tc>
        <w:tc>
          <w:tcPr>
            <w:tcW w:w="0" w:type="dxa"/>
            <w:vAlign w:val="bottom"/>
          </w:tcPr>
          <w:p>
            <w:pPr>
              <w:spacing w:after="0"/>
              <w:rPr>
                <w:sz w:val="1"/>
                <w:szCs w:val="1"/>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152,777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136,213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448,206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400,569</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9,166</w:t>
            </w:r>
          </w:p>
        </w:tc>
        <w:tc>
          <w:tcPr>
            <w:tcW w:w="14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9,615</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27,198</w:t>
            </w:r>
          </w:p>
        </w:tc>
        <w:tc>
          <w:tcPr>
            <w:tcW w:w="14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28,532</w:t>
            </w:r>
          </w:p>
        </w:tc>
        <w:tc>
          <w:tcPr>
            <w:tcW w:w="0" w:type="dxa"/>
            <w:vAlign w:val="bottom"/>
          </w:tcPr>
          <w:p>
            <w:pPr>
              <w:spacing w:after="0"/>
              <w:rPr>
                <w:sz w:val="1"/>
                <w:szCs w:val="1"/>
                <w:color w:val="auto"/>
              </w:rPr>
            </w:pPr>
          </w:p>
        </w:tc>
      </w:tr>
      <w:tr>
        <w:trPr>
          <w:trHeight w:val="209"/>
        </w:trPr>
        <w:tc>
          <w:tcPr>
            <w:tcW w:w="5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312,998</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313,800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928,804</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880,958</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(60,641 )</w:t>
            </w: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(19,659 )</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(121,683 )</w:t>
            </w: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(31,670 )</w:t>
            </w:r>
          </w:p>
        </w:tc>
        <w:tc>
          <w:tcPr>
            <w:tcW w:w="0" w:type="dxa"/>
            <w:vAlign w:val="bottom"/>
          </w:tcPr>
          <w:p>
            <w:pPr>
              <w:spacing w:after="0"/>
              <w:rPr>
                <w:sz w:val="1"/>
                <w:szCs w:val="1"/>
                <w:color w:val="auto"/>
              </w:rPr>
            </w:pPr>
          </w:p>
        </w:tc>
      </w:tr>
      <w:tr>
        <w:trPr>
          <w:trHeight w:val="20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2,239</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3,708</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1,955</w:t>
            </w:r>
          </w:p>
        </w:tc>
        <w:tc>
          <w:tcPr>
            <w:tcW w:w="0" w:type="dxa"/>
            <w:vAlign w:val="bottom"/>
          </w:tcPr>
          <w:p>
            <w:pPr>
              <w:spacing w:after="0"/>
              <w:rPr>
                <w:sz w:val="1"/>
                <w:szCs w:val="1"/>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(3,552 )</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(8,271 )</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(8,814 )</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(3,553 )</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(5,195 )</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(21,750 )</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0" w:type="dxa"/>
            <w:vAlign w:val="bottom"/>
          </w:tcPr>
          <w:p>
            <w:pPr>
              <w:spacing w:after="0"/>
              <w:rPr>
                <w:sz w:val="1"/>
                <w:szCs w:val="1"/>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(1,861 )</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2,380</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(6,727 )</w:t>
            </w: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(6,876 )</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(23,933 )</w:t>
            </w: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(7,863 )</w:t>
            </w:r>
          </w:p>
        </w:tc>
        <w:tc>
          <w:tcPr>
            <w:tcW w:w="0" w:type="dxa"/>
            <w:vAlign w:val="bottom"/>
          </w:tcPr>
          <w:p>
            <w:pPr>
              <w:spacing w:after="0"/>
              <w:rPr>
                <w:sz w:val="1"/>
                <w:szCs w:val="1"/>
                <w:color w:val="auto"/>
              </w:rPr>
            </w:pPr>
          </w:p>
        </w:tc>
      </w:tr>
      <w:tr>
        <w:trPr>
          <w:trHeight w:val="21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(67,368 )</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(26,535 )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(145,616 )</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(39,533 )</w:t>
            </w:r>
          </w:p>
        </w:tc>
        <w:tc>
          <w:tcPr>
            <w:tcW w:w="0" w:type="dxa"/>
            <w:vAlign w:val="bottom"/>
          </w:tcPr>
          <w:p>
            <w:pPr>
              <w:spacing w:after="0"/>
              <w:rPr>
                <w:sz w:val="1"/>
                <w:szCs w:val="1"/>
                <w:color w:val="auto"/>
              </w:rPr>
            </w:pPr>
          </w:p>
        </w:tc>
      </w:tr>
      <w:tr>
        <w:trPr>
          <w:trHeight w:val="216"/>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(3,394 )</w:t>
            </w: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2,453</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(15,603 )</w:t>
            </w: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9,509</w:t>
            </w:r>
          </w:p>
        </w:tc>
        <w:tc>
          <w:tcPr>
            <w:tcW w:w="0" w:type="dxa"/>
            <w:vAlign w:val="bottom"/>
          </w:tcPr>
          <w:p>
            <w:pPr>
              <w:spacing w:after="0"/>
              <w:rPr>
                <w:sz w:val="1"/>
                <w:szCs w:val="1"/>
                <w:color w:val="auto"/>
              </w:rPr>
            </w:pPr>
          </w:p>
        </w:tc>
      </w:tr>
      <w:tr>
        <w:trPr>
          <w:trHeight w:val="20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(63,974 )</w:t>
            </w:r>
          </w:p>
        </w:tc>
        <w:tc>
          <w:tcPr>
            <w:tcW w:w="5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(28,988 )</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(130,013 )</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(49,042 )</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LOSS PER ORDINARY SHARE:</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(0.39 )</w:t>
            </w:r>
          </w:p>
        </w:tc>
        <w:tc>
          <w:tcPr>
            <w:tcW w:w="5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(0.18 )</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(0.79 )</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(0.31 )</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720" w:type="dxa"/>
            <w:vAlign w:val="bottom"/>
            <w:shd w:val="clear" w:color="auto" w:fill="CFF0FC"/>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 AVERAGE NUMBER OF ORDINARY SHARES</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164,282</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161,456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163,541</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160,642</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(63,974 )</w:t>
            </w:r>
          </w:p>
        </w:tc>
        <w:tc>
          <w:tcPr>
            <w:tcW w:w="5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(28,988 )</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(130,013 )</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(49,042 )</w:t>
            </w:r>
          </w:p>
        </w:tc>
        <w:tc>
          <w:tcPr>
            <w:tcW w:w="0" w:type="dxa"/>
            <w:vAlign w:val="bottom"/>
          </w:tcPr>
          <w:p>
            <w:pPr>
              <w:spacing w:after="0"/>
              <w:rPr>
                <w:sz w:val="1"/>
                <w:szCs w:val="1"/>
                <w:color w:val="auto"/>
              </w:rPr>
            </w:pPr>
          </w:p>
        </w:tc>
      </w:tr>
      <w:tr>
        <w:trPr>
          <w:trHeight w:val="171"/>
        </w:trPr>
        <w:tc>
          <w:tcPr>
            <w:tcW w:w="57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Holding loss, net of a tax benefit of $188, $72, $1,242 and $325,</w:t>
            </w:r>
          </w:p>
        </w:tc>
        <w:tc>
          <w:tcPr>
            <w:tcW w:w="26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(2,349 )</w:t>
            </w:r>
          </w:p>
        </w:tc>
        <w:tc>
          <w:tcPr>
            <w:tcW w:w="1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(9,114 )</w:t>
            </w:r>
          </w:p>
        </w:tc>
        <w:tc>
          <w:tcPr>
            <w:tcW w:w="1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(1,122 )</w:t>
            </w:r>
          </w:p>
        </w:tc>
        <w:tc>
          <w:tcPr>
            <w:tcW w:w="0" w:type="dxa"/>
            <w:vAlign w:val="bottom"/>
          </w:tcPr>
          <w:p>
            <w:pPr>
              <w:spacing w:after="0"/>
              <w:rPr>
                <w:sz w:val="1"/>
                <w:szCs w:val="1"/>
                <w:color w:val="auto"/>
              </w:rPr>
            </w:pPr>
          </w:p>
        </w:tc>
      </w:tr>
      <w:tr>
        <w:trPr>
          <w:trHeight w:val="221"/>
        </w:trPr>
        <w:tc>
          <w:tcPr>
            <w:tcW w:w="5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(66,323 )</w:t>
            </w:r>
          </w:p>
        </w:tc>
        <w:tc>
          <w:tcPr>
            <w:tcW w:w="5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(29,237 )</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(139,127 )</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(50,164 )</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-3959860</wp:posOffset>
            </wp:positionV>
            <wp:extent cx="8572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-3959860</wp:posOffset>
            </wp:positionV>
            <wp:extent cx="7683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-3959860</wp:posOffset>
            </wp:positionV>
            <wp:extent cx="9461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615" cy="15430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-3012440</wp:posOffset>
            </wp:positionV>
            <wp:extent cx="273875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38755" cy="17970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-2708275</wp:posOffset>
            </wp:positionV>
            <wp:extent cx="8572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-2708275</wp:posOffset>
            </wp:positionV>
            <wp:extent cx="7683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-2708275</wp:posOffset>
            </wp:positionV>
            <wp:extent cx="9461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615" cy="1454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-1868170</wp:posOffset>
            </wp:positionV>
            <wp:extent cx="8572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-1868170</wp:posOffset>
            </wp:positionV>
            <wp:extent cx="7683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-1868170</wp:posOffset>
            </wp:positionV>
            <wp:extent cx="9461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615" cy="1460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-1584960</wp:posOffset>
            </wp:positionV>
            <wp:extent cx="857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-1584960</wp:posOffset>
            </wp:positionV>
            <wp:extent cx="7683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-1584960</wp:posOffset>
            </wp:positionV>
            <wp:extent cx="9461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857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7683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9461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615" cy="17145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6" w:name="page7"/>
    <w:bookmarkEnd w:id="6"/>
    <w:p>
      <w:pPr>
        <w:ind w:left="4040"/>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ind w:left="2920"/>
        <w:spacing w:after="0" w:line="210"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5"/>
                <w:szCs w:val="15"/>
                <w:color w:val="auto"/>
              </w:rPr>
            </w:pPr>
          </w:p>
        </w:tc>
      </w:tr>
      <w:tr>
        <w:trPr>
          <w:trHeight w:val="187"/>
        </w:trPr>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69"/>
        </w:trPr>
        <w:tc>
          <w:tcPr>
            <w:tcW w:w="8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69"/>
        </w:trPr>
        <w:tc>
          <w:tcPr>
            <w:tcW w:w="8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4"/>
                <w:szCs w:val="14"/>
                <w:color w:val="auto"/>
              </w:rPr>
            </w:pPr>
          </w:p>
        </w:tc>
      </w:t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(130,013 )</w:t>
            </w:r>
          </w:p>
        </w:tc>
        <w:tc>
          <w:tcPr>
            <w:tcW w:w="6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(49,042 )</w:t>
            </w: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cash flows from operating activities: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58,185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57,510</w:t>
            </w:r>
          </w:p>
        </w:tc>
      </w:tr>
      <w:tr>
        <w:trPr>
          <w:trHeight w:val="216"/>
        </w:trPr>
        <w:tc>
          <w:tcPr>
            <w:tcW w:w="8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67,771</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68,603</w:t>
            </w:r>
          </w:p>
        </w:tc>
      </w:tr>
      <w:tr>
        <w:trPr>
          <w:trHeight w:val="216"/>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(54,073 )</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8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21,750</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677</w:t>
            </w:r>
          </w:p>
        </w:tc>
      </w:tr>
      <w:tr>
        <w:trPr>
          <w:trHeight w:val="216"/>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8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non-cash charges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3,746</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1,803</w:t>
            </w: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Receivables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56,045</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(13,991 )</w:t>
            </w:r>
          </w:p>
        </w:tc>
      </w:tr>
      <w:tr>
        <w:trPr>
          <w:trHeight w:val="216"/>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Contract assets</w:t>
            </w:r>
          </w:p>
        </w:tc>
        <w:tc>
          <w:tcPr>
            <w:tcW w:w="3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3,258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10,892</w:t>
            </w:r>
          </w:p>
        </w:tc>
      </w:tr>
      <w:tr>
        <w:trPr>
          <w:trHeight w:val="216"/>
        </w:trPr>
        <w:tc>
          <w:tcPr>
            <w:tcW w:w="8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(15,646 )</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(13,375 )</w:t>
            </w:r>
          </w:p>
        </w:tc>
      </w:tr>
      <w:tr>
        <w:trPr>
          <w:trHeight w:val="216"/>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(1,507 )</w:t>
            </w:r>
          </w:p>
        </w:tc>
      </w:tr>
      <w:tr>
        <w:trPr>
          <w:trHeight w:val="216"/>
        </w:trPr>
        <w:tc>
          <w:tcPr>
            <w:tcW w:w="8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12,470</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12,891</w:t>
            </w:r>
          </w:p>
        </w:tc>
      </w:tr>
      <w:tr>
        <w:trPr>
          <w:trHeight w:val="216"/>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4,810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15,546</w:t>
            </w:r>
          </w:p>
        </w:tc>
      </w:tr>
      <w:tr>
        <w:trPr>
          <w:trHeight w:val="216"/>
        </w:trPr>
        <w:tc>
          <w:tcPr>
            <w:tcW w:w="8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(9,191 )</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(4,642 )</w:t>
            </w:r>
          </w:p>
        </w:tc>
      </w:tr>
      <w:tr>
        <w:trPr>
          <w:trHeight w:val="216"/>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(13,411 )</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(12,504 )</w:t>
            </w:r>
          </w:p>
        </w:tc>
      </w:tr>
      <w:tr>
        <w:trPr>
          <w:trHeight w:val="216"/>
        </w:trPr>
        <w:tc>
          <w:tcPr>
            <w:tcW w:w="81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12,424</w:t>
            </w:r>
          </w:p>
        </w:tc>
        <w:tc>
          <w:tcPr>
            <w:tcW w:w="1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(4,353 )</w:t>
            </w:r>
          </w:p>
        </w:tc>
      </w:tr>
      <w:tr>
        <w:trPr>
          <w:trHeight w:val="209"/>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19,997</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70,694</w:t>
            </w:r>
          </w:p>
        </w:tc>
      </w:tr>
      <w:tr>
        <w:trPr>
          <w:trHeight w:val="21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of property, plant and equipment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(28,227 )</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(19,359 )</w:t>
            </w: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sale of equipment</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contingent consideration</w:t>
            </w:r>
          </w:p>
        </w:tc>
        <w:tc>
          <w:tcPr>
            <w:tcW w:w="3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7,908</w:t>
            </w: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Return of Fountain Healthcare Partners II, L.P. investment</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made for licensed Intellectual Property ("IP")</w:t>
            </w:r>
          </w:p>
        </w:tc>
        <w:tc>
          <w:tcPr>
            <w:tcW w:w="3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(256,806 )</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(294,370 )</w:t>
            </w:r>
          </w:p>
        </w:tc>
      </w:tr>
      <w:tr>
        <w:trPr>
          <w:trHeight w:val="216"/>
        </w:trPr>
        <w:tc>
          <w:tcPr>
            <w:tcW w:w="818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190,994</w:t>
            </w:r>
          </w:p>
        </w:tc>
        <w:tc>
          <w:tcPr>
            <w:tcW w:w="16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241,082</w:t>
            </w:r>
          </w:p>
        </w:tc>
      </w:tr>
      <w:tr>
        <w:trPr>
          <w:trHeight w:val="209"/>
        </w:trPr>
        <w:tc>
          <w:tcPr>
            <w:tcW w:w="8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(92,281 )</w:t>
            </w:r>
          </w:p>
        </w:tc>
        <w:tc>
          <w:tcPr>
            <w:tcW w:w="1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(65,462 )</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ordinary shares under share-based compensation arrangements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18,850</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24,810</w:t>
            </w: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taxes paid related to net share settlement of equity awards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(17,903 )</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(13,633 )</w:t>
            </w: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long-term debt</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23,567</w:t>
            </w: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made for debt extinguishment</w:t>
            </w:r>
          </w:p>
        </w:tc>
        <w:tc>
          <w:tcPr>
            <w:tcW w:w="3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(993 )</w:t>
            </w:r>
          </w:p>
        </w:tc>
      </w:tr>
      <w:tr>
        <w:trPr>
          <w:trHeight w:val="216"/>
        </w:trPr>
        <w:tc>
          <w:tcPr>
            <w:tcW w:w="8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(1,500 )</w:t>
            </w: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flows (used in) provided by financing activities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(1,303 )</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32,251</w:t>
            </w:r>
          </w:p>
        </w:tc>
      </w:tr>
      <w:tr>
        <w:trPr>
          <w:trHeight w:val="20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(73,587 )</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37,483</w:t>
            </w: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337,544</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272,961</w:t>
            </w:r>
          </w:p>
        </w:tc>
      </w:tr>
      <w:tr>
        <w:trPr>
          <w:trHeight w:val="249"/>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263,957</w:t>
            </w: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310,444</w:t>
            </w:r>
          </w:p>
        </w:tc>
      </w:tr>
      <w:tr>
        <w:trPr>
          <w:trHeight w:val="197"/>
        </w:trPr>
        <w:tc>
          <w:tcPr>
            <w:tcW w:w="8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CASH FLOW DISCLOSURE: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34"/>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Purchased capital expenditures included in accounts payable and accrued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2,690</w:t>
            </w:r>
          </w:p>
        </w:tc>
        <w:tc>
          <w:tcPr>
            <w:tcW w:w="6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-3251200</wp:posOffset>
            </wp:positionV>
            <wp:extent cx="9398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-2012315</wp:posOffset>
            </wp:positionV>
            <wp:extent cx="7132320" cy="304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0416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-1022350</wp:posOffset>
            </wp:positionV>
            <wp:extent cx="939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-448310</wp:posOffset>
            </wp:positionV>
            <wp:extent cx="9398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16319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7" w:name="page8"/>
    <w:bookmarkEnd w:id="7"/>
    <w:p>
      <w:pPr>
        <w:ind w:left="4040"/>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1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w w:val="95"/>
              </w:rPr>
              <w:t>Additional</w:t>
            </w:r>
          </w:p>
        </w:tc>
        <w:tc>
          <w:tcPr>
            <w:tcW w:w="100" w:type="dxa"/>
            <w:vAlign w:val="bottom"/>
          </w:tcPr>
          <w:p>
            <w:pPr>
              <w:spacing w:after="0"/>
              <w:rPr>
                <w:sz w:val="12"/>
                <w:szCs w:val="12"/>
                <w:color w:val="auto"/>
              </w:rPr>
            </w:pPr>
          </w:p>
        </w:tc>
        <w:tc>
          <w:tcPr>
            <w:tcW w:w="940" w:type="dxa"/>
            <w:vAlign w:val="bottom"/>
            <w:gridSpan w:val="2"/>
          </w:tcPr>
          <w:p>
            <w:pPr>
              <w:jc w:val="center"/>
              <w:ind w:right="49"/>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1880" w:type="dxa"/>
            <w:vAlign w:val="bottom"/>
            <w:gridSpan w:val="4"/>
            <w:vMerge w:val="restart"/>
          </w:tcPr>
          <w:p>
            <w:pPr>
              <w:jc w:val="right"/>
              <w:ind w:right="509"/>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ind w:right="229"/>
              <w:spacing w:after="0" w:line="122"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800" w:type="dxa"/>
            <w:vAlign w:val="bottom"/>
            <w:gridSpan w:val="4"/>
            <w:vMerge w:val="restart"/>
          </w:tcPr>
          <w:p>
            <w:pPr>
              <w:jc w:val="right"/>
              <w:ind w:right="509"/>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460" w:type="dxa"/>
            <w:vAlign w:val="bottom"/>
          </w:tcPr>
          <w:p>
            <w:pPr>
              <w:spacing w:after="0"/>
              <w:rPr>
                <w:sz w:val="12"/>
                <w:szCs w:val="12"/>
                <w:color w:val="auto"/>
              </w:rPr>
            </w:pPr>
          </w:p>
        </w:tc>
        <w:tc>
          <w:tcPr>
            <w:tcW w:w="188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2"/>
                <w:szCs w:val="12"/>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80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86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0"/>
              <w:spacing w:after="0" w:line="136"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209"/>
              <w:spacing w:after="0" w:line="136" w:lineRule="exact"/>
              <w:rPr>
                <w:sz w:val="20"/>
                <w:szCs w:val="20"/>
                <w:color w:val="auto"/>
              </w:rPr>
            </w:pPr>
            <w:r>
              <w:rPr>
                <w:rFonts w:ascii="Times New Roman" w:cs="Times New Roman" w:eastAsia="Times New Roman" w:hAnsi="Times New Roman"/>
                <w:sz w:val="12"/>
                <w:szCs w:val="12"/>
                <w:b w:val="1"/>
                <w:bCs w:val="1"/>
                <w:color w:val="auto"/>
              </w:rPr>
              <w:t>Loss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9"/>
              <w:spacing w:after="0" w:line="136" w:lineRule="exact"/>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9"/>
              <w:spacing w:after="0" w:line="136"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rPr>
              <w:t>(In thousands, except share data)</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December 31, 2021</w:t>
            </w:r>
          </w:p>
        </w:tc>
        <w:tc>
          <w:tcPr>
            <w:tcW w:w="860" w:type="dxa"/>
            <w:vAlign w:val="bottom"/>
            <w:shd w:val="clear" w:color="auto" w:fill="CFF0FC"/>
          </w:tcPr>
          <w:p>
            <w:pPr>
              <w:jc w:val="right"/>
              <w:ind w:right="69"/>
              <w:spacing w:after="0" w:line="139" w:lineRule="exact"/>
              <w:rPr>
                <w:sz w:val="20"/>
                <w:szCs w:val="20"/>
                <w:color w:val="auto"/>
              </w:rPr>
            </w:pPr>
            <w:r>
              <w:rPr>
                <w:rFonts w:ascii="Times New Roman" w:cs="Times New Roman" w:eastAsia="Times New Roman" w:hAnsi="Times New Roman"/>
                <w:sz w:val="14"/>
                <w:szCs w:val="14"/>
                <w:color w:val="auto"/>
              </w:rPr>
              <w:t>165,790,5</w:t>
            </w: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1,658</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2,798,325</w:t>
            </w:r>
          </w:p>
        </w:tc>
        <w:tc>
          <w:tcPr>
            <w:tcW w:w="28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(3,723 )</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9"/>
              <w:spacing w:after="0" w:line="139" w:lineRule="exact"/>
              <w:rPr>
                <w:sz w:val="20"/>
                <w:szCs w:val="20"/>
                <w:color w:val="auto"/>
              </w:rPr>
            </w:pPr>
            <w:r>
              <w:rPr>
                <w:rFonts w:ascii="Times New Roman" w:cs="Times New Roman" w:eastAsia="Times New Roman" w:hAnsi="Times New Roman"/>
                <w:sz w:val="14"/>
                <w:szCs w:val="14"/>
                <w:color w:val="auto"/>
              </w:rPr>
              <w:t>(1,541,01</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49"/>
              <w:spacing w:after="0" w:line="139" w:lineRule="exact"/>
              <w:rPr>
                <w:sz w:val="20"/>
                <w:szCs w:val="20"/>
                <w:color w:val="auto"/>
              </w:rPr>
            </w:pPr>
            <w:r>
              <w:rPr>
                <w:rFonts w:ascii="Times New Roman" w:cs="Times New Roman" w:eastAsia="Times New Roman" w:hAnsi="Times New Roman"/>
                <w:sz w:val="14"/>
                <w:szCs w:val="14"/>
                <w:color w:val="auto"/>
              </w:rPr>
              <w:t>(3,853,22</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(142,658 )</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1,112,584</w:t>
            </w:r>
          </w:p>
        </w:tc>
        <w:tc>
          <w:tcPr>
            <w:tcW w:w="0" w:type="dxa"/>
            <w:vAlign w:val="bottom"/>
          </w:tcPr>
          <w:p>
            <w:pPr>
              <w:spacing w:after="0"/>
              <w:rPr>
                <w:sz w:val="1"/>
                <w:szCs w:val="1"/>
                <w:color w:val="auto"/>
              </w:rPr>
            </w:pPr>
          </w:p>
        </w:tc>
      </w:tr>
      <w:tr>
        <w:trPr>
          <w:trHeight w:val="185"/>
        </w:trPr>
        <w:tc>
          <w:tcPr>
            <w:tcW w:w="3460" w:type="dxa"/>
            <w:vAlign w:val="bottom"/>
            <w:vMerge w:val="continue"/>
            <w:shd w:val="clear" w:color="auto" w:fill="CFF0FC"/>
          </w:tcPr>
          <w:p>
            <w:pPr>
              <w:spacing w:after="0"/>
              <w:rPr>
                <w:sz w:val="16"/>
                <w:szCs w:val="16"/>
                <w:color w:val="auto"/>
              </w:rPr>
            </w:pP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49</w:t>
            </w:r>
          </w:p>
        </w:tc>
        <w:tc>
          <w:tcPr>
            <w:tcW w:w="260" w:type="dxa"/>
            <w:vAlign w:val="bottom"/>
            <w:gridSpan w:val="2"/>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240" w:type="dxa"/>
            <w:vAlign w:val="bottom"/>
            <w:gridSpan w:val="2"/>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40" w:type="dxa"/>
            <w:vAlign w:val="bottom"/>
            <w:gridSpan w:val="2"/>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ordinary shares under employee stock</w:t>
            </w:r>
          </w:p>
        </w:tc>
        <w:tc>
          <w:tcPr>
            <w:tcW w:w="8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1,953,293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1,776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1,795</w:t>
            </w:r>
          </w:p>
        </w:tc>
        <w:tc>
          <w:tcPr>
            <w:tcW w:w="0" w:type="dxa"/>
            <w:vAlign w:val="bottom"/>
          </w:tcPr>
          <w:p>
            <w:pPr>
              <w:spacing w:after="0"/>
              <w:rPr>
                <w:sz w:val="1"/>
                <w:szCs w:val="1"/>
                <w:color w:val="auto"/>
              </w:rPr>
            </w:pPr>
          </w:p>
        </w:tc>
      </w:tr>
      <w:tr>
        <w:trPr>
          <w:trHeight w:val="185"/>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plans</w:t>
            </w: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Receipt of Alkermes' shares for the exercise of stock</w:t>
            </w: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options or to satisfy minimum tax withholding</w:t>
            </w: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(678,209 )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(17,069 )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(17,069 )</w:t>
            </w:r>
          </w:p>
        </w:tc>
        <w:tc>
          <w:tcPr>
            <w:tcW w:w="0" w:type="dxa"/>
            <w:vAlign w:val="bottom"/>
          </w:tcPr>
          <w:p>
            <w:pPr>
              <w:spacing w:after="0"/>
              <w:rPr>
                <w:sz w:val="1"/>
                <w:szCs w:val="1"/>
                <w:color w:val="auto"/>
              </w:rPr>
            </w:pPr>
          </w:p>
        </w:tc>
      </w:tr>
      <w:tr>
        <w:trPr>
          <w:trHeight w:val="175"/>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18,494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18,494</w:t>
            </w:r>
          </w:p>
        </w:tc>
        <w:tc>
          <w:tcPr>
            <w:tcW w:w="0" w:type="dxa"/>
            <w:vAlign w:val="bottom"/>
          </w:tcPr>
          <w:p>
            <w:pPr>
              <w:spacing w:after="0"/>
              <w:rPr>
                <w:sz w:val="1"/>
                <w:szCs w:val="1"/>
                <w:color w:val="auto"/>
              </w:rPr>
            </w:pPr>
          </w:p>
        </w:tc>
      </w:tr>
      <w:tr>
        <w:trPr>
          <w:trHeight w:val="139"/>
        </w:trPr>
        <w:tc>
          <w:tcPr>
            <w:tcW w:w="34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Unrealized loss on marketable securities, net of tax</w:t>
            </w:r>
          </w:p>
        </w:tc>
        <w:tc>
          <w:tcPr>
            <w:tcW w:w="8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(4,511 )</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(4,511 )</w:t>
            </w:r>
          </w:p>
        </w:tc>
        <w:tc>
          <w:tcPr>
            <w:tcW w:w="0" w:type="dxa"/>
            <w:vAlign w:val="bottom"/>
          </w:tcPr>
          <w:p>
            <w:pPr>
              <w:spacing w:after="0"/>
              <w:rPr>
                <w:sz w:val="1"/>
                <w:szCs w:val="1"/>
                <w:color w:val="auto"/>
              </w:rPr>
            </w:pPr>
          </w:p>
        </w:tc>
      </w:tr>
      <w:tr>
        <w:trPr>
          <w:trHeight w:val="185"/>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benefit of $1,382</w:t>
            </w:r>
          </w:p>
        </w:tc>
        <w:tc>
          <w:tcPr>
            <w:tcW w:w="8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(35,903 )</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(35,903 )</w:t>
            </w:r>
          </w:p>
        </w:tc>
        <w:tc>
          <w:tcPr>
            <w:tcW w:w="0" w:type="dxa"/>
            <w:vAlign w:val="bottom"/>
          </w:tcPr>
          <w:p>
            <w:pPr>
              <w:spacing w:after="0"/>
              <w:rPr>
                <w:sz w:val="1"/>
                <w:szCs w:val="1"/>
                <w:color w:val="auto"/>
              </w:rPr>
            </w:pPr>
          </w:p>
        </w:tc>
      </w:tr>
      <w:tr>
        <w:trPr>
          <w:trHeight w:val="133"/>
        </w:trPr>
        <w:tc>
          <w:tcPr>
            <w:tcW w:w="34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March 31, 2022</w:t>
            </w:r>
          </w:p>
        </w:tc>
        <w:tc>
          <w:tcPr>
            <w:tcW w:w="860" w:type="dxa"/>
            <w:vAlign w:val="bottom"/>
            <w:shd w:val="clear" w:color="auto" w:fill="CFF0FC"/>
          </w:tcPr>
          <w:p>
            <w:pPr>
              <w:jc w:val="right"/>
              <w:ind w:right="69"/>
              <w:spacing w:after="0" w:line="133" w:lineRule="exact"/>
              <w:rPr>
                <w:sz w:val="20"/>
                <w:szCs w:val="20"/>
                <w:color w:val="auto"/>
              </w:rPr>
            </w:pPr>
            <w:r>
              <w:rPr>
                <w:rFonts w:ascii="Times New Roman" w:cs="Times New Roman" w:eastAsia="Times New Roman" w:hAnsi="Times New Roman"/>
                <w:sz w:val="14"/>
                <w:szCs w:val="14"/>
                <w:color w:val="auto"/>
              </w:rPr>
              <w:t>167,743,8</w:t>
            </w: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1,677</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2,818,595</w:t>
            </w:r>
          </w:p>
        </w:tc>
        <w:tc>
          <w:tcPr>
            <w:tcW w:w="28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(8,234 )</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9"/>
              <w:spacing w:after="0" w:line="133" w:lineRule="exact"/>
              <w:rPr>
                <w:sz w:val="20"/>
                <w:szCs w:val="20"/>
                <w:color w:val="auto"/>
              </w:rPr>
            </w:pPr>
            <w:r>
              <w:rPr>
                <w:rFonts w:ascii="Times New Roman" w:cs="Times New Roman" w:eastAsia="Times New Roman" w:hAnsi="Times New Roman"/>
                <w:sz w:val="14"/>
                <w:szCs w:val="14"/>
                <w:color w:val="auto"/>
              </w:rPr>
              <w:t>(1,576,92</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9"/>
              <w:spacing w:after="0" w:line="133" w:lineRule="exact"/>
              <w:rPr>
                <w:sz w:val="20"/>
                <w:szCs w:val="20"/>
                <w:color w:val="auto"/>
              </w:rPr>
            </w:pPr>
            <w:r>
              <w:rPr>
                <w:rFonts w:ascii="Times New Roman" w:cs="Times New Roman" w:eastAsia="Times New Roman" w:hAnsi="Times New Roman"/>
                <w:sz w:val="14"/>
                <w:szCs w:val="14"/>
                <w:color w:val="auto"/>
              </w:rPr>
              <w:t>(4,531,43</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(159,727 )</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1,075,390</w:t>
            </w:r>
          </w:p>
        </w:tc>
        <w:tc>
          <w:tcPr>
            <w:tcW w:w="0" w:type="dxa"/>
            <w:vAlign w:val="bottom"/>
          </w:tcPr>
          <w:p>
            <w:pPr>
              <w:spacing w:after="0"/>
              <w:rPr>
                <w:sz w:val="1"/>
                <w:szCs w:val="1"/>
                <w:color w:val="auto"/>
              </w:rPr>
            </w:pPr>
          </w:p>
        </w:tc>
      </w:tr>
      <w:tr>
        <w:trPr>
          <w:trHeight w:val="185"/>
        </w:trPr>
        <w:tc>
          <w:tcPr>
            <w:tcW w:w="3460" w:type="dxa"/>
            <w:vAlign w:val="bottom"/>
            <w:vMerge w:val="continue"/>
            <w:shd w:val="clear" w:color="auto" w:fill="CFF0FC"/>
          </w:tcPr>
          <w:p>
            <w:pPr>
              <w:spacing w:after="0"/>
              <w:rPr>
                <w:sz w:val="16"/>
                <w:szCs w:val="16"/>
                <w:color w:val="auto"/>
              </w:rPr>
            </w:pP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42</w:t>
            </w:r>
          </w:p>
        </w:tc>
        <w:tc>
          <w:tcPr>
            <w:tcW w:w="260" w:type="dxa"/>
            <w:vAlign w:val="bottom"/>
            <w:gridSpan w:val="2"/>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240" w:type="dxa"/>
            <w:vAlign w:val="bottom"/>
            <w:gridSpan w:val="2"/>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40" w:type="dxa"/>
            <w:vAlign w:val="bottom"/>
            <w:gridSpan w:val="2"/>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ordinary shares under employee stock</w:t>
            </w:r>
          </w:p>
        </w:tc>
        <w:tc>
          <w:tcPr>
            <w:tcW w:w="8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1,038,859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16,186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16,197</w:t>
            </w:r>
          </w:p>
        </w:tc>
        <w:tc>
          <w:tcPr>
            <w:tcW w:w="0" w:type="dxa"/>
            <w:vAlign w:val="bottom"/>
          </w:tcPr>
          <w:p>
            <w:pPr>
              <w:spacing w:after="0"/>
              <w:rPr>
                <w:sz w:val="1"/>
                <w:szCs w:val="1"/>
                <w:color w:val="auto"/>
              </w:rPr>
            </w:pPr>
          </w:p>
        </w:tc>
      </w:tr>
      <w:tr>
        <w:trPr>
          <w:trHeight w:val="185"/>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plans</w:t>
            </w: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Receipt of Alkermes' shares for the exercise of stock</w:t>
            </w: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options or to satisfy minimum tax withholding</w:t>
            </w: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(18,566 )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(514 )</w:t>
            </w:r>
          </w:p>
        </w:tc>
        <w:tc>
          <w:tcPr>
            <w:tcW w:w="0" w:type="dxa"/>
            <w:vAlign w:val="bottom"/>
          </w:tcPr>
          <w:p>
            <w:pPr>
              <w:spacing w:after="0"/>
              <w:rPr>
                <w:sz w:val="1"/>
                <w:szCs w:val="1"/>
                <w:color w:val="auto"/>
              </w:rPr>
            </w:pPr>
          </w:p>
        </w:tc>
      </w:tr>
      <w:tr>
        <w:trPr>
          <w:trHeight w:val="176"/>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23,641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23,641</w:t>
            </w:r>
          </w:p>
        </w:tc>
        <w:tc>
          <w:tcPr>
            <w:tcW w:w="0" w:type="dxa"/>
            <w:vAlign w:val="bottom"/>
          </w:tcPr>
          <w:p>
            <w:pPr>
              <w:spacing w:after="0"/>
              <w:rPr>
                <w:sz w:val="1"/>
                <w:szCs w:val="1"/>
                <w:color w:val="auto"/>
              </w:rPr>
            </w:pPr>
          </w:p>
        </w:tc>
      </w:tr>
      <w:tr>
        <w:trPr>
          <w:trHeight w:val="139"/>
        </w:trPr>
        <w:tc>
          <w:tcPr>
            <w:tcW w:w="34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Unrealized loss on marketable securities, net of tax</w:t>
            </w:r>
          </w:p>
        </w:tc>
        <w:tc>
          <w:tcPr>
            <w:tcW w:w="8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(2,254 )</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(2,254 )</w:t>
            </w:r>
          </w:p>
        </w:tc>
        <w:tc>
          <w:tcPr>
            <w:tcW w:w="0" w:type="dxa"/>
            <w:vAlign w:val="bottom"/>
          </w:tcPr>
          <w:p>
            <w:pPr>
              <w:spacing w:after="0"/>
              <w:rPr>
                <w:sz w:val="1"/>
                <w:szCs w:val="1"/>
                <w:color w:val="auto"/>
              </w:rPr>
            </w:pPr>
          </w:p>
        </w:tc>
      </w:tr>
      <w:tr>
        <w:trPr>
          <w:trHeight w:val="185"/>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provision of $326</w:t>
            </w:r>
          </w:p>
        </w:tc>
        <w:tc>
          <w:tcPr>
            <w:tcW w:w="8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(30,136 )</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(30,136 )</w:t>
            </w:r>
          </w:p>
        </w:tc>
        <w:tc>
          <w:tcPr>
            <w:tcW w:w="0" w:type="dxa"/>
            <w:vAlign w:val="bottom"/>
          </w:tcPr>
          <w:p>
            <w:pPr>
              <w:spacing w:after="0"/>
              <w:rPr>
                <w:sz w:val="1"/>
                <w:szCs w:val="1"/>
                <w:color w:val="auto"/>
              </w:rPr>
            </w:pPr>
          </w:p>
        </w:tc>
      </w:tr>
      <w:tr>
        <w:trPr>
          <w:trHeight w:val="133"/>
        </w:trPr>
        <w:tc>
          <w:tcPr>
            <w:tcW w:w="34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June 30, 2022</w:t>
            </w:r>
          </w:p>
        </w:tc>
        <w:tc>
          <w:tcPr>
            <w:tcW w:w="860" w:type="dxa"/>
            <w:vAlign w:val="bottom"/>
            <w:shd w:val="clear" w:color="auto" w:fill="CFF0FC"/>
          </w:tcPr>
          <w:p>
            <w:pPr>
              <w:jc w:val="right"/>
              <w:ind w:right="69"/>
              <w:spacing w:after="0" w:line="133" w:lineRule="exact"/>
              <w:rPr>
                <w:sz w:val="20"/>
                <w:szCs w:val="20"/>
                <w:color w:val="auto"/>
              </w:rPr>
            </w:pPr>
            <w:r>
              <w:rPr>
                <w:rFonts w:ascii="Times New Roman" w:cs="Times New Roman" w:eastAsia="Times New Roman" w:hAnsi="Times New Roman"/>
                <w:sz w:val="14"/>
                <w:szCs w:val="14"/>
                <w:color w:val="auto"/>
              </w:rPr>
              <w:t>168,782,7</w:t>
            </w: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1,688</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2,858,422</w:t>
            </w:r>
          </w:p>
        </w:tc>
        <w:tc>
          <w:tcPr>
            <w:tcW w:w="28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(10,488 )</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9"/>
              <w:spacing w:after="0" w:line="133" w:lineRule="exact"/>
              <w:rPr>
                <w:sz w:val="20"/>
                <w:szCs w:val="20"/>
                <w:color w:val="auto"/>
              </w:rPr>
            </w:pPr>
            <w:r>
              <w:rPr>
                <w:rFonts w:ascii="Times New Roman" w:cs="Times New Roman" w:eastAsia="Times New Roman" w:hAnsi="Times New Roman"/>
                <w:sz w:val="14"/>
                <w:szCs w:val="14"/>
                <w:color w:val="auto"/>
              </w:rPr>
              <w:t>(1,607,05</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9"/>
              <w:spacing w:after="0" w:line="133" w:lineRule="exact"/>
              <w:rPr>
                <w:sz w:val="20"/>
                <w:szCs w:val="20"/>
                <w:color w:val="auto"/>
              </w:rPr>
            </w:pPr>
            <w:r>
              <w:rPr>
                <w:rFonts w:ascii="Times New Roman" w:cs="Times New Roman" w:eastAsia="Times New Roman" w:hAnsi="Times New Roman"/>
                <w:sz w:val="14"/>
                <w:szCs w:val="14"/>
                <w:color w:val="auto"/>
              </w:rPr>
              <w:t>(4,549,99</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(160,241 )</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1,082,324</w:t>
            </w:r>
          </w:p>
        </w:tc>
        <w:tc>
          <w:tcPr>
            <w:tcW w:w="0" w:type="dxa"/>
            <w:vAlign w:val="bottom"/>
          </w:tcPr>
          <w:p>
            <w:pPr>
              <w:spacing w:after="0"/>
              <w:rPr>
                <w:sz w:val="1"/>
                <w:szCs w:val="1"/>
                <w:color w:val="auto"/>
              </w:rPr>
            </w:pPr>
          </w:p>
        </w:tc>
      </w:tr>
      <w:tr>
        <w:trPr>
          <w:trHeight w:val="185"/>
        </w:trPr>
        <w:tc>
          <w:tcPr>
            <w:tcW w:w="3460" w:type="dxa"/>
            <w:vAlign w:val="bottom"/>
            <w:vMerge w:val="continue"/>
            <w:shd w:val="clear" w:color="auto" w:fill="CFF0FC"/>
          </w:tcPr>
          <w:p>
            <w:pPr>
              <w:spacing w:after="0"/>
              <w:rPr>
                <w:sz w:val="16"/>
                <w:szCs w:val="16"/>
                <w:color w:val="auto"/>
              </w:rPr>
            </w:pP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gridSpan w:val="2"/>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240" w:type="dxa"/>
            <w:vAlign w:val="bottom"/>
            <w:gridSpan w:val="2"/>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40" w:type="dxa"/>
            <w:vAlign w:val="bottom"/>
            <w:gridSpan w:val="2"/>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ordinary shares under employee stock</w:t>
            </w:r>
          </w:p>
        </w:tc>
        <w:tc>
          <w:tcPr>
            <w:tcW w:w="8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82,103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858</w:t>
            </w:r>
          </w:p>
        </w:tc>
        <w:tc>
          <w:tcPr>
            <w:tcW w:w="0" w:type="dxa"/>
            <w:vAlign w:val="bottom"/>
          </w:tcPr>
          <w:p>
            <w:pPr>
              <w:spacing w:after="0"/>
              <w:rPr>
                <w:sz w:val="1"/>
                <w:szCs w:val="1"/>
                <w:color w:val="auto"/>
              </w:rPr>
            </w:pPr>
          </w:p>
        </w:tc>
      </w:tr>
      <w:tr>
        <w:trPr>
          <w:trHeight w:val="185"/>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plans</w:t>
            </w: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Receipt of Alkermes' shares for the exercise of stock</w:t>
            </w: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options or to satisfy minimum tax withholding</w:t>
            </w: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(11,578 )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0" w:type="dxa"/>
            <w:vAlign w:val="bottom"/>
          </w:tcPr>
          <w:p>
            <w:pPr>
              <w:spacing w:after="0"/>
              <w:rPr>
                <w:sz w:val="1"/>
                <w:szCs w:val="1"/>
                <w:color w:val="auto"/>
              </w:rPr>
            </w:pPr>
          </w:p>
        </w:tc>
      </w:tr>
      <w:tr>
        <w:trPr>
          <w:trHeight w:val="175"/>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26,315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26,315</w:t>
            </w:r>
          </w:p>
        </w:tc>
        <w:tc>
          <w:tcPr>
            <w:tcW w:w="0" w:type="dxa"/>
            <w:vAlign w:val="bottom"/>
          </w:tcPr>
          <w:p>
            <w:pPr>
              <w:spacing w:after="0"/>
              <w:rPr>
                <w:sz w:val="1"/>
                <w:szCs w:val="1"/>
                <w:color w:val="auto"/>
              </w:rPr>
            </w:pPr>
          </w:p>
        </w:tc>
      </w:tr>
      <w:tr>
        <w:trPr>
          <w:trHeight w:val="139"/>
        </w:trPr>
        <w:tc>
          <w:tcPr>
            <w:tcW w:w="34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Unrealized loss on marketable securities, net of tax</w:t>
            </w:r>
          </w:p>
        </w:tc>
        <w:tc>
          <w:tcPr>
            <w:tcW w:w="8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(2,349 )</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(2,349 )</w:t>
            </w:r>
          </w:p>
        </w:tc>
        <w:tc>
          <w:tcPr>
            <w:tcW w:w="0" w:type="dxa"/>
            <w:vAlign w:val="bottom"/>
          </w:tcPr>
          <w:p>
            <w:pPr>
              <w:spacing w:after="0"/>
              <w:rPr>
                <w:sz w:val="1"/>
                <w:szCs w:val="1"/>
                <w:color w:val="auto"/>
              </w:rPr>
            </w:pPr>
          </w:p>
        </w:tc>
      </w:tr>
      <w:tr>
        <w:trPr>
          <w:trHeight w:val="185"/>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benefit of $188</w:t>
            </w:r>
          </w:p>
        </w:tc>
        <w:tc>
          <w:tcPr>
            <w:tcW w:w="8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(63,974 )</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(63,974 )</w:t>
            </w:r>
          </w:p>
        </w:tc>
        <w:tc>
          <w:tcPr>
            <w:tcW w:w="0" w:type="dxa"/>
            <w:vAlign w:val="bottom"/>
          </w:tcPr>
          <w:p>
            <w:pPr>
              <w:spacing w:after="0"/>
              <w:rPr>
                <w:sz w:val="1"/>
                <w:szCs w:val="1"/>
                <w:color w:val="auto"/>
              </w:rPr>
            </w:pPr>
          </w:p>
        </w:tc>
      </w:tr>
      <w:tr>
        <w:trPr>
          <w:trHeight w:val="133"/>
        </w:trPr>
        <w:tc>
          <w:tcPr>
            <w:tcW w:w="346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69"/>
              <w:spacing w:after="0" w:line="133" w:lineRule="exact"/>
              <w:rPr>
                <w:sz w:val="20"/>
                <w:szCs w:val="20"/>
                <w:color w:val="auto"/>
              </w:rPr>
            </w:pPr>
            <w:r>
              <w:rPr>
                <w:rFonts w:ascii="Times New Roman" w:cs="Times New Roman" w:eastAsia="Times New Roman" w:hAnsi="Times New Roman"/>
                <w:sz w:val="14"/>
                <w:szCs w:val="14"/>
                <w:color w:val="auto"/>
              </w:rPr>
              <w:t>168,864,8</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9"/>
              <w:spacing w:after="0" w:line="133" w:lineRule="exact"/>
              <w:rPr>
                <w:sz w:val="20"/>
                <w:szCs w:val="20"/>
                <w:color w:val="auto"/>
              </w:rPr>
            </w:pPr>
            <w:r>
              <w:rPr>
                <w:rFonts w:ascii="Times New Roman" w:cs="Times New Roman" w:eastAsia="Times New Roman" w:hAnsi="Times New Roman"/>
                <w:sz w:val="14"/>
                <w:szCs w:val="14"/>
                <w:color w:val="auto"/>
              </w:rPr>
              <w:t>(1,671,03</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9"/>
              <w:spacing w:after="0" w:line="133" w:lineRule="exact"/>
              <w:rPr>
                <w:sz w:val="20"/>
                <w:szCs w:val="20"/>
                <w:color w:val="auto"/>
              </w:rPr>
            </w:pPr>
            <w:r>
              <w:rPr>
                <w:rFonts w:ascii="Times New Roman" w:cs="Times New Roman" w:eastAsia="Times New Roman" w:hAnsi="Times New Roman"/>
                <w:sz w:val="14"/>
                <w:szCs w:val="14"/>
                <w:color w:val="auto"/>
              </w:rPr>
              <w:t>(4,561,57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September 30, 2022</w:t>
            </w:r>
          </w:p>
        </w:tc>
        <w:tc>
          <w:tcPr>
            <w:tcW w:w="86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1,689</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2,885,594</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(12,837 )</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(160,561 )</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1,042,854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-25400</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-8255</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-25400</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-8255</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-25400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-25400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38"/>
        </w:trPr>
        <w:tc>
          <w:tcPr>
            <w:tcW w:w="3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9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w w:val="95"/>
              </w:rPr>
              <w:t>Additional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center"/>
              <w:ind w:right="250"/>
              <w:spacing w:after="0" w:line="122"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1900" w:type="dxa"/>
            <w:vAlign w:val="bottom"/>
            <w:gridSpan w:val="4"/>
            <w:vMerge w:val="restart"/>
          </w:tcPr>
          <w:p>
            <w:pPr>
              <w:jc w:val="right"/>
              <w:ind w:right="529"/>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b w:val="1"/>
                <w:bCs w:val="1"/>
                <w:color w:val="auto"/>
              </w:rPr>
              <w:t>Comprehensiv</w:t>
            </w:r>
          </w:p>
        </w:tc>
        <w:tc>
          <w:tcPr>
            <w:tcW w:w="10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820" w:type="dxa"/>
            <w:vAlign w:val="bottom"/>
            <w:gridSpan w:val="4"/>
            <w:vMerge w:val="restart"/>
          </w:tcPr>
          <w:p>
            <w:pPr>
              <w:jc w:val="right"/>
              <w:ind w:right="509"/>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480" w:type="dxa"/>
            <w:vAlign w:val="bottom"/>
          </w:tcPr>
          <w:p>
            <w:pPr>
              <w:spacing w:after="0"/>
              <w:rPr>
                <w:sz w:val="12"/>
                <w:szCs w:val="12"/>
                <w:color w:val="auto"/>
              </w:rPr>
            </w:pPr>
          </w:p>
        </w:tc>
        <w:tc>
          <w:tcPr>
            <w:tcW w:w="190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210"/>
              <w:spacing w:after="0"/>
              <w:rPr>
                <w:sz w:val="20"/>
                <w:szCs w:val="20"/>
                <w:color w:val="auto"/>
              </w:rPr>
            </w:pPr>
            <w:r>
              <w:rPr>
                <w:rFonts w:ascii="Times New Roman" w:cs="Times New Roman" w:eastAsia="Times New Roman" w:hAnsi="Times New Roman"/>
                <w:sz w:val="12"/>
                <w:szCs w:val="12"/>
                <w:b w:val="1"/>
                <w:bCs w:val="1"/>
                <w:color w:val="auto"/>
              </w:rPr>
              <w:t>e</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82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8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0"/>
              <w:spacing w:after="0" w:line="136"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210"/>
              <w:spacing w:after="0" w:line="136" w:lineRule="exact"/>
              <w:rPr>
                <w:sz w:val="20"/>
                <w:szCs w:val="20"/>
                <w:color w:val="auto"/>
              </w:rPr>
            </w:pPr>
            <w:r>
              <w:rPr>
                <w:rFonts w:ascii="Times New Roman" w:cs="Times New Roman" w:eastAsia="Times New Roman" w:hAnsi="Times New Roman"/>
                <w:sz w:val="12"/>
                <w:szCs w:val="12"/>
                <w:b w:val="1"/>
                <w:bCs w:val="1"/>
                <w:color w:val="auto"/>
                <w:w w:val="94"/>
              </w:rPr>
              <w:t>Loss</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9"/>
              <w:spacing w:after="0" w:line="136" w:lineRule="exact"/>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9"/>
              <w:spacing w:after="0" w:line="136"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rPr>
              <w:t>(In thousands, except share data)</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December 31, 2020</w:t>
            </w:r>
          </w:p>
        </w:tc>
        <w:tc>
          <w:tcPr>
            <w:tcW w:w="880" w:type="dxa"/>
            <w:vAlign w:val="bottom"/>
            <w:shd w:val="clear" w:color="auto" w:fill="CFF0FC"/>
          </w:tcPr>
          <w:p>
            <w:pPr>
              <w:jc w:val="right"/>
              <w:ind w:right="69"/>
              <w:spacing w:after="0" w:line="139" w:lineRule="exact"/>
              <w:rPr>
                <w:sz w:val="20"/>
                <w:szCs w:val="20"/>
                <w:color w:val="auto"/>
              </w:rPr>
            </w:pPr>
            <w:r>
              <w:rPr>
                <w:rFonts w:ascii="Times New Roman" w:cs="Times New Roman" w:eastAsia="Times New Roman" w:hAnsi="Times New Roman"/>
                <w:sz w:val="14"/>
                <w:szCs w:val="14"/>
                <w:color w:val="auto"/>
              </w:rPr>
              <w:t>162,269,2</w:t>
            </w: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1,620</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2,685,647</w:t>
            </w:r>
          </w:p>
        </w:tc>
        <w:tc>
          <w:tcPr>
            <w:tcW w:w="26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(1,349 )</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9"/>
              <w:spacing w:after="0" w:line="139" w:lineRule="exact"/>
              <w:rPr>
                <w:sz w:val="20"/>
                <w:szCs w:val="20"/>
                <w:color w:val="auto"/>
              </w:rPr>
            </w:pPr>
            <w:r>
              <w:rPr>
                <w:rFonts w:ascii="Times New Roman" w:cs="Times New Roman" w:eastAsia="Times New Roman" w:hAnsi="Times New Roman"/>
                <w:sz w:val="14"/>
                <w:szCs w:val="14"/>
                <w:color w:val="auto"/>
              </w:rPr>
              <w:t>(1,492,84</w:t>
            </w: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29"/>
              <w:spacing w:after="0" w:line="139" w:lineRule="exact"/>
              <w:rPr>
                <w:sz w:val="20"/>
                <w:szCs w:val="20"/>
                <w:color w:val="auto"/>
              </w:rPr>
            </w:pPr>
            <w:r>
              <w:rPr>
                <w:rFonts w:ascii="Times New Roman" w:cs="Times New Roman" w:eastAsia="Times New Roman" w:hAnsi="Times New Roman"/>
                <w:sz w:val="14"/>
                <w:szCs w:val="14"/>
                <w:color w:val="auto"/>
              </w:rPr>
              <w:t>(3,108,07</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(126,087 )</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1,066,982</w:t>
            </w:r>
          </w:p>
        </w:tc>
        <w:tc>
          <w:tcPr>
            <w:tcW w:w="0" w:type="dxa"/>
            <w:vAlign w:val="bottom"/>
          </w:tcPr>
          <w:p>
            <w:pPr>
              <w:spacing w:after="0"/>
              <w:rPr>
                <w:sz w:val="1"/>
                <w:szCs w:val="1"/>
                <w:color w:val="auto"/>
              </w:rPr>
            </w:pPr>
          </w:p>
        </w:tc>
      </w:tr>
      <w:tr>
        <w:trPr>
          <w:trHeight w:val="185"/>
        </w:trPr>
        <w:tc>
          <w:tcPr>
            <w:tcW w:w="3480" w:type="dxa"/>
            <w:vAlign w:val="bottom"/>
            <w:vMerge w:val="continue"/>
            <w:shd w:val="clear" w:color="auto" w:fill="CFF0FC"/>
          </w:tcPr>
          <w:p>
            <w:pPr>
              <w:spacing w:after="0"/>
              <w:rPr>
                <w:sz w:val="16"/>
                <w:szCs w:val="16"/>
                <w:color w:val="auto"/>
              </w:rPr>
            </w:pPr>
          </w:p>
        </w:tc>
        <w:tc>
          <w:tcPr>
            <w:tcW w:w="88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gridSpan w:val="2"/>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240" w:type="dxa"/>
            <w:vAlign w:val="bottom"/>
            <w:gridSpan w:val="2"/>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40" w:type="dxa"/>
            <w:vAlign w:val="bottom"/>
            <w:gridSpan w:val="2"/>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ordinary shares under employee stock</w:t>
            </w:r>
          </w:p>
        </w:tc>
        <w:tc>
          <w:tcPr>
            <w:tcW w:w="8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1,566,685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2,035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2,053</w:t>
            </w:r>
          </w:p>
        </w:tc>
        <w:tc>
          <w:tcPr>
            <w:tcW w:w="0" w:type="dxa"/>
            <w:vAlign w:val="bottom"/>
          </w:tcPr>
          <w:p>
            <w:pPr>
              <w:spacing w:after="0"/>
              <w:rPr>
                <w:sz w:val="1"/>
                <w:szCs w:val="1"/>
                <w:color w:val="auto"/>
              </w:rPr>
            </w:pPr>
          </w:p>
        </w:tc>
      </w:tr>
      <w:tr>
        <w:trPr>
          <w:trHeight w:val="185"/>
        </w:trPr>
        <w:tc>
          <w:tcPr>
            <w:tcW w:w="3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plans</w:t>
            </w: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8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Receipt of Alkermes' shares for the exercise of stock</w:t>
            </w: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options or to satisfy minimum tax withholding</w:t>
            </w: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88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(529,817 )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(10,413 )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(10,413 )</w:t>
            </w:r>
          </w:p>
        </w:tc>
        <w:tc>
          <w:tcPr>
            <w:tcW w:w="0" w:type="dxa"/>
            <w:vAlign w:val="bottom"/>
          </w:tcPr>
          <w:p>
            <w:pPr>
              <w:spacing w:after="0"/>
              <w:rPr>
                <w:sz w:val="1"/>
                <w:szCs w:val="1"/>
                <w:color w:val="auto"/>
              </w:rPr>
            </w:pPr>
          </w:p>
        </w:tc>
      </w:tr>
      <w:tr>
        <w:trPr>
          <w:trHeight w:val="175"/>
        </w:trPr>
        <w:tc>
          <w:tcPr>
            <w:tcW w:w="3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15,552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15,552</w:t>
            </w:r>
          </w:p>
        </w:tc>
        <w:tc>
          <w:tcPr>
            <w:tcW w:w="0" w:type="dxa"/>
            <w:vAlign w:val="bottom"/>
          </w:tcPr>
          <w:p>
            <w:pPr>
              <w:spacing w:after="0"/>
              <w:rPr>
                <w:sz w:val="1"/>
                <w:szCs w:val="1"/>
                <w:color w:val="auto"/>
              </w:rPr>
            </w:pPr>
          </w:p>
        </w:tc>
      </w:tr>
      <w:tr>
        <w:trPr>
          <w:trHeight w:val="139"/>
        </w:trPr>
        <w:tc>
          <w:tcPr>
            <w:tcW w:w="348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Unrealized loss on marketable securities, net of tax</w:t>
            </w:r>
          </w:p>
        </w:tc>
        <w:tc>
          <w:tcPr>
            <w:tcW w:w="88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(601 )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(601 )</w:t>
            </w:r>
          </w:p>
        </w:tc>
        <w:tc>
          <w:tcPr>
            <w:tcW w:w="0" w:type="dxa"/>
            <w:vAlign w:val="bottom"/>
          </w:tcPr>
          <w:p>
            <w:pPr>
              <w:spacing w:after="0"/>
              <w:rPr>
                <w:sz w:val="1"/>
                <w:szCs w:val="1"/>
                <w:color w:val="auto"/>
              </w:rPr>
            </w:pPr>
          </w:p>
        </w:tc>
      </w:tr>
      <w:tr>
        <w:trPr>
          <w:trHeight w:val="185"/>
        </w:trPr>
        <w:tc>
          <w:tcPr>
            <w:tcW w:w="3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benefit of $174</w:t>
            </w:r>
          </w:p>
        </w:tc>
        <w:tc>
          <w:tcPr>
            <w:tcW w:w="8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(22,418 )</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(22,418 )</w:t>
            </w:r>
          </w:p>
        </w:tc>
        <w:tc>
          <w:tcPr>
            <w:tcW w:w="0" w:type="dxa"/>
            <w:vAlign w:val="bottom"/>
          </w:tcPr>
          <w:p>
            <w:pPr>
              <w:spacing w:after="0"/>
              <w:rPr>
                <w:sz w:val="1"/>
                <w:szCs w:val="1"/>
                <w:color w:val="auto"/>
              </w:rPr>
            </w:pPr>
          </w:p>
        </w:tc>
      </w:tr>
      <w:tr>
        <w:trPr>
          <w:trHeight w:val="133"/>
        </w:trPr>
        <w:tc>
          <w:tcPr>
            <w:tcW w:w="34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March 31, 2021</w:t>
            </w:r>
          </w:p>
        </w:tc>
        <w:tc>
          <w:tcPr>
            <w:tcW w:w="880" w:type="dxa"/>
            <w:vAlign w:val="bottom"/>
            <w:shd w:val="clear" w:color="auto" w:fill="CFF0FC"/>
          </w:tcPr>
          <w:p>
            <w:pPr>
              <w:jc w:val="right"/>
              <w:ind w:right="69"/>
              <w:spacing w:after="0" w:line="133" w:lineRule="exact"/>
              <w:rPr>
                <w:sz w:val="20"/>
                <w:szCs w:val="20"/>
                <w:color w:val="auto"/>
              </w:rPr>
            </w:pPr>
            <w:r>
              <w:rPr>
                <w:rFonts w:ascii="Times New Roman" w:cs="Times New Roman" w:eastAsia="Times New Roman" w:hAnsi="Times New Roman"/>
                <w:sz w:val="14"/>
                <w:szCs w:val="14"/>
                <w:color w:val="auto"/>
              </w:rPr>
              <w:t>163,835,9</w:t>
            </w: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1,638</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2,703,234</w:t>
            </w:r>
          </w:p>
        </w:tc>
        <w:tc>
          <w:tcPr>
            <w:tcW w:w="26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(1,950 )</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9"/>
              <w:spacing w:after="0" w:line="133" w:lineRule="exact"/>
              <w:rPr>
                <w:sz w:val="20"/>
                <w:szCs w:val="20"/>
                <w:color w:val="auto"/>
              </w:rPr>
            </w:pPr>
            <w:r>
              <w:rPr>
                <w:rFonts w:ascii="Times New Roman" w:cs="Times New Roman" w:eastAsia="Times New Roman" w:hAnsi="Times New Roman"/>
                <w:sz w:val="14"/>
                <w:szCs w:val="14"/>
                <w:color w:val="auto"/>
              </w:rPr>
              <w:t>(1,515,26</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29"/>
              <w:spacing w:after="0" w:line="133" w:lineRule="exact"/>
              <w:rPr>
                <w:sz w:val="20"/>
                <w:szCs w:val="20"/>
                <w:color w:val="auto"/>
              </w:rPr>
            </w:pPr>
            <w:r>
              <w:rPr>
                <w:rFonts w:ascii="Times New Roman" w:cs="Times New Roman" w:eastAsia="Times New Roman" w:hAnsi="Times New Roman"/>
                <w:sz w:val="14"/>
                <w:szCs w:val="14"/>
                <w:color w:val="auto"/>
              </w:rPr>
              <w:t>(3,637,89</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(136,500 )</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1,051,155</w:t>
            </w:r>
          </w:p>
        </w:tc>
        <w:tc>
          <w:tcPr>
            <w:tcW w:w="0" w:type="dxa"/>
            <w:vAlign w:val="bottom"/>
          </w:tcPr>
          <w:p>
            <w:pPr>
              <w:spacing w:after="0"/>
              <w:rPr>
                <w:sz w:val="1"/>
                <w:szCs w:val="1"/>
                <w:color w:val="auto"/>
              </w:rPr>
            </w:pPr>
          </w:p>
        </w:tc>
      </w:tr>
      <w:tr>
        <w:trPr>
          <w:trHeight w:val="185"/>
        </w:trPr>
        <w:tc>
          <w:tcPr>
            <w:tcW w:w="3480" w:type="dxa"/>
            <w:vAlign w:val="bottom"/>
            <w:vMerge w:val="continue"/>
            <w:shd w:val="clear" w:color="auto" w:fill="CFF0FC"/>
          </w:tcPr>
          <w:p>
            <w:pPr>
              <w:spacing w:after="0"/>
              <w:rPr>
                <w:sz w:val="16"/>
                <w:szCs w:val="16"/>
                <w:color w:val="auto"/>
              </w:rPr>
            </w:pPr>
          </w:p>
        </w:tc>
        <w:tc>
          <w:tcPr>
            <w:tcW w:w="88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05</w:t>
            </w:r>
          </w:p>
        </w:tc>
        <w:tc>
          <w:tcPr>
            <w:tcW w:w="260" w:type="dxa"/>
            <w:vAlign w:val="bottom"/>
            <w:gridSpan w:val="2"/>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240" w:type="dxa"/>
            <w:vAlign w:val="bottom"/>
            <w:gridSpan w:val="2"/>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40" w:type="dxa"/>
            <w:vAlign w:val="bottom"/>
            <w:gridSpan w:val="2"/>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ordinary shares under employee stock</w:t>
            </w:r>
          </w:p>
        </w:tc>
        <w:tc>
          <w:tcPr>
            <w:tcW w:w="8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1,129,869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18,433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18,445</w:t>
            </w:r>
          </w:p>
        </w:tc>
        <w:tc>
          <w:tcPr>
            <w:tcW w:w="0" w:type="dxa"/>
            <w:vAlign w:val="bottom"/>
          </w:tcPr>
          <w:p>
            <w:pPr>
              <w:spacing w:after="0"/>
              <w:rPr>
                <w:sz w:val="1"/>
                <w:szCs w:val="1"/>
                <w:color w:val="auto"/>
              </w:rPr>
            </w:pPr>
          </w:p>
        </w:tc>
      </w:tr>
      <w:tr>
        <w:trPr>
          <w:trHeight w:val="185"/>
        </w:trPr>
        <w:tc>
          <w:tcPr>
            <w:tcW w:w="3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plans</w:t>
            </w: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8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Receipt of Alkermes' shares for the exercise of stock</w:t>
            </w: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options or to satisfy minimum tax withholding</w:t>
            </w: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88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(31,752 )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(707 )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(707 )</w:t>
            </w:r>
          </w:p>
        </w:tc>
        <w:tc>
          <w:tcPr>
            <w:tcW w:w="0" w:type="dxa"/>
            <w:vAlign w:val="bottom"/>
          </w:tcPr>
          <w:p>
            <w:pPr>
              <w:spacing w:after="0"/>
              <w:rPr>
                <w:sz w:val="1"/>
                <w:szCs w:val="1"/>
                <w:color w:val="auto"/>
              </w:rPr>
            </w:pPr>
          </w:p>
        </w:tc>
      </w:tr>
      <w:tr>
        <w:trPr>
          <w:trHeight w:val="176"/>
        </w:trPr>
        <w:tc>
          <w:tcPr>
            <w:tcW w:w="3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26,917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26,917</w:t>
            </w:r>
          </w:p>
        </w:tc>
        <w:tc>
          <w:tcPr>
            <w:tcW w:w="0" w:type="dxa"/>
            <w:vAlign w:val="bottom"/>
          </w:tcPr>
          <w:p>
            <w:pPr>
              <w:spacing w:after="0"/>
              <w:rPr>
                <w:sz w:val="1"/>
                <w:szCs w:val="1"/>
                <w:color w:val="auto"/>
              </w:rPr>
            </w:pPr>
          </w:p>
        </w:tc>
      </w:tr>
      <w:tr>
        <w:trPr>
          <w:trHeight w:val="139"/>
        </w:trPr>
        <w:tc>
          <w:tcPr>
            <w:tcW w:w="348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Unrealized loss on marketable securities, net of tax</w:t>
            </w:r>
          </w:p>
        </w:tc>
        <w:tc>
          <w:tcPr>
            <w:tcW w:w="88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(272 )</w:t>
            </w:r>
          </w:p>
        </w:tc>
        <w:tc>
          <w:tcPr>
            <w:tcW w:w="0" w:type="dxa"/>
            <w:vAlign w:val="bottom"/>
          </w:tcPr>
          <w:p>
            <w:pPr>
              <w:spacing w:after="0"/>
              <w:rPr>
                <w:sz w:val="1"/>
                <w:szCs w:val="1"/>
                <w:color w:val="auto"/>
              </w:rPr>
            </w:pPr>
          </w:p>
        </w:tc>
      </w:tr>
      <w:tr>
        <w:trPr>
          <w:trHeight w:val="185"/>
        </w:trPr>
        <w:tc>
          <w:tcPr>
            <w:tcW w:w="3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benefit of $79</w:t>
            </w:r>
          </w:p>
        </w:tc>
        <w:tc>
          <w:tcPr>
            <w:tcW w:w="8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2,364</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2,364</w:t>
            </w:r>
          </w:p>
        </w:tc>
        <w:tc>
          <w:tcPr>
            <w:tcW w:w="0" w:type="dxa"/>
            <w:vAlign w:val="bottom"/>
          </w:tcPr>
          <w:p>
            <w:pPr>
              <w:spacing w:after="0"/>
              <w:rPr>
                <w:sz w:val="1"/>
                <w:szCs w:val="1"/>
                <w:color w:val="auto"/>
              </w:rPr>
            </w:pPr>
          </w:p>
        </w:tc>
      </w:tr>
      <w:tr>
        <w:trPr>
          <w:trHeight w:val="133"/>
        </w:trPr>
        <w:tc>
          <w:tcPr>
            <w:tcW w:w="34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June 30, 2021</w:t>
            </w:r>
          </w:p>
        </w:tc>
        <w:tc>
          <w:tcPr>
            <w:tcW w:w="880" w:type="dxa"/>
            <w:vAlign w:val="bottom"/>
            <w:shd w:val="clear" w:color="auto" w:fill="CFF0FC"/>
          </w:tcPr>
          <w:p>
            <w:pPr>
              <w:jc w:val="right"/>
              <w:ind w:right="69"/>
              <w:spacing w:after="0" w:line="133" w:lineRule="exact"/>
              <w:rPr>
                <w:sz w:val="20"/>
                <w:szCs w:val="20"/>
                <w:color w:val="auto"/>
              </w:rPr>
            </w:pPr>
            <w:r>
              <w:rPr>
                <w:rFonts w:ascii="Times New Roman" w:cs="Times New Roman" w:eastAsia="Times New Roman" w:hAnsi="Times New Roman"/>
                <w:sz w:val="14"/>
                <w:szCs w:val="14"/>
                <w:color w:val="auto"/>
              </w:rPr>
              <w:t>164,965,7</w:t>
            </w: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1,650</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2,748,584</w:t>
            </w:r>
          </w:p>
        </w:tc>
        <w:tc>
          <w:tcPr>
            <w:tcW w:w="26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(2,222 )</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9"/>
              <w:spacing w:after="0" w:line="133" w:lineRule="exact"/>
              <w:rPr>
                <w:sz w:val="20"/>
                <w:szCs w:val="20"/>
                <w:color w:val="auto"/>
              </w:rPr>
            </w:pPr>
            <w:r>
              <w:rPr>
                <w:rFonts w:ascii="Times New Roman" w:cs="Times New Roman" w:eastAsia="Times New Roman" w:hAnsi="Times New Roman"/>
                <w:sz w:val="14"/>
                <w:szCs w:val="14"/>
                <w:color w:val="auto"/>
              </w:rPr>
              <w:t>(1,512,90</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29"/>
              <w:spacing w:after="0" w:line="133" w:lineRule="exact"/>
              <w:rPr>
                <w:sz w:val="20"/>
                <w:szCs w:val="20"/>
                <w:color w:val="auto"/>
              </w:rPr>
            </w:pPr>
            <w:r>
              <w:rPr>
                <w:rFonts w:ascii="Times New Roman" w:cs="Times New Roman" w:eastAsia="Times New Roman" w:hAnsi="Times New Roman"/>
                <w:sz w:val="14"/>
                <w:szCs w:val="14"/>
                <w:color w:val="auto"/>
              </w:rPr>
              <w:t>(3,669,64</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(137,207 )</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1,097,902</w:t>
            </w:r>
          </w:p>
        </w:tc>
        <w:tc>
          <w:tcPr>
            <w:tcW w:w="0" w:type="dxa"/>
            <w:vAlign w:val="bottom"/>
          </w:tcPr>
          <w:p>
            <w:pPr>
              <w:spacing w:after="0"/>
              <w:rPr>
                <w:sz w:val="1"/>
                <w:szCs w:val="1"/>
                <w:color w:val="auto"/>
              </w:rPr>
            </w:pPr>
          </w:p>
        </w:tc>
      </w:tr>
      <w:tr>
        <w:trPr>
          <w:trHeight w:val="185"/>
        </w:trPr>
        <w:tc>
          <w:tcPr>
            <w:tcW w:w="3480" w:type="dxa"/>
            <w:vAlign w:val="bottom"/>
            <w:vMerge w:val="continue"/>
            <w:shd w:val="clear" w:color="auto" w:fill="CFF0FC"/>
          </w:tcPr>
          <w:p>
            <w:pPr>
              <w:spacing w:after="0"/>
              <w:rPr>
                <w:sz w:val="16"/>
                <w:szCs w:val="16"/>
                <w:color w:val="auto"/>
              </w:rPr>
            </w:pPr>
          </w:p>
        </w:tc>
        <w:tc>
          <w:tcPr>
            <w:tcW w:w="88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74</w:t>
            </w:r>
          </w:p>
        </w:tc>
        <w:tc>
          <w:tcPr>
            <w:tcW w:w="260" w:type="dxa"/>
            <w:vAlign w:val="bottom"/>
            <w:gridSpan w:val="2"/>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240" w:type="dxa"/>
            <w:vAlign w:val="bottom"/>
            <w:gridSpan w:val="2"/>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40" w:type="dxa"/>
            <w:vAlign w:val="bottom"/>
            <w:gridSpan w:val="2"/>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ordinary shares under employee stock</w:t>
            </w:r>
          </w:p>
        </w:tc>
        <w:tc>
          <w:tcPr>
            <w:tcW w:w="8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473,414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4,308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4,312</w:t>
            </w:r>
          </w:p>
        </w:tc>
        <w:tc>
          <w:tcPr>
            <w:tcW w:w="0" w:type="dxa"/>
            <w:vAlign w:val="bottom"/>
          </w:tcPr>
          <w:p>
            <w:pPr>
              <w:spacing w:after="0"/>
              <w:rPr>
                <w:sz w:val="1"/>
                <w:szCs w:val="1"/>
                <w:color w:val="auto"/>
              </w:rPr>
            </w:pPr>
          </w:p>
        </w:tc>
      </w:tr>
      <w:tr>
        <w:trPr>
          <w:trHeight w:val="185"/>
        </w:trPr>
        <w:tc>
          <w:tcPr>
            <w:tcW w:w="3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plans</w:t>
            </w: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8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Receipt of Alkermes' shares for the exercise of stock</w:t>
            </w: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options or to satisfy minimum tax withholding</w:t>
            </w: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(83,317 )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(2,513 )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(2,513 )</w:t>
            </w:r>
          </w:p>
        </w:tc>
        <w:tc>
          <w:tcPr>
            <w:tcW w:w="0" w:type="dxa"/>
            <w:vAlign w:val="bottom"/>
          </w:tcPr>
          <w:p>
            <w:pPr>
              <w:spacing w:after="0"/>
              <w:rPr>
                <w:sz w:val="1"/>
                <w:szCs w:val="1"/>
                <w:color w:val="auto"/>
              </w:rPr>
            </w:pPr>
          </w:p>
        </w:tc>
      </w:tr>
      <w:tr>
        <w:trPr>
          <w:trHeight w:val="176"/>
        </w:trPr>
        <w:tc>
          <w:tcPr>
            <w:tcW w:w="3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25,704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25,704</w:t>
            </w:r>
          </w:p>
        </w:tc>
        <w:tc>
          <w:tcPr>
            <w:tcW w:w="0" w:type="dxa"/>
            <w:vAlign w:val="bottom"/>
          </w:tcPr>
          <w:p>
            <w:pPr>
              <w:spacing w:after="0"/>
              <w:rPr>
                <w:sz w:val="1"/>
                <w:szCs w:val="1"/>
                <w:color w:val="auto"/>
              </w:rPr>
            </w:pPr>
          </w:p>
        </w:tc>
      </w:tr>
      <w:tr>
        <w:trPr>
          <w:trHeight w:val="139"/>
        </w:trPr>
        <w:tc>
          <w:tcPr>
            <w:tcW w:w="348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Unrealized loss on marketable securities, net of tax</w:t>
            </w:r>
          </w:p>
        </w:tc>
        <w:tc>
          <w:tcPr>
            <w:tcW w:w="88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(249 )</w:t>
            </w:r>
          </w:p>
        </w:tc>
        <w:tc>
          <w:tcPr>
            <w:tcW w:w="0" w:type="dxa"/>
            <w:vAlign w:val="bottom"/>
          </w:tcPr>
          <w:p>
            <w:pPr>
              <w:spacing w:after="0"/>
              <w:rPr>
                <w:sz w:val="1"/>
                <w:szCs w:val="1"/>
                <w:color w:val="auto"/>
              </w:rPr>
            </w:pPr>
          </w:p>
        </w:tc>
      </w:tr>
      <w:tr>
        <w:trPr>
          <w:trHeight w:val="185"/>
        </w:trPr>
        <w:tc>
          <w:tcPr>
            <w:tcW w:w="3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benefit of $72</w:t>
            </w:r>
          </w:p>
        </w:tc>
        <w:tc>
          <w:tcPr>
            <w:tcW w:w="8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(28,988 )</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(28,988 )</w:t>
            </w:r>
          </w:p>
        </w:tc>
        <w:tc>
          <w:tcPr>
            <w:tcW w:w="0" w:type="dxa"/>
            <w:vAlign w:val="bottom"/>
          </w:tcPr>
          <w:p>
            <w:pPr>
              <w:spacing w:after="0"/>
              <w:rPr>
                <w:sz w:val="1"/>
                <w:szCs w:val="1"/>
                <w:color w:val="auto"/>
              </w:rPr>
            </w:pPr>
          </w:p>
        </w:tc>
      </w:tr>
      <w:tr>
        <w:trPr>
          <w:trHeight w:val="133"/>
        </w:trPr>
        <w:tc>
          <w:tcPr>
            <w:tcW w:w="348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9"/>
              <w:spacing w:after="0" w:line="133" w:lineRule="exact"/>
              <w:rPr>
                <w:sz w:val="20"/>
                <w:szCs w:val="20"/>
                <w:color w:val="auto"/>
              </w:rPr>
            </w:pPr>
            <w:r>
              <w:rPr>
                <w:rFonts w:ascii="Times New Roman" w:cs="Times New Roman" w:eastAsia="Times New Roman" w:hAnsi="Times New Roman"/>
                <w:sz w:val="14"/>
                <w:szCs w:val="14"/>
                <w:color w:val="auto"/>
              </w:rPr>
              <w:t>165,439,1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9"/>
              <w:spacing w:after="0" w:line="133" w:lineRule="exact"/>
              <w:rPr>
                <w:sz w:val="20"/>
                <w:szCs w:val="20"/>
                <w:color w:val="auto"/>
              </w:rPr>
            </w:pPr>
            <w:r>
              <w:rPr>
                <w:rFonts w:ascii="Times New Roman" w:cs="Times New Roman" w:eastAsia="Times New Roman" w:hAnsi="Times New Roman"/>
                <w:sz w:val="14"/>
                <w:szCs w:val="14"/>
                <w:color w:val="auto"/>
              </w:rPr>
              <w:t>(1,541,89</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29"/>
              <w:spacing w:after="0" w:line="133" w:lineRule="exact"/>
              <w:rPr>
                <w:sz w:val="20"/>
                <w:szCs w:val="20"/>
                <w:color w:val="auto"/>
              </w:rPr>
            </w:pPr>
            <w:r>
              <w:rPr>
                <w:rFonts w:ascii="Times New Roman" w:cs="Times New Roman" w:eastAsia="Times New Roman" w:hAnsi="Times New Roman"/>
                <w:sz w:val="14"/>
                <w:szCs w:val="14"/>
                <w:color w:val="auto"/>
              </w:rPr>
              <w:t>(3,752,96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September 30, 2021</w:t>
            </w:r>
          </w:p>
        </w:tc>
        <w:tc>
          <w:tcPr>
            <w:tcW w:w="88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1,654</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2,778,596</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(2,471 )</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(139,720 )</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1,096,168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-24765</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-7620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-24765</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-24765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75" w:lineRule="exact"/>
        <w:rPr>
          <w:sz w:val="20"/>
          <w:szCs w:val="20"/>
          <w:color w:val="auto"/>
        </w:rPr>
      </w:pPr>
    </w:p>
    <w:p>
      <w:pPr>
        <w:ind w:firstLine="374"/>
        <w:spacing w:after="0" w:line="244" w:lineRule="auto"/>
        <w:rPr>
          <w:sz w:val="20"/>
          <w:szCs w:val="20"/>
          <w:color w:val="auto"/>
        </w:rPr>
      </w:pPr>
      <w:r>
        <w:rPr>
          <w:rFonts w:ascii="Times New Roman" w:cs="Times New Roman" w:eastAsia="Times New Roman" w:hAnsi="Times New Roman"/>
          <w:sz w:val="18"/>
          <w:szCs w:val="18"/>
          <w:color w:val="auto"/>
        </w:rPr>
        <w:t>Alkermes plc is a fully-integrated, global biopharmaceutical company that applies its scientific expertise and proprietary technologies to research, develop and commercialize, both with partners and on its own, pharmaceutical products that are designed to address unmet medical needs of patients in the fields of neuroscience and oncology. Alkermes has a portfolio of proprietary commercial products focused on alcohol dependence, opioid dependence, schizophrenia and bipolar I disorder and a pipeline of product candidates in development for neurodegenerative disorders and cancer. Headquartered in Dublin, Ireland, the Company has a research and development (“R&amp;D”) center in Waltham, Massachusetts; an R&amp;D and manufacturing facility in Athlone, Ireland; and a manufacturing facility in Wilmington, Ohio.</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7" w:lineRule="exact"/>
        <w:rPr>
          <w:sz w:val="20"/>
          <w:szCs w:val="20"/>
          <w:color w:val="auto"/>
        </w:rPr>
      </w:pPr>
    </w:p>
    <w:p>
      <w:pPr>
        <w:ind w:right="60" w:firstLine="374"/>
        <w:spacing w:after="0" w:line="247"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for the three and nine months ended September 30, 2022 and 2021 are unaudited and have been prepared on a basis substantially consistent with the audited financial statements for the year ended December 31, 2021. The year-end condensed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of a normal recurring nature that are necessary to state fairly the results of operations for the reported periods.</w:t>
      </w:r>
    </w:p>
    <w:p>
      <w:pPr>
        <w:spacing w:after="0" w:line="139" w:lineRule="exact"/>
        <w:rPr>
          <w:sz w:val="20"/>
          <w:szCs w:val="20"/>
          <w:color w:val="auto"/>
        </w:rPr>
      </w:pPr>
    </w:p>
    <w:p>
      <w:pPr>
        <w:jc w:val="both"/>
        <w:ind w:right="60" w:firstLine="374"/>
        <w:spacing w:after="0" w:line="258"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audited consolidated financial statements and notes thereto of the Company, which are contained in the Company’s Annual Report. The results of the Company’s operations for any interim period are not necessarily indicative of the results of the Company’s operations for any other interim period or for any full fiscal year.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73" w:lineRule="exact"/>
        <w:rPr>
          <w:sz w:val="20"/>
          <w:szCs w:val="20"/>
          <w:color w:val="auto"/>
        </w:rPr>
      </w:pPr>
    </w:p>
    <w:p>
      <w:pPr>
        <w:jc w:val="both"/>
        <w:ind w:right="20" w:firstLine="374"/>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include the accounts of Alkermes plc and its wholly-owned subsidiaries as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Consolidated Financial Statements” accompanying the Company’s Annual Report. Intercompany accounts and transactions have been eliminated.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187"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The Company reclassified certain prior year amounts on the condensed consolidated balance sheet to conform to the current year presentation. These reclassifications had no impact on the previously reported total assets, liabilities or shareholders’ equity.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87" w:lineRule="exact"/>
        <w:rPr>
          <w:sz w:val="20"/>
          <w:szCs w:val="20"/>
          <w:color w:val="auto"/>
        </w:rPr>
      </w:pPr>
    </w:p>
    <w:p>
      <w:pPr>
        <w:ind w:firstLine="374"/>
        <w:spacing w:after="0" w:line="241"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accordance with GAAP requires that Company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but not limited to, those related to revenue from contracts with its customers and related allowances, impairment and amortization of intangibles and long-lived assets, share-based compensation, income taxes including the valuation allowance for deferred tax assets, valuation of investments, contingent consideration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conditions or using different assumptions.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187" w:lineRule="exact"/>
        <w:rPr>
          <w:sz w:val="20"/>
          <w:szCs w:val="20"/>
          <w:color w:val="auto"/>
        </w:rPr>
      </w:pPr>
    </w:p>
    <w:p>
      <w:pPr>
        <w:ind w:right="200" w:firstLine="374"/>
        <w:spacing w:after="0" w:line="250" w:lineRule="auto"/>
        <w:rPr>
          <w:sz w:val="20"/>
          <w:szCs w:val="20"/>
          <w:color w:val="auto"/>
        </w:rPr>
      </w:pPr>
      <w:r>
        <w:rPr>
          <w:rFonts w:ascii="Times New Roman" w:cs="Times New Roman" w:eastAsia="Times New Roman" w:hAnsi="Times New Roman"/>
          <w:sz w:val="18"/>
          <w:szCs w:val="18"/>
          <w:color w:val="auto"/>
        </w:rPr>
        <w:t>The Company operates as one business segment, which is the business of developing, manufacturing and commercializing medicines designed to address unmet medical needs of patients in major therapeutic areas. The Company’s chief decision maker, its Chief Executive Officer and chairman of its board of directors, reviews the Company’s operating results on an aggregate basis and manages the Company’s operations as a single operating unit.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173" w:lineRule="exact"/>
        <w:rPr>
          <w:sz w:val="20"/>
          <w:szCs w:val="20"/>
          <w:color w:val="auto"/>
        </w:rPr>
      </w:pPr>
    </w:p>
    <w:p>
      <w:pPr>
        <w:ind w:firstLine="374"/>
        <w:spacing w:after="0" w:line="246" w:lineRule="auto"/>
        <w:rPr>
          <w:sz w:val="20"/>
          <w:szCs w:val="20"/>
          <w:color w:val="auto"/>
        </w:rPr>
      </w:pPr>
      <w:r>
        <w:rPr>
          <w:rFonts w:ascii="Times New Roman" w:cs="Times New Roman" w:eastAsia="Times New Roman" w:hAnsi="Times New Roman"/>
          <w:sz w:val="18"/>
          <w:szCs w:val="18"/>
          <w:color w:val="auto"/>
        </w:rPr>
        <w:t>In March 2020, COVID-19 was declared a global pandemic by the World Health Organization. To date, COVID-19 has impacted nearly all regions of the world and resulted in travel and other restrictions and business slowdowns and/or shutdowns in affected areas. Ireland, all U.S. states, and many local jurisdictions and countries around the world have, at times during the pandemic, issued and implemented quarantines, vaccine and masking mandates, restrictive executive orders and other similar government orders, restrictions, and recommendations for their residents to help control the spread of COVID-19, and may continue to do so while the pandemic persists. Such orders, mandates, restrictions and/or recommendations, and/or the perception that additional orders, mandates, restrictions or recommendations could occur, have, at times during the pandemic, resulted in widespread interruptions and closures of businesses, including healthcare systems that serve people living with addiction and serious mental illness, work and supply chain stoppages, slowdowns and/or delays, remote work policies and travel restrictions, among other effects.</w:t>
      </w:r>
    </w:p>
    <w:p>
      <w:pPr>
        <w:spacing w:after="0" w:line="139" w:lineRule="exact"/>
        <w:rPr>
          <w:sz w:val="20"/>
          <w:szCs w:val="20"/>
          <w:color w:val="auto"/>
        </w:rPr>
      </w:pPr>
    </w:p>
    <w:p>
      <w:pPr>
        <w:ind w:right="120" w:firstLine="374"/>
        <w:spacing w:after="0" w:line="245" w:lineRule="auto"/>
        <w:rPr>
          <w:sz w:val="20"/>
          <w:szCs w:val="20"/>
          <w:color w:val="auto"/>
        </w:rPr>
      </w:pPr>
      <w:r>
        <w:rPr>
          <w:rFonts w:ascii="Times New Roman" w:cs="Times New Roman" w:eastAsia="Times New Roman" w:hAnsi="Times New Roman"/>
          <w:sz w:val="18"/>
          <w:szCs w:val="18"/>
          <w:color w:val="auto"/>
        </w:rPr>
        <w:t>The COVID-19 pandemic has caused, and the Company expects may continue to cause, varying degrees of disruption to its employees and its business operations. While the Company has continued to operate its manufacturing facilities and supply its medicines throughout the pandemic, it has at times during the pandemic, experienced labor or supply chain delays or disruptions at its manufacturing facilities, and may continue to experience such delays or disruptions while the pandemic persists. In addition, while the Company has continued to conduct R&amp;D activities, including its ongoing clinical trials, the COVID-19 pandemic has at times impacted the timelines of certain of its early-stage discovery efforts and clinical trials, and may continue to impact such timelines while the pandemic persists. The Company works with its internal teams, its clinical investigators, R&amp;D vendors and critical supply chain vendors to continually assess, and mitigate, the potential impact of COVID-19 on its manufacturing operations and R&amp;D activities.</w:t>
      </w:r>
    </w:p>
    <w:p>
      <w:pPr>
        <w:spacing w:after="0" w:line="154" w:lineRule="exact"/>
        <w:rPr>
          <w:sz w:val="20"/>
          <w:szCs w:val="20"/>
          <w:color w:val="auto"/>
        </w:rPr>
      </w:pPr>
    </w:p>
    <w:p>
      <w:pPr>
        <w:ind w:right="40" w:firstLine="374"/>
        <w:spacing w:after="0" w:line="246" w:lineRule="auto"/>
        <w:rPr>
          <w:sz w:val="20"/>
          <w:szCs w:val="20"/>
          <w:color w:val="auto"/>
        </w:rPr>
      </w:pPr>
      <w:r>
        <w:rPr>
          <w:rFonts w:ascii="Times New Roman" w:cs="Times New Roman" w:eastAsia="Times New Roman" w:hAnsi="Times New Roman"/>
          <w:sz w:val="18"/>
          <w:szCs w:val="18"/>
          <w:color w:val="auto"/>
        </w:rPr>
        <w:t>A number of the marketed products from which the Company derives revenue, including manufacturing and royalty revenue, are injectable medications administered by healthcare professionals. Given developments that have transpired to date, and may continue to transpire, in response to the pandemic, including business closures, travel restrictions, quarantine, testing and/or vaccine mandates and other protocols, labor shortages, and other restrictive measures, commercial sales of these marketed products have been adversely impacted to varying degrees during the pandemic and may continue to be adversely impacted while the pandemic persists.</w:t>
      </w:r>
    </w:p>
    <w:p>
      <w:pPr>
        <w:spacing w:after="0" w:line="154" w:lineRule="exact"/>
        <w:rPr>
          <w:sz w:val="20"/>
          <w:szCs w:val="20"/>
          <w:color w:val="auto"/>
        </w:rPr>
      </w:pPr>
    </w:p>
    <w:p>
      <w:pPr>
        <w:ind w:right="300" w:firstLine="374"/>
        <w:spacing w:after="0" w:line="246" w:lineRule="auto"/>
        <w:rPr>
          <w:sz w:val="20"/>
          <w:szCs w:val="20"/>
          <w:color w:val="auto"/>
        </w:rPr>
      </w:pPr>
      <w:r>
        <w:rPr>
          <w:rFonts w:ascii="Times New Roman" w:cs="Times New Roman" w:eastAsia="Times New Roman" w:hAnsi="Times New Roman"/>
          <w:sz w:val="18"/>
          <w:szCs w:val="18"/>
          <w:color w:val="auto"/>
        </w:rPr>
        <w:t>In addition, the Company relies upon third parties for many aspects of its business, including the provision of goods and services related to the manufacture of its clinical products and its and its partners’ marketed products, the conduct of its clinical trials, and the sale of its proprietary marketed products and the marketed products of its licensees from which the Company receives manufacturing and royalty revenue. Any prolonged material disruption to the third parties on which the Company relies could negatively impact the Company’s ability to conduct business in the manner and on the timelines presently planned, which could have a material adverse impact on the Company’s business, results of operations and financial condition.</w:t>
      </w:r>
    </w:p>
    <w:p>
      <w:pPr>
        <w:spacing w:after="0" w:line="154" w:lineRule="exact"/>
        <w:rPr>
          <w:sz w:val="20"/>
          <w:szCs w:val="20"/>
          <w:color w:val="auto"/>
        </w:rPr>
      </w:pPr>
    </w:p>
    <w:p>
      <w:pPr>
        <w:ind w:right="160" w:firstLine="374"/>
        <w:spacing w:after="0" w:line="244" w:lineRule="auto"/>
        <w:rPr>
          <w:sz w:val="20"/>
          <w:szCs w:val="20"/>
          <w:color w:val="auto"/>
        </w:rPr>
      </w:pPr>
      <w:r>
        <w:rPr>
          <w:rFonts w:ascii="Times New Roman" w:cs="Times New Roman" w:eastAsia="Times New Roman" w:hAnsi="Times New Roman"/>
          <w:sz w:val="18"/>
          <w:szCs w:val="18"/>
          <w:color w:val="auto"/>
        </w:rPr>
        <w:t>Due to numerous uncertainties surrounding the ongoing COVID-19 pandemic, the actual impact of the pandemic on the Company’s financial condition and operating results may differ from its current projections. These uncertainties include, among other things, the ultimate severity and duration of the pandemic and the manner in which it continues to evolve, including the emergence, prevalence and severity of new or existing COVID-19 variants, and future developments in response thereto, which are highly uncertain and cannot be predicted as of the date of this Form 10-Q.</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106"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(the “FASB”) or other standard-setting bodies that are adopted by the Company as of the specified effective date. Unless otherwise discussed, the Company believes that the impact of recently issued accounting pronouncements that are not yet effective will not have a material impact on its financial position or results of operations upon adoption.</w:t>
      </w:r>
    </w:p>
    <w:p>
      <w:pPr>
        <w:spacing w:after="0" w:line="138" w:lineRule="exact"/>
        <w:rPr>
          <w:sz w:val="20"/>
          <w:szCs w:val="20"/>
          <w:color w:val="auto"/>
        </w:rPr>
      </w:pPr>
    </w:p>
    <w:p>
      <w:pPr>
        <w:ind w:left="380" w:right="6660" w:hanging="372"/>
        <w:spacing w:after="0" w:line="396" w:lineRule="auto"/>
        <w:tabs>
          <w:tab w:leader="none" w:pos="18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FROM CONTRACTS WITH CUSTOMERS </w:t>
      </w:r>
      <w:r>
        <w:rPr>
          <w:rFonts w:ascii="Times New Roman" w:cs="Times New Roman" w:eastAsia="Times New Roman" w:hAnsi="Times New Roman"/>
          <w:sz w:val="18"/>
          <w:szCs w:val="18"/>
          <w:u w:val="single" w:color="auto"/>
          <w:color w:val="auto"/>
        </w:rPr>
        <w:t>Product Sales, Net</w:t>
      </w:r>
    </w:p>
    <w:p>
      <w:pPr>
        <w:spacing w:after="0" w:line="9" w:lineRule="exact"/>
        <w:rPr>
          <w:sz w:val="20"/>
          <w:szCs w:val="20"/>
          <w:color w:val="auto"/>
        </w:rPr>
      </w:pPr>
    </w:p>
    <w:p>
      <w:pPr>
        <w:ind w:right="20" w:firstLine="374"/>
        <w:spacing w:after="0" w:line="269" w:lineRule="auto"/>
        <w:rPr>
          <w:sz w:val="20"/>
          <w:szCs w:val="20"/>
          <w:color w:val="auto"/>
        </w:rPr>
      </w:pPr>
      <w:r>
        <w:rPr>
          <w:rFonts w:ascii="Times New Roman" w:cs="Times New Roman" w:eastAsia="Times New Roman" w:hAnsi="Times New Roman"/>
          <w:sz w:val="17"/>
          <w:szCs w:val="17"/>
          <w:color w:val="auto"/>
        </w:rPr>
        <w:t>The Company’s product sales, net consist of sales in the U.S. of VIVITROL, ARISTADA and ARISTADA INITIO and, following its commercial launch in October 2021, LYBALVI, primarily to wholesalers, specialty distributors and pharmacies. During the three and nine months ended September 30,</w:t>
      </w:r>
    </w:p>
    <w:p>
      <w:pPr>
        <w:spacing w:after="0"/>
        <w:rPr>
          <w:sz w:val="20"/>
          <w:szCs w:val="20"/>
          <w:color w:val="auto"/>
        </w:rPr>
      </w:pPr>
      <w:r>
        <w:rPr>
          <w:rFonts w:ascii="Times New Roman" w:cs="Times New Roman" w:eastAsia="Times New Roman" w:hAnsi="Times New Roman"/>
          <w:sz w:val="18"/>
          <w:szCs w:val="18"/>
          <w:color w:val="auto"/>
        </w:rPr>
        <w:t>2022 and 2021, the Company recorded product sales, net,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VIVITROL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96,534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88,864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277,493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251,815</w:t>
            </w:r>
          </w:p>
        </w:tc>
      </w:tr>
      <w:tr>
        <w:trPr>
          <w:trHeight w:val="216"/>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ARISTADA and ARISTADA INITIO</w:t>
            </w:r>
          </w:p>
        </w:tc>
        <w:tc>
          <w:tcPr>
            <w:tcW w:w="120" w:type="dxa"/>
            <w:vAlign w:val="bottom"/>
          </w:tcPr>
          <w:p>
            <w:pPr>
              <w:spacing w:after="0"/>
              <w:rPr>
                <w:sz w:val="18"/>
                <w:szCs w:val="18"/>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75,719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68,873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222,826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196,693</w:t>
            </w:r>
          </w:p>
        </w:tc>
      </w:tr>
      <w:tr>
        <w:trPr>
          <w:trHeight w:val="216"/>
        </w:trPr>
        <w:tc>
          <w:tcPr>
            <w:tcW w:w="6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LYBALVI</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27,127</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61,116</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product sales,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199,380</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157,737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561,435</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448,508</w:t>
            </w:r>
          </w:p>
        </w:tc>
      </w:tr>
      <w:tr>
        <w:trPr>
          <w:trHeight w:val="20"/>
        </w:trPr>
        <w:tc>
          <w:tcPr>
            <w:tcW w:w="6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-170815</wp:posOffset>
            </wp:positionV>
            <wp:extent cx="7683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7683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-170815</wp:posOffset>
            </wp:positionV>
            <wp:extent cx="7747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171450"/>
                    </a:xfrm>
                    <a:prstGeom prst="rect">
                      <a:avLst/>
                    </a:prstGeom>
                    <a:noFill/>
                  </pic:spPr>
                </pic:pic>
              </a:graphicData>
            </a:graphic>
          </wp:anchor>
        </w:drawing>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Manufacturing and Royalty Revenues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2022 and 2021, the Company recorded manufacturing and royalty revenues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12"/>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8"/>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Royalty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177"/>
              <w:spacing w:after="0" w:line="131"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Royalty</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40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1300" w:type="dxa"/>
            <w:vAlign w:val="bottom"/>
          </w:tcPr>
          <w:p>
            <w:pPr>
              <w:jc w:val="center"/>
              <w:ind w:right="177"/>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ind w:right="137"/>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313"/>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3400" w:type="dxa"/>
            <w:vAlign w:val="bottom"/>
            <w:vMerge w:val="restart"/>
          </w:tcPr>
          <w:p>
            <w:pPr>
              <w:ind w:left="20"/>
              <w:spacing w:after="0" w:line="257" w:lineRule="exact"/>
              <w:rPr>
                <w:sz w:val="20"/>
                <w:szCs w:val="20"/>
                <w:color w:val="auto"/>
              </w:rPr>
            </w:pPr>
            <w:r>
              <w:rPr>
                <w:rFonts w:ascii="Times New Roman" w:cs="Times New Roman" w:eastAsia="Times New Roman" w:hAnsi="Times New Roman"/>
                <w:sz w:val="18"/>
                <w:szCs w:val="18"/>
                <w:color w:val="auto"/>
              </w:rPr>
              <w:t>Long-acting INVEGA products</w:t>
            </w:r>
            <w:r>
              <w:rPr>
                <w:rFonts w:ascii="Times New Roman" w:cs="Times New Roman" w:eastAsia="Times New Roman" w:hAnsi="Times New Roman"/>
                <w:sz w:val="24"/>
                <w:szCs w:val="24"/>
                <w:color w:val="auto"/>
                <w:vertAlign w:val="superscript"/>
              </w:rPr>
              <w:t>(1)</w:t>
            </w: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4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26,737</w:t>
            </w:r>
          </w:p>
        </w:tc>
        <w:tc>
          <w:tcPr>
            <w:tcW w:w="4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26,737</w:t>
            </w:r>
          </w:p>
        </w:tc>
        <w:tc>
          <w:tcPr>
            <w:tcW w:w="4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90,439</w:t>
            </w:r>
          </w:p>
        </w:tc>
        <w:tc>
          <w:tcPr>
            <w:tcW w:w="12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90,439</w:t>
            </w: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VUMERITY</w:t>
            </w:r>
          </w:p>
        </w:tc>
        <w:tc>
          <w:tcPr>
            <w:tcW w:w="140" w:type="dxa"/>
            <w:vAlign w:val="bottom"/>
          </w:tcPr>
          <w:p>
            <w:pPr>
              <w:spacing w:after="0"/>
              <w:rPr>
                <w:sz w:val="18"/>
                <w:szCs w:val="18"/>
                <w:color w:val="auto"/>
              </w:rPr>
            </w:pP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5,584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20,666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22,629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60,386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83,015</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RISPERDAL CONSTA</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8,380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1,848</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32,529</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5,516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38,045</w:t>
            </w: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3,265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(13,539 )</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(10,274 )</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26,472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5,466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31,938</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17,229</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35,712</w:t>
            </w:r>
          </w:p>
        </w:tc>
        <w:tc>
          <w:tcPr>
            <w:tcW w:w="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52,941</w:t>
            </w:r>
          </w:p>
        </w:tc>
        <w:tc>
          <w:tcPr>
            <w:tcW w:w="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81,630</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161,807</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243,437</w:t>
            </w:r>
          </w:p>
        </w:tc>
        <w:tc>
          <w:tcPr>
            <w:tcW w:w="0" w:type="dxa"/>
            <w:vAlign w:val="bottom"/>
          </w:tcPr>
          <w:p>
            <w:pPr>
              <w:spacing w:after="0"/>
              <w:rPr>
                <w:sz w:val="1"/>
                <w:szCs w:val="1"/>
                <w:color w:val="auto"/>
              </w:rPr>
            </w:pPr>
          </w:p>
        </w:tc>
      </w:tr>
      <w:tr>
        <w:trPr>
          <w:trHeight w:val="358"/>
        </w:trPr>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gridSpan w:val="12"/>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8"/>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97"/>
              <w:spacing w:after="0" w:line="131"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Royalty</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Royalty</w:t>
            </w: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40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Long-acting INVEGA products</w:t>
            </w:r>
            <w:r>
              <w:rPr>
                <w:rFonts w:ascii="Times New Roman" w:cs="Times New Roman" w:eastAsia="Times New Roman" w:hAnsi="Times New Roman"/>
                <w:sz w:val="24"/>
                <w:szCs w:val="24"/>
                <w:color w:val="auto"/>
                <w:vertAlign w:val="superscript"/>
              </w:rPr>
              <w:t>(1)</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gridSpan w:val="2"/>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79,323</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top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79,323</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221,965</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221,965</w:t>
            </w: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VUMERITY</w:t>
            </w:r>
          </w:p>
        </w:tc>
        <w:tc>
          <w:tcPr>
            <w:tcW w:w="14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8,499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18,250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26,749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17,671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42,866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60,537</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RISPERDAL CONSTA</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8,725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2,245</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10,970</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31,411</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8,172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39,583</w:t>
            </w: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6,762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12,490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19,252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29,282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47,068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76,350</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23,986</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112,308</w:t>
            </w: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136,294</w:t>
            </w: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78,364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320,071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398,435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-1207770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-1190625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-1207770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-1190625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-1207770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-1190625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-1207770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-1190625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-1207770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-1190625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-24765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-7620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5" w:lineRule="exact"/>
        <w:rPr>
          <w:sz w:val="20"/>
          <w:szCs w:val="20"/>
          <w:color w:val="auto"/>
        </w:rPr>
      </w:pPr>
    </w:p>
    <w:p>
      <w:pPr>
        <w:ind w:left="760" w:right="32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“Long-acting INVEGA products”: INVEGA SUSTENNA/XEPLION (paliperidone palmitate), INVEGA TRINZA/TREVICTA (paliperidone palmitate) and INVEGA HAFYERA/BYANNLI (paliperidone palmitate)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1912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08" w:lineRule="exact"/>
        <w:rPr>
          <w:sz w:val="20"/>
          <w:szCs w:val="20"/>
          <w:color w:val="auto"/>
        </w:rPr>
      </w:pPr>
    </w:p>
    <w:p>
      <w:pPr>
        <w:ind w:right="40" w:firstLine="374"/>
        <w:spacing w:after="0" w:line="242" w:lineRule="auto"/>
        <w:rPr>
          <w:sz w:val="20"/>
          <w:szCs w:val="20"/>
          <w:color w:val="auto"/>
        </w:rPr>
      </w:pPr>
      <w:r>
        <w:rPr>
          <w:rFonts w:ascii="Times New Roman" w:cs="Times New Roman" w:eastAsia="Times New Roman" w:hAnsi="Times New Roman"/>
          <w:sz w:val="18"/>
          <w:szCs w:val="18"/>
          <w:color w:val="auto"/>
        </w:rPr>
        <w:t xml:space="preserve">On October 13, 2022, an arbitration panel found that the Company must return to Acorda approximately $16.5 million (inclusive of prejudgment interest and administrative fees) previously paid by Acorda under a license agreement between the Company and Acorda. This amount represents royalty revenue paid by Acorda since July 2020 related to AMPYRA. The Company expects it may be required to repay to Acorda an additional $1.8 million in royalty revenue previously paid by Acorda. The Company paid the $16.5 million arbitration award amount in October 2022 and expects to pay the $1.8 million in the fourth quarter of 2022. In addition, during the three months ended June 30, 2022, the Company had recorded $3.2 million of royalty revenue related to AMPYRA as the Company believed that it had met the necessary revenue recognition criteria under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However, as a result of the arbitration ruling, the Company reversed the $3.2 million as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28"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the panel found that the Company was no longer entitled to be paid those royalties. During the three and nine months ended September 30, 2022, the Company recorded both the $18.3 million in repayments and the $3.2 million reversal as reversals of royalty revenue within “Manufacturing and royalty revenue” in the accompanying condensed consolidated statements of operations and comprehensive loss. As a result of the panel’s ruling, the Company no longer has a contractual obligation to manufacture and supply AMPYRA or a contractual right to receive future manufacturing or royalty revenue for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AMPYRA.</w:t>
      </w:r>
    </w:p>
    <w:p>
      <w:pPr>
        <w:spacing w:after="0" w:line="112" w:lineRule="exact"/>
        <w:rPr>
          <w:sz w:val="20"/>
          <w:szCs w:val="20"/>
          <w:color w:val="auto"/>
        </w:rPr>
      </w:pPr>
    </w:p>
    <w:p>
      <w:pPr>
        <w:ind w:firstLine="374"/>
        <w:spacing w:after="0" w:line="243" w:lineRule="auto"/>
        <w:rPr>
          <w:sz w:val="20"/>
          <w:szCs w:val="20"/>
          <w:color w:val="auto"/>
        </w:rPr>
      </w:pPr>
      <w:r>
        <w:rPr>
          <w:rFonts w:ascii="Times New Roman" w:cs="Times New Roman" w:eastAsia="Times New Roman" w:hAnsi="Times New Roman"/>
          <w:sz w:val="18"/>
          <w:szCs w:val="18"/>
          <w:color w:val="auto"/>
        </w:rPr>
        <w:t xml:space="preserve">In November 2021, the Company received notice of partial termination of an exclusive license agreement with Janssen Pharmaceutica N.V., a subsidiary of Johnson &amp; Johnson Corporation (“Janssen Pharmaceutica”). Under this license agreement the Company provided Janssen Pharmaceutica with rights to, and know-how, training and technical assistance in respect of, the Company’s small particle pharmaceutical compound technology, known as NanoCrystal Technology, to develop dosage forms of paliperidone palmitate, including INVEGA SUSTENNA/XEPLION, INVEGA TRINZA/TREVICTA and INVEGA HAFYERA/BYANNLI. When the partial termination became effective in February 2022, Janssen Pharmaceutica ceased paying royalties related to sales of INVEGA SUSTENNA, INVEGA TRINZA and INVEGA HAFYERA in the U.S. and the Company stopped recognizing royalty revenue related to net sales of these products in the U.S. In April 2022, the Company commenced binding arbitration proceedings related to, among other things, Janssen Pharmaceutica’s partial termination of the license agreement and Janssen Pharmaceutica’s royalty and other obligations under the agreement. Refer to Note 15,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within the “Notes to Condensed Consolidated Financial Statements” in this Form 10-Q for additional information regarding the arbitration proceedings with Janssen Pharmaceutica.</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Contract Assets</w:t>
      </w:r>
    </w:p>
    <w:p>
      <w:pPr>
        <w:spacing w:after="0" w:line="185" w:lineRule="exact"/>
        <w:rPr>
          <w:sz w:val="20"/>
          <w:szCs w:val="20"/>
          <w:color w:val="auto"/>
        </w:rPr>
      </w:pPr>
    </w:p>
    <w:p>
      <w:pPr>
        <w:ind w:right="140" w:firstLine="374"/>
        <w:spacing w:after="0" w:line="246" w:lineRule="auto"/>
        <w:rPr>
          <w:sz w:val="20"/>
          <w:szCs w:val="20"/>
          <w:color w:val="auto"/>
        </w:rPr>
      </w:pPr>
      <w:r>
        <w:rPr>
          <w:rFonts w:ascii="Times New Roman" w:cs="Times New Roman" w:eastAsia="Times New Roman" w:hAnsi="Times New Roman"/>
          <w:sz w:val="18"/>
          <w:szCs w:val="18"/>
          <w:color w:val="auto"/>
        </w:rPr>
        <w:t>Contract assets include unbilled amounts resulting from sales under certain of the Company’s manufacturing contracts where revenue is recognized over time and $5.0 million of expected consideration from the Company’s collaboration with Biogen related to VUMERITY. The amounts included in the contract assets table below are classified as “Current assets” in the accompanying condensed consolidated balance sheets, as they relate to manufacturing processes that are completed in ten days to eight weeks and, in the case of the $5.0 million of consideration, an amount that is expected to be received in November 2022.</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contract assets at September 30, 2022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Contract Assets</w:t>
            </w:r>
          </w:p>
        </w:tc>
      </w:tr>
      <w:tr>
        <w:trPr>
          <w:trHeight w:val="210"/>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 at December 31, 2021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13,363</w:t>
            </w:r>
          </w:p>
        </w:tc>
      </w:tr>
      <w:tr>
        <w:trPr>
          <w:trHeight w:val="216"/>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Pr>
          <w:p>
            <w:pPr>
              <w:spacing w:after="0"/>
              <w:rPr>
                <w:sz w:val="18"/>
                <w:szCs w:val="18"/>
                <w:color w:val="auto"/>
              </w:rPr>
            </w:pP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30,215</w:t>
            </w:r>
          </w:p>
        </w:tc>
      </w:tr>
      <w:tr>
        <w:trPr>
          <w:trHeight w:val="216"/>
        </w:trPr>
        <w:tc>
          <w:tcPr>
            <w:tcW w:w="9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Transferred to receivables, net</w:t>
            </w:r>
          </w:p>
        </w:tc>
        <w:tc>
          <w:tcPr>
            <w:tcW w:w="28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(33,473 )</w:t>
            </w:r>
          </w:p>
        </w:tc>
      </w:tr>
      <w:tr>
        <w:trPr>
          <w:trHeight w:val="21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at September 30, 2022</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10,105</w:t>
            </w:r>
          </w:p>
        </w:tc>
      </w:tr>
      <w:tr>
        <w:trPr>
          <w:trHeight w:val="20"/>
        </w:trPr>
        <w:tc>
          <w:tcPr>
            <w:tcW w:w="9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Contract Liabilities</w:t>
      </w:r>
    </w:p>
    <w:p>
      <w:pPr>
        <w:spacing w:after="0" w:line="171" w:lineRule="exact"/>
        <w:rPr>
          <w:sz w:val="20"/>
          <w:szCs w:val="20"/>
          <w:color w:val="auto"/>
        </w:rPr>
      </w:pPr>
    </w:p>
    <w:p>
      <w:pPr>
        <w:ind w:right="320" w:firstLine="374"/>
        <w:spacing w:after="0"/>
        <w:rPr>
          <w:sz w:val="20"/>
          <w:szCs w:val="20"/>
          <w:color w:val="auto"/>
        </w:rPr>
      </w:pPr>
      <w:r>
        <w:rPr>
          <w:rFonts w:ascii="Times New Roman" w:cs="Times New Roman" w:eastAsia="Times New Roman" w:hAnsi="Times New Roman"/>
          <w:sz w:val="18"/>
          <w:szCs w:val="18"/>
          <w:color w:val="auto"/>
        </w:rPr>
        <w:t>Contract liabilities consist of contractual obligations related to deferred revenue. At September 30, 2022 and December 31, 2021, $4.0 million and $6.3 million of the contract liabilities, respectively, were classified as “Contract liabilities–short-term” in the accompanying condensed consolidated balance sheets and $4.6 million and $11.5 million of the contract liabilities, respectively, were classified as “Other long-term liabilities” in the accompanying condensed consolidated balance sheets.</w:t>
      </w:r>
    </w:p>
    <w:p>
      <w:pPr>
        <w:sectPr>
          <w:pgSz w:w="11900" w:h="16838" w:orient="portrait"/>
          <w:cols w:equalWidth="0" w:num="1">
            <w:col w:w="11240"/>
          </w:cols>
          <w:pgMar w:left="320" w:top="279" w:right="339" w:bottom="1440" w:gutter="0" w:footer="0" w:header="0"/>
        </w:sectPr>
      </w:pP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contract liabilities at September 30, 2022 were as follows:</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2021</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Amounts recognized into revenue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Amounts recognized into other (expense)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Contract liabilities at September 30, 2022</w:t>
      </w:r>
    </w:p>
    <w:p>
      <w:pPr>
        <w:spacing w:after="0" w:line="212" w:lineRule="exact"/>
        <w:rPr>
          <w:sz w:val="20"/>
          <w:szCs w:val="20"/>
          <w:color w:val="auto"/>
        </w:rPr>
      </w:pPr>
    </w:p>
    <w:p>
      <w:pPr>
        <w:jc w:val="right"/>
        <w:ind w:right="28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12769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9" w:lineRule="exact"/>
        <w:rPr>
          <w:sz w:val="20"/>
          <w:szCs w:val="20"/>
          <w:color w:val="auto"/>
        </w:rPr>
      </w:pPr>
    </w:p>
    <w:p>
      <w:pPr>
        <w:ind w:left="1380" w:hanging="1378"/>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17,830</w:t>
      </w:r>
    </w:p>
    <w:p>
      <w:pPr>
        <w:spacing w:after="0" w:line="19"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2,595</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(5,402 )</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(6,384 )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12769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8,639</w:t>
      </w:r>
    </w:p>
    <w:p>
      <w:pPr>
        <w:sectPr>
          <w:pgSz w:w="11900" w:h="16838" w:orient="portrait"/>
          <w:cols w:equalWidth="0" w:num="2">
            <w:col w:w="8520" w:space="720"/>
            <w:col w:w="2000"/>
          </w:cols>
          <w:pgMar w:left="320" w:top="279"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Investments consisted of the following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Gross Unrealized</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Greater than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86"/>
        </w:trPr>
        <w:tc>
          <w:tcPr>
            <w:tcW w:w="5080" w:type="dxa"/>
            <w:vAlign w:val="bottom"/>
          </w:tcPr>
          <w:p>
            <w:pPr>
              <w:ind w:left="1980"/>
              <w:spacing w:after="0"/>
              <w:rPr>
                <w:sz w:val="20"/>
                <w:szCs w:val="20"/>
                <w:color w:val="auto"/>
              </w:rPr>
            </w:pPr>
            <w:r>
              <w:rPr>
                <w:rFonts w:ascii="Times New Roman" w:cs="Times New Roman" w:eastAsia="Times New Roman" w:hAnsi="Times New Roman"/>
                <w:sz w:val="13"/>
                <w:szCs w:val="13"/>
                <w:b w:val="1"/>
                <w:bCs w:val="1"/>
                <w:color w:val="auto"/>
              </w:rPr>
              <w:t>September 30, 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Gains</w:t>
            </w:r>
          </w:p>
        </w:tc>
        <w:tc>
          <w:tcPr>
            <w:tcW w:w="160" w:type="dxa"/>
            <w:vAlign w:val="bottom"/>
          </w:tcPr>
          <w:p>
            <w:pPr>
              <w:spacing w:after="0"/>
              <w:rPr>
                <w:sz w:val="16"/>
                <w:szCs w:val="16"/>
                <w:color w:val="auto"/>
              </w:rPr>
            </w:pP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One Year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One Year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216"/>
        </w:trPr>
        <w:tc>
          <w:tcPr>
            <w:tcW w:w="50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135,140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132,568</w:t>
            </w:r>
          </w:p>
        </w:tc>
        <w:tc>
          <w:tcPr>
            <w:tcW w:w="0" w:type="dxa"/>
            <w:vAlign w:val="bottom"/>
          </w:tcPr>
          <w:p>
            <w:pPr>
              <w:spacing w:after="0"/>
              <w:rPr>
                <w:sz w:val="1"/>
                <w:szCs w:val="1"/>
                <w:color w:val="auto"/>
              </w:rPr>
            </w:pPr>
          </w:p>
        </w:tc>
      </w:tr>
      <w:tr>
        <w:trPr>
          <w:trHeight w:val="216"/>
        </w:trPr>
        <w:tc>
          <w:tcPr>
            <w:tcW w:w="5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135,444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134,056</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Non-U.S. government debt securities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50,148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49,601</w:t>
            </w:r>
          </w:p>
        </w:tc>
        <w:tc>
          <w:tcPr>
            <w:tcW w:w="0" w:type="dxa"/>
            <w:vAlign w:val="bottom"/>
          </w:tcPr>
          <w:p>
            <w:pPr>
              <w:spacing w:after="0"/>
              <w:rPr>
                <w:sz w:val="1"/>
                <w:szCs w:val="1"/>
                <w:color w:val="auto"/>
              </w:rPr>
            </w:pPr>
          </w:p>
        </w:tc>
      </w:tr>
      <w:tr>
        <w:trPr>
          <w:trHeight w:val="210"/>
        </w:trPr>
        <w:tc>
          <w:tcPr>
            <w:tcW w:w="508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320,732</w:t>
            </w: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(2,994 )</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(1,517 )</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316,225</w:t>
            </w: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87,038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83,675</w:t>
            </w:r>
          </w:p>
        </w:tc>
        <w:tc>
          <w:tcPr>
            <w:tcW w:w="0" w:type="dxa"/>
            <w:vAlign w:val="bottom"/>
          </w:tcPr>
          <w:p>
            <w:pPr>
              <w:spacing w:after="0"/>
              <w:rPr>
                <w:sz w:val="1"/>
                <w:szCs w:val="1"/>
                <w:color w:val="auto"/>
              </w:rPr>
            </w:pPr>
          </w:p>
        </w:tc>
      </w:tr>
      <w:tr>
        <w:trPr>
          <w:trHeight w:val="216"/>
        </w:trPr>
        <w:tc>
          <w:tcPr>
            <w:tcW w:w="5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73,109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69,967</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Non-U.S. government debt securities</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12,021</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(555 )</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11,466</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172,168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165,108</w:t>
            </w: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09"/>
        </w:trPr>
        <w:tc>
          <w:tcPr>
            <w:tcW w:w="50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173,988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(4,525 )</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(2,535 )</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166,928</w:t>
            </w:r>
          </w:p>
        </w:tc>
        <w:tc>
          <w:tcPr>
            <w:tcW w:w="0" w:type="dxa"/>
            <w:vAlign w:val="bottom"/>
          </w:tcPr>
          <w:p>
            <w:pPr>
              <w:spacing w:after="0"/>
              <w:rPr>
                <w:sz w:val="1"/>
                <w:szCs w:val="1"/>
                <w:color w:val="auto"/>
              </w:rPr>
            </w:pP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494,720</w:t>
            </w:r>
          </w:p>
        </w:tc>
        <w:tc>
          <w:tcPr>
            <w:tcW w:w="1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483,153</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0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08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85,201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85,339</w:t>
            </w:r>
          </w:p>
        </w:tc>
        <w:tc>
          <w:tcPr>
            <w:tcW w:w="0" w:type="dxa"/>
            <w:vAlign w:val="bottom"/>
          </w:tcPr>
          <w:p>
            <w:pPr>
              <w:spacing w:after="0"/>
              <w:rPr>
                <w:sz w:val="1"/>
                <w:szCs w:val="1"/>
                <w:color w:val="auto"/>
              </w:rPr>
            </w:pPr>
          </w:p>
        </w:tc>
      </w:tr>
      <w:tr>
        <w:trPr>
          <w:trHeight w:val="216"/>
        </w:trPr>
        <w:tc>
          <w:tcPr>
            <w:tcW w:w="5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45,349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45,360</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Non-U.S. government debt securities</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68,046</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68,068</w:t>
            </w:r>
          </w:p>
        </w:tc>
        <w:tc>
          <w:tcPr>
            <w:tcW w:w="0" w:type="dxa"/>
            <w:vAlign w:val="bottom"/>
          </w:tcPr>
          <w:p>
            <w:pPr>
              <w:spacing w:after="0"/>
              <w:rPr>
                <w:sz w:val="1"/>
                <w:szCs w:val="1"/>
                <w:color w:val="auto"/>
              </w:rPr>
            </w:pPr>
          </w:p>
        </w:tc>
      </w:tr>
      <w:tr>
        <w:trPr>
          <w:trHeight w:val="209"/>
        </w:trPr>
        <w:tc>
          <w:tcPr>
            <w:tcW w:w="5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198,596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198,767</w:t>
            </w: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111,793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111,139</w:t>
            </w:r>
          </w:p>
        </w:tc>
        <w:tc>
          <w:tcPr>
            <w:tcW w:w="0" w:type="dxa"/>
            <w:vAlign w:val="bottom"/>
          </w:tcPr>
          <w:p>
            <w:pPr>
              <w:spacing w:after="0"/>
              <w:rPr>
                <w:sz w:val="1"/>
                <w:szCs w:val="1"/>
                <w:color w:val="auto"/>
              </w:rPr>
            </w:pPr>
          </w:p>
        </w:tc>
      </w:tr>
      <w:tr>
        <w:trPr>
          <w:trHeight w:val="216"/>
        </w:trPr>
        <w:tc>
          <w:tcPr>
            <w:tcW w:w="5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81,296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80,779</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Non-U.S. government debt securities</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35,902</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35,692</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228,991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227,610</w:t>
            </w: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10"/>
        </w:trPr>
        <w:tc>
          <w:tcPr>
            <w:tcW w:w="50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230,811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(1,381 )</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229,430</w:t>
            </w:r>
          </w:p>
        </w:tc>
        <w:tc>
          <w:tcPr>
            <w:tcW w:w="0" w:type="dxa"/>
            <w:vAlign w:val="bottom"/>
          </w:tcPr>
          <w:p>
            <w:pPr>
              <w:spacing w:after="0"/>
              <w:rPr>
                <w:sz w:val="1"/>
                <w:szCs w:val="1"/>
                <w:color w:val="auto"/>
              </w:rPr>
            </w:pPr>
          </w:p>
        </w:tc>
      </w:tr>
      <w:tr>
        <w:trPr>
          <w:trHeight w:val="21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429,407</w:t>
            </w:r>
          </w:p>
        </w:tc>
        <w:tc>
          <w:tcPr>
            <w:tcW w:w="1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428,197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-4114165</wp:posOffset>
            </wp:positionV>
            <wp:extent cx="85725"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-4114165</wp:posOffset>
            </wp:positionV>
            <wp:extent cx="76835"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-4114165</wp:posOffset>
            </wp:positionV>
            <wp:extent cx="76835"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-4114165</wp:posOffset>
            </wp:positionV>
            <wp:extent cx="7747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-3274060</wp:posOffset>
            </wp:positionV>
            <wp:extent cx="85725"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-3274060</wp:posOffset>
            </wp:positionV>
            <wp:extent cx="76835"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-3274060</wp:posOffset>
            </wp:positionV>
            <wp:extent cx="76835"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-3274060</wp:posOffset>
            </wp:positionV>
            <wp:extent cx="7747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-2858135</wp:posOffset>
            </wp:positionV>
            <wp:extent cx="7132320" cy="586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58674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-1584960</wp:posOffset>
            </wp:positionV>
            <wp:extent cx="85725"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-1584960</wp:posOffset>
            </wp:positionV>
            <wp:extent cx="76835"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-1584960</wp:posOffset>
            </wp:positionV>
            <wp:extent cx="76835"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-1584960</wp:posOffset>
            </wp:positionV>
            <wp:extent cx="7747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-744855</wp:posOffset>
            </wp:positionV>
            <wp:extent cx="85725"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-744855</wp:posOffset>
            </wp:positionV>
            <wp:extent cx="76835"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-744855</wp:posOffset>
            </wp:positionV>
            <wp:extent cx="76835"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-744855</wp:posOffset>
            </wp:positionV>
            <wp:extent cx="7747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-329565</wp:posOffset>
            </wp:positionV>
            <wp:extent cx="7132320" cy="3302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330200"/>
                    </a:xfrm>
                    <a:prstGeom prst="rect">
                      <a:avLst/>
                    </a:prstGeom>
                    <a:noFill/>
                  </pic:spPr>
                </pic:pic>
              </a:graphicData>
            </a:graphic>
          </wp:anchor>
        </w:drawing>
      </w:r>
    </w:p>
    <w:p>
      <w:pPr>
        <w:spacing w:after="0" w:line="178" w:lineRule="exact"/>
        <w:rPr>
          <w:sz w:val="20"/>
          <w:szCs w:val="20"/>
          <w:color w:val="auto"/>
        </w:rPr>
      </w:pPr>
    </w:p>
    <w:p>
      <w:pPr>
        <w:ind w:right="60" w:firstLine="374"/>
        <w:spacing w:after="0" w:line="244" w:lineRule="auto"/>
        <w:rPr>
          <w:sz w:val="20"/>
          <w:szCs w:val="20"/>
          <w:color w:val="auto"/>
        </w:rPr>
      </w:pPr>
      <w:r>
        <w:rPr>
          <w:rFonts w:ascii="Times New Roman" w:cs="Times New Roman" w:eastAsia="Times New Roman" w:hAnsi="Times New Roman"/>
          <w:sz w:val="18"/>
          <w:szCs w:val="18"/>
          <w:color w:val="auto"/>
        </w:rPr>
        <w:t>At September 30, 2022, the Company reviewed its investment portfolio to assess whether the unrealized losses on its available-for-sale investments were temporary. Investments with unrealized losses consisted primarily of corporate debt securities and debt securities issued and backed by U.S. agencies and the U.S. government. At September 30, 2022, the aggregate estimated fair value of investments in an unrealized loss position was $477.0 million. The Company has the intent and ability to hold these investments until recovery, which may be at maturity. In making the determination whether the decline in fair value of these securities was temporary, the Company evaluated whether it intended to sell the security and whether it was more likely than not that the Company would be required to sell the security before recovering its amortized cost basis.</w:t>
      </w:r>
    </w:p>
    <w:p>
      <w:pPr>
        <w:spacing w:after="0" w:line="182" w:lineRule="exact"/>
        <w:rPr>
          <w:sz w:val="20"/>
          <w:szCs w:val="20"/>
          <w:color w:val="auto"/>
        </w:rPr>
      </w:pPr>
    </w:p>
    <w:p>
      <w:pPr>
        <w:ind w:right="320" w:firstLine="374"/>
        <w:spacing w:after="0" w:line="244" w:lineRule="auto"/>
        <w:rPr>
          <w:sz w:val="20"/>
          <w:szCs w:val="20"/>
          <w:color w:val="auto"/>
        </w:rPr>
      </w:pPr>
      <w:r>
        <w:rPr>
          <w:rFonts w:ascii="Times New Roman" w:cs="Times New Roman" w:eastAsia="Times New Roman" w:hAnsi="Times New Roman"/>
          <w:sz w:val="18"/>
          <w:szCs w:val="18"/>
          <w:color w:val="auto"/>
        </w:rPr>
        <w:t>In January 2022, the Company purchased a convertible promissory note in the principal amount of $0.5 million from Synchronicity Pharma, Inc. (“Synchronicity”), a related party. The convertible promissory note was classified as an available-for-sale corporate debt instrument. During the three months ended September 30, 2022, the Company determined there was an other-than-temporary loss related to this investment in Synchronicity and the $0.5 million was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within “Other (expense) income, net” in the accompanying condensed consolidated statements of operations and comprehensive loss.</w:t>
      </w:r>
    </w:p>
    <w:p>
      <w:pPr>
        <w:spacing w:after="0" w:line="198" w:lineRule="exact"/>
        <w:rPr>
          <w:sz w:val="20"/>
          <w:szCs w:val="20"/>
          <w:color w:val="auto"/>
        </w:rPr>
      </w:pPr>
    </w:p>
    <w:p>
      <w:pPr>
        <w:ind w:right="80" w:firstLine="374"/>
        <w:spacing w:after="0" w:line="250" w:lineRule="auto"/>
        <w:rPr>
          <w:sz w:val="20"/>
          <w:szCs w:val="20"/>
          <w:color w:val="auto"/>
        </w:rPr>
      </w:pPr>
      <w:r>
        <w:rPr>
          <w:rFonts w:ascii="Times New Roman" w:cs="Times New Roman" w:eastAsia="Times New Roman" w:hAnsi="Times New Roman"/>
          <w:sz w:val="18"/>
          <w:szCs w:val="18"/>
          <w:color w:val="auto"/>
        </w:rPr>
        <w:t>In May 2014, the Company entered into an agreement to invest in a partnership, Fountain Healthcare Partners II, L.P. of Ireland (“Fountain”), which was created to carry on the business of investing exclusively in companies and businesses engaged in the healthcare, pharmaceutical and life sciences sectors. As of September 30, 2022, the Company’s total contribution in Fountain was equal to €8.0 million, and its commitment represented approximately 7% of the partnership’s total funding. The Company is accounting for its investment in Fountain under the equity method.</w:t>
      </w:r>
    </w:p>
    <w:p>
      <w:pPr>
        <w:spacing w:after="0" w:line="177" w:lineRule="exact"/>
        <w:rPr>
          <w:sz w:val="20"/>
          <w:szCs w:val="20"/>
          <w:color w:val="auto"/>
        </w:rPr>
      </w:pPr>
    </w:p>
    <w:p>
      <w:pPr>
        <w:ind w:right="160" w:firstLine="374"/>
        <w:spacing w:after="0" w:line="245" w:lineRule="auto"/>
        <w:rPr>
          <w:sz w:val="20"/>
          <w:szCs w:val="20"/>
          <w:color w:val="auto"/>
        </w:rPr>
      </w:pPr>
      <w:r>
        <w:rPr>
          <w:rFonts w:ascii="Times New Roman" w:cs="Times New Roman" w:eastAsia="Times New Roman" w:hAnsi="Times New Roman"/>
          <w:sz w:val="18"/>
          <w:szCs w:val="18"/>
          <w:color w:val="auto"/>
        </w:rPr>
        <w:t>During the three months ended March 31, 2022, one of the companies within the Fountain portfolio was acquired by a third party. The Company’s proportional share of the proceeds from this transaction was $1.1 million, of which $1.0 million was received during the three months ended March 31, 2022 and the remaining $0.1 million is being held in escrow until May 2023. The transaction was accounted for under the cumulative earnings approach whereby the return on investment of $0.6 million was recorded as a gain within “Other (expense) income, net” in the accompanying condensed consolidated statements of operations and comprehensive loss and the return of investment of $0.5 million was recorded as a reduction in the Company’s net investment in Fountain. The Company’s net investment in Fountain was $6.7 million and $6.1 million at September 30, 2022 and December 31, 2021, respectively, and was included within “Other assets” in the accompanying condensed consolidated balance sheets.</w:t>
      </w:r>
    </w:p>
    <w:p>
      <w:pPr>
        <w:spacing w:after="0" w:line="168" w:lineRule="exact"/>
        <w:rPr>
          <w:sz w:val="20"/>
          <w:szCs w:val="20"/>
          <w:color w:val="auto"/>
        </w:rPr>
      </w:pPr>
    </w:p>
    <w:p>
      <w:pPr>
        <w:ind w:right="300" w:firstLine="37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recorded increases of $0.5 million and $1.6 million, respectively, in its investment in Fountain, which represented the Company’s proportional share of Fountain’s net gains.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Realized gains and losses on the sales and maturities of investments, which were identified using the specific identification method,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the sales and maturities of investments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190,994</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239,228</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529</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977</w:t>
            </w:r>
          </w:p>
        </w:tc>
      </w:tr>
    </w:tbl>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available-for-sale and held-to-maturity securities at September 30, 2022 had contractual maturities in the following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Held-to-maturity</w:t>
            </w:r>
          </w:p>
        </w:tc>
      </w:tr>
      <w:tr>
        <w:trPr>
          <w:trHeight w:val="158"/>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259"/>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97"/>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259"/>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317"/>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87"/>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318,866</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314,355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1,820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1,820</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174,034</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166,978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492,900</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481,333</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1,820</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1,820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-25400</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-8255</wp:posOffset>
            </wp:positionV>
            <wp:extent cx="857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857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857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857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85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w:t>
      </w:r>
    </w:p>
    <w:p>
      <w:pPr>
        <w:spacing w:after="0" w:line="189"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and indicates the fair value hierarchy and the valuation techniques that the Company utilized to determine such fair value: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19,927</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19,927</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204,023</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164,218</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39,805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216,243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216,243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Non-U.S. government debt securities</w:t>
            </w:r>
          </w:p>
        </w:tc>
        <w:tc>
          <w:tcPr>
            <w:tcW w:w="13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61,067</w:t>
            </w:r>
          </w:p>
        </w:tc>
        <w:tc>
          <w:tcPr>
            <w:tcW w:w="1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61,067</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501,260</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184,145</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317,115</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4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7"/>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126,139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96,597</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29,542</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196,478</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196,478</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Non-U.S. government debt securities</w:t>
            </w:r>
          </w:p>
        </w:tc>
        <w:tc>
          <w:tcPr>
            <w:tcW w:w="14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103,760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103,760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23,048</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23,048</w:t>
            </w:r>
          </w:p>
        </w:tc>
      </w:tr>
      <w:tr>
        <w:trPr>
          <w:trHeight w:val="209"/>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449,425</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96,597</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329,780</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23,048</w:t>
            </w: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-170815</wp:posOffset>
            </wp:positionV>
            <wp:extent cx="85725"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85725"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8572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164"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The Company transfers its financial assets and liabilities, measured at fair value on a recurring basis, between the fair value hierarchies at the end of each reporting period.</w:t>
      </w:r>
    </w:p>
    <w:p>
      <w:pPr>
        <w:spacing w:after="0" w:line="135"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There were no transfers of any securities between levels during the nine months ended September 30, 2022. The following table is a rollforward of the fair value of the Company’s investments with fair values that were determined using Level 3 inputs at September 30,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9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January 1, 2022</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23,048</w:t>
            </w:r>
          </w:p>
        </w:tc>
      </w:tr>
      <w:tr>
        <w:trPr>
          <w:trHeight w:val="216"/>
        </w:trPr>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corporate debt security</w:t>
            </w:r>
          </w:p>
        </w:tc>
        <w:tc>
          <w:tcPr>
            <w:tcW w:w="34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9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(21,750 )</w:t>
            </w:r>
          </w:p>
        </w:tc>
      </w:tr>
      <w:tr>
        <w:trPr>
          <w:trHeight w:val="216"/>
        </w:trPr>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Milestone and royalty payments received by the Company related to contingent consideration</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(1,273 )</w:t>
            </w:r>
          </w:p>
        </w:tc>
      </w:tr>
      <w:tr>
        <w:trPr>
          <w:trHeight w:val="216"/>
        </w:trPr>
        <w:tc>
          <w:tcPr>
            <w:tcW w:w="9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corporate debt security</w:t>
            </w: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16"/>
        </w:trPr>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payments due to the Company related to contingent consideration</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50"/>
        </w:trPr>
        <w:tc>
          <w:tcPr>
            <w:tcW w:w="9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ind w:right="20" w:firstLine="374"/>
        <w:spacing w:after="0" w:line="246" w:lineRule="auto"/>
        <w:rPr>
          <w:sz w:val="20"/>
          <w:szCs w:val="20"/>
          <w:color w:val="auto"/>
        </w:rPr>
      </w:pPr>
      <w:r>
        <w:rPr>
          <w:rFonts w:ascii="Times New Roman" w:cs="Times New Roman" w:eastAsia="Times New Roman" w:hAnsi="Times New Roman"/>
          <w:sz w:val="18"/>
          <w:szCs w:val="18"/>
          <w:color w:val="auto"/>
        </w:rPr>
        <w:t>The Company’s investments in U.S. government and agency debt securities, non-U.S. government agency debt securities and corporate debt securities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141" w:lineRule="exact"/>
        <w:rPr>
          <w:sz w:val="20"/>
          <w:szCs w:val="20"/>
          <w:color w:val="auto"/>
        </w:rPr>
      </w:pPr>
    </w:p>
    <w:p>
      <w:pPr>
        <w:ind w:right="120" w:firstLine="374"/>
        <w:spacing w:after="0" w:line="233" w:lineRule="auto"/>
        <w:rPr>
          <w:sz w:val="20"/>
          <w:szCs w:val="20"/>
          <w:color w:val="auto"/>
        </w:rPr>
      </w:pPr>
      <w:r>
        <w:rPr>
          <w:rFonts w:ascii="Times New Roman" w:cs="Times New Roman" w:eastAsia="Times New Roman" w:hAnsi="Times New Roman"/>
          <w:sz w:val="18"/>
          <w:szCs w:val="18"/>
          <w:color w:val="auto"/>
        </w:rPr>
        <w:t>In April 2015, the Company sold its Gainesville, GA manufacturing facility, the related manufacturing and royalty revenue associated with certain products manufactured at the facility, and the rights to intravenous/intramuscular (“IV/IM”) and parenteral forms of Meloxicam to Recro Pharma, Inc. (“Recro”) and Recro Gainesville LLC (such transaction, the “Gainesville Transaction”). The Gainesville Transaction included in the purchase price contingent consideration tied to low double digit royalties on net sales of the IV/IM and parenteral forms of Meloxicam and any other product with the same active ingredient as Meloxicam IV/IM that is discovered or identified using certain of the Company’s IP to which Recro was provided a right of use, through license or transfer, pursuant to the Gainesville Transaction (such products, the “Meloxicam Products”), and milestone payments upon the achievement of certain regulatory and sales milestones related to the Meloxicam Products.</w:t>
      </w:r>
    </w:p>
    <w:p>
      <w:pPr>
        <w:spacing w:after="0" w:line="146" w:lineRule="exact"/>
        <w:rPr>
          <w:sz w:val="20"/>
          <w:szCs w:val="20"/>
          <w:color w:val="auto"/>
        </w:rPr>
      </w:pPr>
    </w:p>
    <w:p>
      <w:pPr>
        <w:ind w:right="100" w:firstLine="374"/>
        <w:spacing w:after="0" w:line="242" w:lineRule="auto"/>
        <w:rPr>
          <w:sz w:val="20"/>
          <w:szCs w:val="20"/>
          <w:color w:val="auto"/>
        </w:rPr>
      </w:pPr>
      <w:r>
        <w:rPr>
          <w:rFonts w:ascii="Times New Roman" w:cs="Times New Roman" w:eastAsia="Times New Roman" w:hAnsi="Times New Roman"/>
          <w:sz w:val="18"/>
          <w:szCs w:val="18"/>
          <w:color w:val="auto"/>
        </w:rPr>
        <w:t>In November 2019, Recro spun out its acute care segment to Baudax Bio, Inc. (“Baudax”), a publicly-traded pharmaceutical company. As part of this transaction, Recro’s obligations to pay certain contingent consideration from the Gainesville Transaction, including royalties on net sales of Meloxicam Products and development and commercial milestones, were assigned and/or transferred to Baudax.</w:t>
      </w:r>
    </w:p>
    <w:p>
      <w:pPr>
        <w:spacing w:after="0" w:line="143" w:lineRule="exact"/>
        <w:rPr>
          <w:sz w:val="20"/>
          <w:szCs w:val="20"/>
          <w:color w:val="auto"/>
        </w:rPr>
      </w:pPr>
    </w:p>
    <w:p>
      <w:pPr>
        <w:ind w:right="100" w:firstLine="374"/>
        <w:spacing w:after="0" w:line="233" w:lineRule="auto"/>
        <w:rPr>
          <w:sz w:val="20"/>
          <w:szCs w:val="20"/>
          <w:color w:val="auto"/>
        </w:rPr>
      </w:pPr>
      <w:r>
        <w:rPr>
          <w:rFonts w:ascii="Times New Roman" w:cs="Times New Roman" w:eastAsia="Times New Roman" w:hAnsi="Times New Roman"/>
          <w:sz w:val="18"/>
          <w:szCs w:val="18"/>
          <w:color w:val="auto"/>
        </w:rPr>
        <w:t>In Baudax’s Quarterly Report on Form 10-Q for the period ended June 30, 2022, Baudax continued to include disclosures regarding its ability to continue as a going concern, which first appeared in its Annual Report on Form 10-K for the period ended December 31, 2021. In March 2022, Baudax reduced its workforce by approximately 80%, which was designed to reduce its operational expenses and conserve its cash resources. As a result of these events and the fact that, as of March 31, 2022, Baudax had only paid $0.5 million of the $6.4 million milestone payment that was due to the Company in March 2022, the Company recorded a reduction in the fair value of the contingent consideration of $19.1 million during the three months ended March 31, 2022. In light of Baudax’s continued disclosures regarding its ability to continue as a going concern and the fact that, as of September 30, 2022, Baudax had only paid $1.2 million of the $6.4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55" w:lineRule="exact"/>
        <w:rPr>
          <w:sz w:val="20"/>
          <w:szCs w:val="20"/>
          <w:color w:val="auto"/>
        </w:rPr>
      </w:pPr>
    </w:p>
    <w:p>
      <w:pPr>
        <w:ind w:right="40" w:firstLine="45"/>
        <w:spacing w:after="0" w:line="235" w:lineRule="auto"/>
        <w:rPr>
          <w:sz w:val="20"/>
          <w:szCs w:val="20"/>
          <w:color w:val="auto"/>
        </w:rPr>
      </w:pPr>
      <w:r>
        <w:rPr>
          <w:rFonts w:ascii="Times New Roman" w:cs="Times New Roman" w:eastAsia="Times New Roman" w:hAnsi="Times New Roman"/>
          <w:sz w:val="18"/>
          <w:szCs w:val="18"/>
          <w:color w:val="auto"/>
        </w:rPr>
        <w:t xml:space="preserve">million that was due to the Company in March 2022, the Company determined that it was unlikely to collect any further proceeds under this arrangement. During the three months ended September 30, 2022, the Company recorded a $3.6 million charge to reduce the fair value of the contingent consideration to zero within “Change in the fair value of contingent consideration” in the accompanying condensed consolidated statements of operations and comprehensive loss. In addition, during the three months ended September 30, 2022, the Company determined that certain construction in progress related to the manufacturing of the approved Meloxicam Product had no future value. See Note 7,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within the “Notes to Condensed Consolidated Financial Statements” in this Form 10-Q for details related to such construction in progress.</w:t>
      </w:r>
    </w:p>
    <w:p>
      <w:pPr>
        <w:spacing w:after="0" w:line="147" w:lineRule="exact"/>
        <w:rPr>
          <w:sz w:val="20"/>
          <w:szCs w:val="20"/>
          <w:color w:val="auto"/>
        </w:rPr>
      </w:pPr>
    </w:p>
    <w:p>
      <w:pPr>
        <w:ind w:right="160" w:firstLine="374"/>
        <w:spacing w:after="0" w:line="235" w:lineRule="auto"/>
        <w:rPr>
          <w:sz w:val="20"/>
          <w:szCs w:val="20"/>
          <w:color w:val="auto"/>
        </w:rPr>
      </w:pPr>
      <w:r>
        <w:rPr>
          <w:rFonts w:ascii="Times New Roman" w:cs="Times New Roman" w:eastAsia="Times New Roman" w:hAnsi="Times New Roman"/>
          <w:sz w:val="18"/>
          <w:szCs w:val="18"/>
          <w:color w:val="auto"/>
        </w:rPr>
        <w:t xml:space="preserve">At December 31, 2021, the Company determined that the fair value of the contingent consideration was $23.0 million, $6.4 million of which was included within “Prepaid expenses and other current assets” in the accompanying condensed consolidated balance sheets, and $16.6 million of which was included within “Other assets” in the accompanying condensed consolidated balance sheets. For discussion on the calculation of the fair value of the contingent consideration at December 31, 2021, refer to Note 5,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within the “Notes to Consolidated Financial Statements” in the Company’s Annual Report.</w:t>
      </w:r>
    </w:p>
    <w:p>
      <w:pPr>
        <w:spacing w:after="0" w:line="148" w:lineRule="exact"/>
        <w:rPr>
          <w:sz w:val="20"/>
          <w:szCs w:val="20"/>
          <w:color w:val="auto"/>
        </w:rPr>
      </w:pPr>
    </w:p>
    <w:p>
      <w:pPr>
        <w:ind w:right="520" w:firstLine="374"/>
        <w:spacing w:after="0" w:line="250" w:lineRule="auto"/>
        <w:rPr>
          <w:sz w:val="20"/>
          <w:szCs w:val="20"/>
          <w:color w:val="auto"/>
        </w:rPr>
      </w:pPr>
      <w:r>
        <w:rPr>
          <w:rFonts w:ascii="Times New Roman" w:cs="Times New Roman" w:eastAsia="Times New Roman" w:hAnsi="Times New Roman"/>
          <w:sz w:val="18"/>
          <w:szCs w:val="18"/>
          <w:color w:val="auto"/>
        </w:rPr>
        <w:t>The carrying amounts reflected in the accompanying condensed consolidated balance sheets for cash and cash equivalents, accounts receivable, contract assets, other current assets, accounts payable and accrued expenses approximate fair value due to their short-term nature.</w:t>
      </w:r>
    </w:p>
    <w:p>
      <w:pPr>
        <w:spacing w:after="0" w:line="136" w:lineRule="exact"/>
        <w:rPr>
          <w:sz w:val="20"/>
          <w:szCs w:val="20"/>
          <w:color w:val="auto"/>
        </w:rPr>
      </w:pPr>
    </w:p>
    <w:p>
      <w:pPr>
        <w:ind w:right="240" w:firstLine="374"/>
        <w:spacing w:after="0" w:line="242" w:lineRule="auto"/>
        <w:rPr>
          <w:sz w:val="20"/>
          <w:szCs w:val="20"/>
          <w:color w:val="auto"/>
        </w:rPr>
      </w:pPr>
      <w:r>
        <w:rPr>
          <w:rFonts w:ascii="Times New Roman" w:cs="Times New Roman" w:eastAsia="Times New Roman" w:hAnsi="Times New Roman"/>
          <w:sz w:val="18"/>
          <w:szCs w:val="18"/>
          <w:color w:val="auto"/>
        </w:rPr>
        <w:t>The estimated fair value of the Company’s long-term debt under its amended and restated credit agreement (such debt, the “2026 Term Loans”), which was based on quoted market price indications (Level 2 in the fair value hierarchy) and which may not be representative of actual values that could have been, or will be, realized in the future, was $279.6 million and $285.8 million at September 30, 2022 and December 31, 2021,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175" w:lineRule="exact"/>
        <w:rPr>
          <w:sz w:val="20"/>
          <w:szCs w:val="20"/>
          <w:color w:val="auto"/>
        </w:rPr>
      </w:pPr>
    </w:p>
    <w:p>
      <w:pPr>
        <w:ind w:right="460" w:firstLine="374"/>
        <w:spacing w:after="0" w:line="250" w:lineRule="auto"/>
        <w:rPr>
          <w:sz w:val="20"/>
          <w:szCs w:val="20"/>
          <w:color w:val="auto"/>
        </w:rPr>
      </w:pPr>
      <w:r>
        <w:rPr>
          <w:rFonts w:ascii="Times New Roman" w:cs="Times New Roman" w:eastAsia="Times New Roman" w:hAnsi="Times New Roman"/>
          <w:sz w:val="18"/>
          <w:szCs w:val="18"/>
          <w:color w:val="auto"/>
        </w:rPr>
        <w:t>Inventory is stated at the lower of cost and net realizable value. Cost is determined using the first-in, first-out method. Inventory consisted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57,889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56,125</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8"/>
                <w:szCs w:val="18"/>
                <w:color w:val="auto"/>
              </w:rPr>
            </w:pP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79,816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59,105</w:t>
            </w:r>
          </w:p>
        </w:tc>
      </w:tr>
      <w:tr>
        <w:trPr>
          <w:trHeight w:val="216"/>
        </w:trPr>
        <w:tc>
          <w:tcPr>
            <w:tcW w:w="772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Finished goods</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28,591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35,105</w:t>
            </w: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inventory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166,296</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150,335</w:t>
            </w: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97" w:lineRule="exact"/>
        <w:rPr>
          <w:sz w:val="20"/>
          <w:szCs w:val="20"/>
          <w:color w:val="auto"/>
        </w:rPr>
      </w:pPr>
    </w:p>
    <w:p>
      <w:pPr>
        <w:ind w:left="760" w:right="340" w:hanging="378"/>
        <w:spacing w:after="0" w:line="266" w:lineRule="auto"/>
        <w:tabs>
          <w:tab w:leader="none" w:pos="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2022 and December 31, 2021, the Company had $22.9 million and $25.1 million, respectively, of finished goods inventory located at its third-party warehouse and shipping service provider.</w:t>
      </w:r>
    </w:p>
    <w:p>
      <w:pPr>
        <w:spacing w:after="0" w:line="13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-502285</wp:posOffset>
            </wp:positionV>
            <wp:extent cx="11912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6,560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6,560</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2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194,785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192,920</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413,721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398,099</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52,526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52,526</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84,152</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86,512</w:t>
            </w: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751,744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736,617</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(425,394 )</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(395,563 )</w:t>
            </w: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326,350</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341,054</w:t>
            </w: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-453390</wp:posOffset>
            </wp:positionV>
            <wp:extent cx="111125"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125" cy="1460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16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In September 2022, the Company determined that $8.7 million of its construction in progress that related to the manufacturing of the approved</w:t>
      </w:r>
    </w:p>
    <w:p>
      <w:pPr>
        <w:spacing w:after="0" w:line="27" w:lineRule="exact"/>
        <w:rPr>
          <w:sz w:val="20"/>
          <w:szCs w:val="20"/>
          <w:color w:val="auto"/>
        </w:rPr>
      </w:pPr>
    </w:p>
    <w:p>
      <w:pPr>
        <w:jc w:val="both"/>
        <w:ind w:right="220"/>
        <w:spacing w:after="0"/>
        <w:rPr>
          <w:sz w:val="20"/>
          <w:szCs w:val="20"/>
          <w:color w:val="auto"/>
        </w:rPr>
      </w:pPr>
      <w:r>
        <w:rPr>
          <w:rFonts w:ascii="Times New Roman" w:cs="Times New Roman" w:eastAsia="Times New Roman" w:hAnsi="Times New Roman"/>
          <w:sz w:val="18"/>
          <w:szCs w:val="18"/>
          <w:color w:val="auto"/>
        </w:rPr>
        <w:t>Meloxicam Product had no future value. In addition, the Company had previously received $6.4 million from Baudax related to such equipment which it had recorded as contract liabilities within “Other long-term liabilities” in the accompanying condensed consolidated balance sheets. These amounts were recognized through “other (expense) income, net” in the accompanying condensed consolidated statements of operations and comprehensive loss.</w:t>
      </w: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Goodwill and intangible assets consisted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1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 Amortizable</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right"/>
              <w:ind w:right="236"/>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right"/>
              <w:ind w:right="316"/>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right"/>
              <w:ind w:right="316"/>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87"/>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6"/>
                <w:szCs w:val="16"/>
                <w:color w:val="auto"/>
              </w:rPr>
            </w:pPr>
          </w:p>
        </w:tc>
        <w:tc>
          <w:tcPr>
            <w:tcW w:w="13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80" w:type="dxa"/>
            <w:vAlign w:val="bottom"/>
            <w:tcBorders>
              <w:top w:val="single" w:sz="8" w:color="auto"/>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92,873</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92,873</w:t>
            </w:r>
          </w:p>
        </w:tc>
        <w:tc>
          <w:tcPr>
            <w:tcW w:w="0" w:type="dxa"/>
            <w:vAlign w:val="bottom"/>
          </w:tcPr>
          <w:p>
            <w:pPr>
              <w:spacing w:after="0"/>
              <w:rPr>
                <w:sz w:val="1"/>
                <w:szCs w:val="1"/>
                <w:color w:val="auto"/>
              </w:rPr>
            </w:pPr>
          </w:p>
        </w:tc>
      </w:tr>
      <w:tr>
        <w:trPr>
          <w:trHeight w:val="196"/>
        </w:trPr>
        <w:tc>
          <w:tcPr>
            <w:tcW w:w="4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Finite-lived intangible assets:</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Collaboration agreements</w:t>
            </w:r>
          </w:p>
        </w:tc>
        <w:tc>
          <w:tcPr>
            <w:tcW w:w="148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465,590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(428,609 )</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36,981</w:t>
            </w: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IP</w:t>
            </w:r>
          </w:p>
        </w:tc>
        <w:tc>
          <w:tcPr>
            <w:tcW w:w="148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11-13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118,160</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(108,296 )</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9,864</w:t>
            </w:r>
          </w:p>
        </w:tc>
        <w:tc>
          <w:tcPr>
            <w:tcW w:w="0" w:type="dxa"/>
            <w:vAlign w:val="bottom"/>
          </w:tcPr>
          <w:p>
            <w:pPr>
              <w:spacing w:after="0"/>
              <w:rPr>
                <w:sz w:val="1"/>
                <w:szCs w:val="1"/>
                <w:color w:val="auto"/>
              </w:rPr>
            </w:pPr>
          </w:p>
        </w:tc>
      </w:tr>
      <w:tr>
        <w:trPr>
          <w:trHeight w:val="249"/>
        </w:trPr>
        <w:tc>
          <w:tcPr>
            <w:tcW w:w="49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583,750</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(536,905 )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46,845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-607695</wp:posOffset>
            </wp:positionV>
            <wp:extent cx="1131570"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31570" cy="16256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1028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1028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946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946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78" w:lineRule="exact"/>
        <w:rPr>
          <w:sz w:val="20"/>
          <w:szCs w:val="20"/>
          <w:color w:val="auto"/>
        </w:rPr>
      </w:pPr>
    </w:p>
    <w:p>
      <w:pPr>
        <w:ind w:right="60" w:firstLine="374"/>
        <w:spacing w:after="0" w:line="244" w:lineRule="auto"/>
        <w:rPr>
          <w:sz w:val="20"/>
          <w:szCs w:val="20"/>
          <w:color w:val="auto"/>
        </w:rPr>
      </w:pPr>
      <w:r>
        <w:rPr>
          <w:rFonts w:ascii="Times New Roman" w:cs="Times New Roman" w:eastAsia="Times New Roman" w:hAnsi="Times New Roman"/>
          <w:sz w:val="18"/>
          <w:szCs w:val="18"/>
          <w:color w:val="auto"/>
        </w:rPr>
        <w:t>Based on the Company’s most recent analysis, amortization of intangible assets included in the accompanying condensed consolidated balance sheet at September 30, 2022 is expected to be approximately $35.0 million, $35.0 million and $1.0 million in the years ending December 31, 2022 through 2024, respectively. Although the Company believes that such analysis, and the available information and assumptions underlying such analysis, are reasonable, given the inherent risks and uncertainties underlying its expectations regarding such future revenues, there is the potential for the Company’s actual results to vary significantly from such expectations. If revenues are projected to change, the related amortization of the intangible assets will change in proportion to the change in revenues.</w:t>
      </w:r>
    </w:p>
    <w:p>
      <w:pPr>
        <w:spacing w:after="0" w:line="182" w:lineRule="exact"/>
        <w:rPr>
          <w:sz w:val="20"/>
          <w:szCs w:val="20"/>
          <w:color w:val="auto"/>
        </w:rPr>
      </w:pPr>
    </w:p>
    <w:p>
      <w:pPr>
        <w:ind w:right="100" w:firstLine="374"/>
        <w:spacing w:after="0" w:line="250" w:lineRule="auto"/>
        <w:rPr>
          <w:sz w:val="20"/>
          <w:szCs w:val="20"/>
          <w:color w:val="auto"/>
        </w:rPr>
      </w:pPr>
      <w:r>
        <w:rPr>
          <w:rFonts w:ascii="Times New Roman" w:cs="Times New Roman" w:eastAsia="Times New Roman" w:hAnsi="Times New Roman"/>
          <w:sz w:val="18"/>
          <w:szCs w:val="18"/>
          <w:color w:val="auto"/>
        </w:rPr>
        <w:t xml:space="preserve">In October 2022, the Company determined that an impairment-triggering event occurred as a result of the arbitration with Acorda, referenced in Note 3,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within the “Notes to Condensed Consolidated Financial Statements” in this Form 10-Q, and evaluated certain of its intangible assets for impairment under a held-and-used model. The Company concluded that the long-lived assets evaluated for impairment were recoverable based on an analysis of the undiscounted cash flows to be generated from the use of these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Future lease payments under non-cancelable leases at September 30, 2022 and December 31, 2021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4,489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17,991</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18,148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17,329</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18,418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17,535</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18,692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17,808</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14,661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13,777</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95,304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95,229</w:t>
            </w: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169,712</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179,669</w:t>
            </w:r>
          </w:p>
        </w:tc>
      </w:tr>
      <w:tr>
        <w:trPr>
          <w:trHeight w:val="210"/>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(58,225 )</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(59,267 )</w:t>
            </w:r>
          </w:p>
        </w:tc>
      </w:tr>
      <w:tr>
        <w:trPr>
          <w:trHeight w:val="24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111,487</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120,402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-316230</wp:posOffset>
            </wp:positionV>
            <wp:extent cx="111125"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ind w:right="100" w:firstLine="374"/>
        <w:spacing w:after="0" w:line="245" w:lineRule="auto"/>
        <w:rPr>
          <w:sz w:val="20"/>
          <w:szCs w:val="20"/>
          <w:color w:val="auto"/>
        </w:rPr>
      </w:pPr>
      <w:r>
        <w:rPr>
          <w:rFonts w:ascii="Times New Roman" w:cs="Times New Roman" w:eastAsia="Times New Roman" w:hAnsi="Times New Roman"/>
          <w:sz w:val="18"/>
          <w:szCs w:val="18"/>
          <w:color w:val="auto"/>
        </w:rPr>
        <w:t>At September 30, 2022, the weighted average incremental borrowing rate and the weighted average remaining lease term for all operating leases held by the Company were 5.23% and 10.9 years, respectively. Cash paid for lease liabilities was $4.5 million and $13.4 million during the three and nine months ended September 30, 2022, respectively, compared to $4.4 million and $12.5 million during the three and nine months ended September 30, 2021, respectively. The Company recorded operating lease expense of $4.1 million and $12.5 million during the three and nine months ended September 30, 2022, respectively, as compared to $4.3 million and $12.9 million during the three and nine months ended September 30, 2021, respectively.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189" w:lineRule="exact"/>
        <w:rPr>
          <w:sz w:val="20"/>
          <w:szCs w:val="20"/>
          <w:color w:val="auto"/>
        </w:rPr>
      </w:pPr>
    </w:p>
    <w:p>
      <w:pPr>
        <w:ind w:left="380" w:right="6000" w:hanging="372"/>
        <w:spacing w:after="0" w:line="468" w:lineRule="auto"/>
        <w:tabs>
          <w:tab w:leader="none" w:pos="27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ACCOUNTS PAYABLE AND ACCRUED EXPENSES </w:t>
      </w:r>
      <w:r>
        <w:rPr>
          <w:rFonts w:ascii="Times New Roman" w:cs="Times New Roman" w:eastAsia="Times New Roman" w:hAnsi="Times New Roman"/>
          <w:sz w:val="18"/>
          <w:szCs w:val="18"/>
          <w:color w:val="auto"/>
        </w:rPr>
        <w:t>Accounts payable and accrued expenses consisted of the following:</w:t>
      </w: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33,199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55,721</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60,920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77,256</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3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117,058</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75,514</w:t>
            </w: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211,177</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208,491</w:t>
            </w: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72"/>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A summary of the Company’s current provision for sales discounts, allowances and reserves is as follows:</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67"/>
        </w:trPr>
        <w:tc>
          <w:tcPr>
            <w:tcW w:w="7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36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9"/>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-770890</wp:posOffset>
            </wp:positionV>
            <wp:extent cx="11112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Medicaid rebates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Product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Medicare Part 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Total accrued sales discounts, allowances and reserves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DEBT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40" w:type="dxa"/>
            <w:vAlign w:val="bottom"/>
            <w:tcBorders>
              <w:top w:val="single" w:sz="8" w:color="auto"/>
            </w:tcBorders>
          </w:tcPr>
          <w:p>
            <w:pPr>
              <w:jc w:val="right"/>
              <w:ind w:right="3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189,838</w:t>
            </w:r>
          </w:p>
        </w:tc>
        <w:tc>
          <w:tcPr>
            <w:tcW w:w="180" w:type="dxa"/>
            <w:vAlign w:val="bottom"/>
          </w:tcPr>
          <w:p>
            <w:pPr>
              <w:spacing w:after="0"/>
              <w:rPr>
                <w:sz w:val="16"/>
                <w:szCs w:val="16"/>
                <w:color w:val="auto"/>
              </w:rPr>
            </w:pPr>
          </w:p>
        </w:tc>
        <w:tc>
          <w:tcPr>
            <w:tcW w:w="520" w:type="dxa"/>
            <w:vAlign w:val="bottom"/>
            <w:tcBorders>
              <w:top w:val="single" w:sz="8" w:color="auto"/>
            </w:tcBorders>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195,413</w:t>
            </w:r>
          </w:p>
        </w:tc>
      </w:tr>
      <w:tr>
        <w:trPr>
          <w:trHeight w:val="216"/>
        </w:trPr>
        <w:tc>
          <w:tcPr>
            <w:tcW w:w="5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16,425</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14,951</w:t>
            </w:r>
          </w:p>
        </w:tc>
      </w:tr>
      <w:tr>
        <w:trPr>
          <w:trHeight w:val="216"/>
        </w:trPr>
        <w:tc>
          <w:tcPr>
            <w:tcW w:w="5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17,664</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14,348</w:t>
            </w:r>
          </w:p>
        </w:tc>
      </w:tr>
      <w:tr>
        <w:trPr>
          <w:trHeight w:val="234"/>
        </w:trPr>
        <w:tc>
          <w:tcPr>
            <w:tcW w:w="5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11,713</w:t>
            </w:r>
          </w:p>
        </w:tc>
        <w:tc>
          <w:tcPr>
            <w:tcW w:w="1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12,504</w:t>
            </w:r>
          </w:p>
        </w:tc>
      </w:tr>
      <w:tr>
        <w:trPr>
          <w:trHeight w:val="209"/>
        </w:trPr>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235,640</w:t>
            </w:r>
          </w:p>
        </w:tc>
        <w:tc>
          <w:tcPr>
            <w:tcW w:w="18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237,216</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tabs>
          <w:tab w:leader="none" w:pos="2200" w:val="left"/>
        </w:tabs>
        <w:rPr>
          <w:sz w:val="20"/>
          <w:szCs w:val="20"/>
          <w:color w:val="auto"/>
        </w:rPr>
      </w:pPr>
      <w:r>
        <w:rPr>
          <w:rFonts w:ascii="Times New Roman" w:cs="Times New Roman" w:eastAsia="Times New Roman" w:hAnsi="Times New Roman"/>
          <w:sz w:val="14"/>
          <w:szCs w:val="14"/>
          <w:b w:val="1"/>
          <w:bCs w:val="1"/>
          <w:color w:val="auto"/>
        </w:rPr>
        <w:t>September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29" w:lineRule="exact"/>
        <w:rPr>
          <w:sz w:val="20"/>
          <w:szCs w:val="20"/>
          <w:color w:val="auto"/>
        </w:rPr>
      </w:pPr>
    </w:p>
    <w:p>
      <w:pPr>
        <w:ind w:left="640"/>
        <w:spacing w:after="0"/>
        <w:tabs>
          <w:tab w:leader="none" w:pos="24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11" w:lineRule="exact"/>
        <w:rPr>
          <w:sz w:val="20"/>
          <w:szCs w:val="20"/>
          <w:color w:val="auto"/>
        </w:rPr>
      </w:pPr>
    </w:p>
    <w:p>
      <w:pPr>
        <w:sectPr>
          <w:pgSz w:w="11900" w:h="16838" w:orient="portrait"/>
          <w:cols w:equalWidth="0" w:num="2">
            <w:col w:w="7000" w:space="720"/>
            <w:col w:w="3520"/>
          </w:cols>
          <w:pgMar w:left="320" w:top="279"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 Term Loans, due March 12, 2026</w:t>
            </w: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293,904</w:t>
            </w:r>
          </w:p>
        </w:tc>
        <w:tc>
          <w:tcPr>
            <w:tcW w:w="18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295,804</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current portion</w:t>
            </w: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49"/>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Long-term debt</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290,904</w:t>
            </w:r>
          </w:p>
        </w:tc>
        <w:tc>
          <w:tcPr>
            <w:tcW w:w="1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292,804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51" w:lineRule="exact"/>
        <w:rPr>
          <w:sz w:val="20"/>
          <w:szCs w:val="20"/>
          <w:color w:val="auto"/>
        </w:rPr>
      </w:pPr>
    </w:p>
    <w:p>
      <w:pPr>
        <w:ind w:right="260" w:firstLine="374"/>
        <w:spacing w:after="0" w:line="250" w:lineRule="auto"/>
        <w:rPr>
          <w:sz w:val="20"/>
          <w:szCs w:val="20"/>
          <w:color w:val="auto"/>
        </w:rPr>
      </w:pPr>
      <w:r>
        <w:rPr>
          <w:rFonts w:ascii="Times New Roman" w:cs="Times New Roman" w:eastAsia="Times New Roman" w:hAnsi="Times New Roman"/>
          <w:sz w:val="18"/>
          <w:szCs w:val="18"/>
          <w:color w:val="auto"/>
        </w:rPr>
        <w:t>In March 2021, the Company amended and refinanced its existing term loans, resulting in the 2026 Term Loans (such refinancing, the “Term Loan Refinancing”). The 2026 Term Loans mature on March 12, 2026 and bear interest payable at LIBOR plus 2.50% with a LIBOR floor of 0.5%. The 2026 Term Loans have an incremental facility capacity in the amount of $175.0 million plus additional amounts, provided that the Company meets certain conditions, including a specified leverage ratio. The Company was in compliance with its debt covenants at September 30, 2022.</w:t>
      </w:r>
    </w:p>
    <w:p>
      <w:pPr>
        <w:spacing w:after="0" w:line="164" w:lineRule="exact"/>
        <w:rPr>
          <w:sz w:val="20"/>
          <w:szCs w:val="20"/>
          <w:color w:val="auto"/>
        </w:rPr>
      </w:pPr>
    </w:p>
    <w:p>
      <w:pPr>
        <w:jc w:val="both"/>
        <w:ind w:right="20" w:firstLine="374"/>
        <w:spacing w:after="0" w:line="258" w:lineRule="auto"/>
        <w:rPr>
          <w:sz w:val="20"/>
          <w:szCs w:val="20"/>
          <w:color w:val="auto"/>
        </w:rPr>
      </w:pPr>
      <w:r>
        <w:rPr>
          <w:rFonts w:ascii="Times New Roman" w:cs="Times New Roman" w:eastAsia="Times New Roman" w:hAnsi="Times New Roman"/>
          <w:sz w:val="18"/>
          <w:szCs w:val="18"/>
          <w:color w:val="auto"/>
        </w:rPr>
        <w:t xml:space="preserve">Included in “Interest expense” in the accompanying condensed consolidated statement of operations and comprehensive loss in the nine months ended September 30, 2021 was $2.1 million related to the Term Loan Refinancing. Refer to Note 11,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within the “Notes to Consolidated Financial Statements” in the Company’s Annual Report for a discussion on accounting for the Term Loan Refinancing.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SHARE-BASED COMPENSATION</w:t>
      </w:r>
    </w:p>
    <w:p>
      <w:pPr>
        <w:spacing w:after="0" w:line="175"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share-based compensation expense included in the accompanying condensed consolidated statements of operations and comprehensive loss: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manufactured and sold</w:t>
            </w: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2,623</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2,666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7,406</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7,527</w:t>
            </w: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6,858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7,960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19,688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19,154</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16,570</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14,974</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40,677</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41,922</w:t>
            </w:r>
          </w:p>
        </w:tc>
        <w:tc>
          <w:tcPr>
            <w:tcW w:w="0" w:type="dxa"/>
            <w:vAlign w:val="bottom"/>
          </w:tcPr>
          <w:p>
            <w:pPr>
              <w:spacing w:after="0"/>
              <w:rPr>
                <w:sz w:val="1"/>
                <w:szCs w:val="1"/>
                <w:color w:val="auto"/>
              </w:rPr>
            </w:pPr>
          </w:p>
        </w:tc>
      </w:tr>
      <w:tr>
        <w:trPr>
          <w:trHeight w:val="210"/>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26,051</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25,600</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67,771</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68,603</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5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34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-505460</wp:posOffset>
            </wp:positionV>
            <wp:extent cx="9398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-505460</wp:posOffset>
            </wp:positionV>
            <wp:extent cx="85725"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-505460</wp:posOffset>
            </wp:positionV>
            <wp:extent cx="85725"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193"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At September 30, 2022 and December 31, 2021, $3.0 million and $2.3 million, respectively, of share-based compensation expense was capitalized and recorded as “Inventory” in the accompanying condensed consolidated balance sheets.</w:t>
      </w:r>
    </w:p>
    <w:p>
      <w:pPr>
        <w:spacing w:after="0" w:line="162"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On July 7, 2022, the Company’s shareholders approved an amended version of the Alkermes plc 2018 Stock Option and Incentive Plan that served to, among other things, increase the number of ordinary shares authorized for issuance thereunder by 8,300,000.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LOSS PER SHARE</w:t>
      </w:r>
    </w:p>
    <w:p>
      <w:pPr>
        <w:spacing w:after="0" w:line="202" w:lineRule="exact"/>
        <w:rPr>
          <w:sz w:val="20"/>
          <w:szCs w:val="20"/>
          <w:color w:val="auto"/>
        </w:rPr>
      </w:pPr>
    </w:p>
    <w:p>
      <w:pPr>
        <w:ind w:firstLine="374"/>
        <w:spacing w:after="0" w:line="250" w:lineRule="auto"/>
        <w:rPr>
          <w:sz w:val="20"/>
          <w:szCs w:val="20"/>
          <w:color w:val="auto"/>
        </w:rPr>
      </w:pPr>
      <w:r>
        <w:rPr>
          <w:rFonts w:ascii="Times New Roman" w:cs="Times New Roman" w:eastAsia="Times New Roman" w:hAnsi="Times New Roman"/>
          <w:sz w:val="18"/>
          <w:szCs w:val="18"/>
          <w:color w:val="auto"/>
        </w:rPr>
        <w:t>Basic loss per ordinary share is calculated based upon net loss available to holders of ordinary shares divided by the weighted average number of shares outstanding. For the three and nine months ended September 30, 2022 and 2021, as the Company was in a net loss position, the diluted loss per share calculation did not assume conversion or exercise of stock options and restricted stock unit awards, as they would have had an anti-dilutive effect on loss per share.</w:t>
      </w:r>
    </w:p>
    <w:p>
      <w:pPr>
        <w:spacing w:after="0" w:line="353" w:lineRule="exact"/>
        <w:rPr>
          <w:sz w:val="20"/>
          <w:szCs w:val="20"/>
          <w:color w:val="auto"/>
        </w:rPr>
      </w:pPr>
    </w:p>
    <w:p>
      <w:pPr>
        <w:ind w:right="340" w:firstLine="374"/>
        <w:spacing w:after="0" w:line="266" w:lineRule="auto"/>
        <w:rPr>
          <w:sz w:val="20"/>
          <w:szCs w:val="20"/>
          <w:color w:val="auto"/>
        </w:rPr>
      </w:pPr>
      <w:r>
        <w:rPr>
          <w:rFonts w:ascii="Times New Roman" w:cs="Times New Roman" w:eastAsia="Times New Roman" w:hAnsi="Times New Roman"/>
          <w:sz w:val="18"/>
          <w:szCs w:val="18"/>
          <w:color w:val="auto"/>
        </w:rPr>
        <w:t>The following potential ordinary share equivalents were not included in the net loss per share calculation because the effect would have been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0" w:type="dxa"/>
            <w:vAlign w:val="bottom"/>
          </w:tcPr>
          <w:p>
            <w:pPr>
              <w:spacing w:after="0"/>
              <w:rPr>
                <w:sz w:val="15"/>
                <w:szCs w:val="15"/>
                <w:color w:val="auto"/>
              </w:rPr>
            </w:pPr>
          </w:p>
        </w:tc>
        <w:tc>
          <w:tcPr>
            <w:tcW w:w="2680" w:type="dxa"/>
            <w:vAlign w:val="bottom"/>
            <w:gridSpan w:val="4"/>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660" w:type="dxa"/>
            <w:vAlign w:val="bottom"/>
            <w:gridSpan w:val="4"/>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0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bottom w:val="single" w:sz="8" w:color="auto"/>
            </w:tcBorders>
            <w:gridSpan w:val="3"/>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69"/>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13,031</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11,827</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12,784</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15,344</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 awards</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4,922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4,714</w:t>
            </w: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5,459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3,532</w:t>
            </w:r>
          </w:p>
        </w:tc>
      </w:tr>
      <w:tr>
        <w:trPr>
          <w:trHeight w:val="249"/>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17,953</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16,541</w:t>
            </w:r>
          </w:p>
        </w:tc>
        <w:tc>
          <w:tcPr>
            <w:tcW w:w="1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18,243</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18,876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-25400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89" w:lineRule="exact"/>
        <w:rPr>
          <w:sz w:val="20"/>
          <w:szCs w:val="20"/>
          <w:color w:val="auto"/>
        </w:rPr>
      </w:pPr>
    </w:p>
    <w:p>
      <w:pPr>
        <w:ind w:right="20" w:firstLine="374"/>
        <w:spacing w:after="0" w:line="210" w:lineRule="exact"/>
        <w:rPr>
          <w:sz w:val="20"/>
          <w:szCs w:val="20"/>
          <w:color w:val="auto"/>
        </w:rPr>
      </w:pPr>
      <w:r>
        <w:rPr>
          <w:rFonts w:ascii="Times New Roman" w:cs="Times New Roman" w:eastAsia="Times New Roman" w:hAnsi="Times New Roman"/>
          <w:sz w:val="18"/>
          <w:szCs w:val="18"/>
          <w:color w:val="auto"/>
        </w:rPr>
        <w:t>The Company recognizes income taxes under the asset and liability method. Deferred income taxes are recognized for differences between the financial reporting and tax bases of assets and liabilities at enacted statutory tax rates in effect for the years in which the differences are expected to reverse. The effect on deferred taxes of a change in tax rates is recognized in income in the period that includes the enactment date. In determining future taxable income, the Company is responsible for assumptions that it utilizes including the amount of Irish and non-Irish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uses to manage the underlying business.</w:t>
      </w:r>
    </w:p>
    <w:p>
      <w:pPr>
        <w:spacing w:after="0" w:line="160" w:lineRule="exact"/>
        <w:rPr>
          <w:sz w:val="20"/>
          <w:szCs w:val="20"/>
          <w:color w:val="auto"/>
        </w:rPr>
      </w:pPr>
    </w:p>
    <w:p>
      <w:pPr>
        <w:ind w:right="20" w:firstLine="374"/>
        <w:spacing w:after="0" w:line="243" w:lineRule="auto"/>
        <w:rPr>
          <w:sz w:val="20"/>
          <w:szCs w:val="20"/>
          <w:color w:val="auto"/>
        </w:rPr>
      </w:pPr>
      <w:r>
        <w:rPr>
          <w:rFonts w:ascii="Times New Roman" w:cs="Times New Roman" w:eastAsia="Times New Roman" w:hAnsi="Times New Roman"/>
          <w:sz w:val="18"/>
          <w:szCs w:val="18"/>
          <w:color w:val="auto"/>
        </w:rPr>
        <w:t>The Company recorded income tax benefits of $3.4 million and $15.6 million during the three and nine months ended September 30, 2022, respectively, which were primarily due to a change to Section 174 of the Tax Cuts and Jobs Act of 2017 (as amended, the “TCJA”), which became effective on January 1, 2022. Under the TCJA, the Company is required to capitalize, and subsequently amortize, R&amp;D expenses over five years for research activities conducted in the U.S. and over fifteen years for research activities conducted outside of the U.S. The capitalization of R&amp;D expenses during these periods resulted in an increase to the Company’s U.S. taxable income and foreign derived intangible income (“FDII”), resulting in a significant increase in the Company’s FDII deduction.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65" w:lineRule="exact"/>
        <w:rPr>
          <w:sz w:val="20"/>
          <w:szCs w:val="20"/>
          <w:color w:val="auto"/>
        </w:rPr>
      </w:pPr>
    </w:p>
    <w:p>
      <w:pPr>
        <w:ind w:left="380" w:right="6660" w:hanging="372"/>
        <w:spacing w:after="0" w:line="396" w:lineRule="auto"/>
        <w:tabs>
          <w:tab w:leader="none" w:pos="27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i w:val="1"/>
          <w:iCs w:val="1"/>
          <w:color w:val="auto"/>
        </w:rPr>
        <w:t>Litigation</w:t>
      </w:r>
    </w:p>
    <w:p>
      <w:pPr>
        <w:spacing w:after="0" w:line="9" w:lineRule="exact"/>
        <w:rPr>
          <w:sz w:val="20"/>
          <w:szCs w:val="20"/>
          <w:color w:val="auto"/>
        </w:rPr>
      </w:pPr>
    </w:p>
    <w:p>
      <w:pPr>
        <w:ind w:firstLine="374"/>
        <w:spacing w:after="0" w:line="243"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September 30, 2022, there were no potential material losses from claims, asserted or unasserted, or legal proceedings that the Company determined were probable of occurring.</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Janssen Arbitration Proceedings</w:t>
      </w:r>
    </w:p>
    <w:p>
      <w:pPr>
        <w:spacing w:after="0" w:line="148" w:lineRule="exact"/>
        <w:rPr>
          <w:sz w:val="20"/>
          <w:szCs w:val="20"/>
          <w:color w:val="auto"/>
        </w:rPr>
      </w:pPr>
    </w:p>
    <w:p>
      <w:pPr>
        <w:ind w:right="100" w:firstLine="374"/>
        <w:spacing w:after="0" w:line="244" w:lineRule="auto"/>
        <w:rPr>
          <w:sz w:val="20"/>
          <w:szCs w:val="20"/>
          <w:color w:val="auto"/>
        </w:rPr>
      </w:pPr>
      <w:r>
        <w:rPr>
          <w:rFonts w:ascii="Times New Roman" w:cs="Times New Roman" w:eastAsia="Times New Roman" w:hAnsi="Times New Roman"/>
          <w:sz w:val="18"/>
          <w:szCs w:val="18"/>
          <w:color w:val="auto"/>
        </w:rPr>
        <w:t>In April 2022, Alkermes Pharma Ireland Limited commenced binding arbitration proceedings to settle, among other things, whether, notwithstanding Janssen Pharmaceutica’s partial termination of two license agreements with the Company, Janssen Pharmaceutica has a continuing obligation to pay royalties on sales in the U.S. of INVEGA SUSTENNA, INVEGA TRINZA, INVEGA HAFYERA and CABENUVA. The arbitration is to be conducted pursuant to the Institute for Conflict Prevention and Resolution (CPR) Rules for Non-Administered Arbitration. The request for arbitration seeks, among other remedies, a declaration that Janssen Pharmaceutica is in breach of the license agreements and a resumption of royalty payments for sales of the relevant products in the U.S.</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INVEGA SUSTENNA ANDA Litigation</w:t>
      </w:r>
    </w:p>
    <w:p>
      <w:pPr>
        <w:spacing w:after="0" w:line="175" w:lineRule="exact"/>
        <w:rPr>
          <w:sz w:val="20"/>
          <w:szCs w:val="20"/>
          <w:color w:val="auto"/>
        </w:rPr>
      </w:pPr>
    </w:p>
    <w:p>
      <w:pPr>
        <w:ind w:right="20" w:firstLine="374"/>
        <w:spacing w:after="0" w:line="241" w:lineRule="auto"/>
        <w:rPr>
          <w:sz w:val="20"/>
          <w:szCs w:val="20"/>
          <w:color w:val="auto"/>
        </w:rPr>
      </w:pPr>
      <w:r>
        <w:rPr>
          <w:rFonts w:ascii="Times New Roman" w:cs="Times New Roman" w:eastAsia="Times New Roman" w:hAnsi="Times New Roman"/>
          <w:sz w:val="18"/>
          <w:szCs w:val="18"/>
          <w:color w:val="auto"/>
        </w:rPr>
        <w:t>Janssen Pharmaceutica and Janssen Pharmaceuticals, Inc. initiated patent infringement lawsuits in the U.S. District Court for the District of New Jersey (the “NJ District Court”) in January 2018 against Teva Pharmaceuticals USA, Inc. (“Teva”) and Teva Pharmaceuticals Industries, Ltd. (“Teva PI”) (such lawsuit, the “Teva Lawsuit”), in August 2019 against Mylan Laboratories Limited (“Mylan Labs”) and other Mylan entities (the “Mylan Lawsuit”) and in December 2019 against Pharmascience, Inc. (“Pharmascience”), Mallinckrodt plc, and SpecGX LLC (the “Pharmascience Lawsuit”), and in the U.S. District Court for the District of Delaware in December 2021 against Tolmar Holding, Inc., Tolmar Pharmaceuticals, Inc., Tolmar Therapeutics, Inc., and Tolmar, Inc. (“Tolmar” and such lawsuit, the “Tolmar Lawsuit”), following the respective filings by each of Teva, Mylan Labs, Pharmascience and Tolmar of an Abbreviated New Drug Application (“ANDA”) seeking approval from the U.S. Food and Drug Administration (the “FDA”) to market a generic version of INVEGA SUSTENNA before the expiration of U.S. Patent No. 9,439,906. In October 2021, the NJ District Court entered a judgment in favor of the Janssen entities in the Teva Lawsuit. In December 2021, the NJ District Court entered a judgment in favor of the Janssen entities in the Mylan Lawsuit, based on the parties’ prior stipulation to be bound by the judgment in the Teva Lawsuit. The Teva entities and Mylan Labs each filed notices of appeal of their respective judgments with the U.S. Court of Appeals for the Federal Circuit, which were consolidated in January 2022 (the “Teva Appeal”). A trial was scheduled in the Tolmar Lawsuit for October 2023. The Pharmascience Lawsuit was administratively terminated in July 2022, pending the outcome of the Teva Appeal. The Company is not a party to any of these proceedings.</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INVEGA TRINZA ANDA Litigation</w:t>
      </w:r>
    </w:p>
    <w:p>
      <w:pPr>
        <w:spacing w:after="0" w:line="175" w:lineRule="exact"/>
        <w:rPr>
          <w:sz w:val="20"/>
          <w:szCs w:val="20"/>
          <w:color w:val="auto"/>
        </w:rPr>
      </w:pPr>
    </w:p>
    <w:p>
      <w:pPr>
        <w:ind w:right="120" w:firstLine="374"/>
        <w:spacing w:after="0" w:line="246" w:lineRule="auto"/>
        <w:rPr>
          <w:sz w:val="20"/>
          <w:szCs w:val="20"/>
          <w:color w:val="auto"/>
        </w:rPr>
      </w:pPr>
      <w:r>
        <w:rPr>
          <w:rFonts w:ascii="Times New Roman" w:cs="Times New Roman" w:eastAsia="Times New Roman" w:hAnsi="Times New Roman"/>
          <w:sz w:val="18"/>
          <w:szCs w:val="18"/>
          <w:color w:val="auto"/>
        </w:rPr>
        <w:t>In September 2020, Janssen Pharmaceutica, Janssen Pharmaceuticals, Inc., and Janssen Research &amp; Development, LLC, initiated a patent infringement lawsuit in the NJ District Court against Mylan Labs, Mylan, and Mylan Institutional LLC following the filing by Mylan Labs of an ANDA seeking approval from the FDA to market a generic version of INVEGA TRINZA before the expiration of U.S. Patent No. 10,143,693. Requested judicial remedies include recovery of litigation costs and injunctive relief. A trial has been scheduled to begin in November 2022. The Company is not a party to this proceeding.</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VIVITROL ANDA Litigation</w:t>
      </w:r>
    </w:p>
    <w:p>
      <w:pPr>
        <w:spacing w:after="0" w:line="175" w:lineRule="exact"/>
        <w:rPr>
          <w:sz w:val="20"/>
          <w:szCs w:val="20"/>
          <w:color w:val="auto"/>
        </w:rPr>
      </w:pPr>
    </w:p>
    <w:p>
      <w:pPr>
        <w:ind w:right="20" w:firstLine="374"/>
        <w:spacing w:after="0" w:line="247" w:lineRule="auto"/>
        <w:rPr>
          <w:sz w:val="20"/>
          <w:szCs w:val="20"/>
          <w:color w:val="auto"/>
        </w:rPr>
      </w:pPr>
      <w:r>
        <w:rPr>
          <w:rFonts w:ascii="Times New Roman" w:cs="Times New Roman" w:eastAsia="Times New Roman" w:hAnsi="Times New Roman"/>
          <w:sz w:val="18"/>
          <w:szCs w:val="18"/>
          <w:color w:val="auto"/>
        </w:rPr>
        <w:t>In September 2020, Alkermes, Inc. and Alkermes Pharma Ireland Limited filed a patent infringement lawsuit in the NJ District Court against Teva and Teva PI following the filing by Teva of an ANDA seeking approval from the FDA to engage in the commercial manufacture, use or sale of a generic version of VIVITROL (naltrexone for extended-release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6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injectable suspension) before the expiration of the Company’s U.S. Patent No. 7,919,499. A trial is scheduled to begin on November 14, 2022. The Company intends to vigorously defend its IP. The filing of the lawsuit triggered a stay of FDA approval of the ANDA for up to 30 months in accordance with the U.S. Drug Price Competition and Patent Term Restoration Act of 1984 (the Hatch-Waxman Act).</w:t>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Government Matters</w:t>
      </w:r>
    </w:p>
    <w:p>
      <w:pPr>
        <w:spacing w:after="0" w:line="175"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The Company has received a subpoena and civil investigative demands from U.S. state and federal governmental authorities for documents related to VIVITROL. The Company is cooperating with the investigations.</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Product Liability and Other Legal Proceedings</w:t>
      </w:r>
    </w:p>
    <w:p>
      <w:pPr>
        <w:spacing w:after="0" w:line="216" w:lineRule="exact"/>
        <w:rPr>
          <w:sz w:val="20"/>
          <w:szCs w:val="20"/>
          <w:color w:val="auto"/>
        </w:rPr>
      </w:pPr>
    </w:p>
    <w:p>
      <w:pPr>
        <w:ind w:firstLine="374"/>
        <w:spacing w:after="0" w:line="250" w:lineRule="auto"/>
        <w:rPr>
          <w:sz w:val="20"/>
          <w:szCs w:val="20"/>
          <w:color w:val="auto"/>
        </w:rPr>
      </w:pPr>
      <w:r>
        <w:rPr>
          <w:rFonts w:ascii="Times New Roman" w:cs="Times New Roman" w:eastAsia="Times New Roman" w:hAnsi="Times New Roman"/>
          <w:sz w:val="18"/>
          <w:szCs w:val="18"/>
          <w:color w:val="auto"/>
        </w:rPr>
        <w:t>The Company is involved in litigation and other legal proceedings incidental to its normal business activities, including product liability cases alleging that the FDA-approved VIVITROL labeling was inadequate and caused the users of the product to suffer from opioid overdose and death. The Company intends to vigorously defend itself in these matters. While the outcome of any of these proceedings cannot be accurately predicted, the Company does not believe the ultimate resolution of any of these existing proceedings would have a material adverse effect on the Company’s business or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w:t>
      </w:r>
    </w:p>
    <w:p>
      <w:pPr>
        <w:spacing w:after="0" w:line="202" w:lineRule="exact"/>
        <w:rPr>
          <w:sz w:val="20"/>
          <w:szCs w:val="20"/>
          <w:color w:val="auto"/>
        </w:rPr>
      </w:pPr>
    </w:p>
    <w:p>
      <w:pPr>
        <w:ind w:firstLine="374"/>
        <w:spacing w:after="0" w:line="241" w:lineRule="auto"/>
        <w:rPr>
          <w:sz w:val="20"/>
          <w:szCs w:val="20"/>
          <w:color w:val="auto"/>
        </w:rPr>
      </w:pPr>
      <w:r>
        <w:rPr>
          <w:rFonts w:ascii="Times New Roman" w:cs="Times New Roman" w:eastAsia="Times New Roman" w:hAnsi="Times New Roman"/>
          <w:sz w:val="18"/>
          <w:szCs w:val="18"/>
          <w:color w:val="auto"/>
        </w:rPr>
        <w:t>On November 2, 2022, the Company announced its intent, as approved by its board of directors, to explore a separation of its commercial-stage neuroscience business and development-stage oncology business. The Company plans to explore a separation of the oncology business into an independent, publicly-traded company (referred to herein as “Oncology Co.”) as part of an ongoing review of strategic alternatives for the oncology business. Following the planned separation, the Company would retain its focus on driving growth of its proprietary commercial products: LYBALVI, ARISTADA/ARISTADA INITIO and VIVITROL, and advancing the development of pipeline programs focused on neurological disorders. The Company also expects to retain manufacturing and royalty revenues related to its licensed products and third-party products using its proprietary technologies under license. Oncology Co. would focus on the discovery and development of cancer therapies, including the continued development of nemvaleukin alfa and the portfolio of novel, preclinical engineered cytokines. The separation, if consummated, is expected to be completed in the second half of 2023 and is subject to customary closing conditions, including final approval by the Company’s board of directors and, if sought, receipt of a private letter ruling from the IRS and/or tax opinion from the Company’s tax advisors.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right="220" w:firstLine="374"/>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accompanying condensed consolidated financial statements and related notes beginning on page 5 in this Form 10-Q, and “Part II, Item 7—Management’s Discussion and Analysis of Financial Condition and Results of Operations” and the audited financial statements and notes thereto accompanying our Annual Report.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89"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Net loss was $64.0 million and $130.0 million or $0.39 and $0.79 per ordinary share—basic and diluted, for the three and nine months ended September 30, 2022, respectively, as compared to net loss of $29.0 million and $49.0 million or $0.18 and $0.31 per ordinary share—basic and diluted for the three and nine months ended September 30, 2021, respectively.</w:t>
      </w:r>
    </w:p>
    <w:p>
      <w:pPr>
        <w:spacing w:after="0" w:line="12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increase in net loss in the three months ended September 30, 2022, as compared to the three months ended September 30, 2021, was primarily due to a decrease of $83.4 million in manufacturing and royalty revenues and an increase of $16.6 million in selling, general and administrative expense, partially offset by an increase of $41.6 million in product sales, net and a decrease of $18.0 million in R&amp;D expense.</w:t>
      </w:r>
    </w:p>
    <w:p>
      <w:pPr>
        <w:spacing w:after="0" w:line="129" w:lineRule="exact"/>
        <w:rPr>
          <w:sz w:val="20"/>
          <w:szCs w:val="20"/>
          <w:color w:val="auto"/>
        </w:rPr>
      </w:pPr>
    </w:p>
    <w:p>
      <w:pPr>
        <w:ind w:right="100" w:firstLine="374"/>
        <w:spacing w:after="0" w:line="250" w:lineRule="auto"/>
        <w:rPr>
          <w:sz w:val="20"/>
          <w:szCs w:val="20"/>
          <w:color w:val="auto"/>
        </w:rPr>
      </w:pPr>
      <w:r>
        <w:rPr>
          <w:rFonts w:ascii="Times New Roman" w:cs="Times New Roman" w:eastAsia="Times New Roman" w:hAnsi="Times New Roman"/>
          <w:sz w:val="18"/>
          <w:szCs w:val="18"/>
          <w:color w:val="auto"/>
        </w:rPr>
        <w:t>The increase in net loss in the nine months ended September 30, 2022, as compared to the nine months ended September 30, 2021, was primarily due to a decrease of $155.0 million in manufacturing and royalty revenues, an increase of $47.8 million in operating expenses and a decrease of $21.1 million in the fair value of our contingent consideration as we do not anticipate collecting any further contingent consideration proceeds from Baudax, partially offset by an increase of $112.9 million in product sales, net.</w:t>
      </w:r>
    </w:p>
    <w:p>
      <w:pPr>
        <w:spacing w:after="0" w:line="150"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The decreases in manufacturing and royalty revenues in the three and nine months ended September 30, 2022 include $21.5 million in royalty revenue reversals as a result of arbitration proceedings related to AMPYRA.</w:t>
      </w:r>
    </w:p>
    <w:p>
      <w:pPr>
        <w:spacing w:after="0" w:line="135" w:lineRule="exact"/>
        <w:rPr>
          <w:sz w:val="20"/>
          <w:szCs w:val="20"/>
          <w:color w:val="auto"/>
        </w:rPr>
      </w:pPr>
    </w:p>
    <w:p>
      <w:pPr>
        <w:ind w:right="60" w:firstLine="374"/>
        <w:spacing w:after="0" w:line="242" w:lineRule="auto"/>
        <w:rPr>
          <w:sz w:val="20"/>
          <w:szCs w:val="20"/>
          <w:color w:val="auto"/>
        </w:rPr>
      </w:pPr>
      <w:r>
        <w:rPr>
          <w:rFonts w:ascii="Times New Roman" w:cs="Times New Roman" w:eastAsia="Times New Roman" w:hAnsi="Times New Roman"/>
          <w:sz w:val="18"/>
          <w:szCs w:val="18"/>
          <w:color w:val="auto"/>
        </w:rPr>
        <w:t>On November 2, 2022, we announced our intent, as approved by our board of directors, to explore a separation of our commercial-stage neuroscience business and development-stage oncology business. We plan to explore a separation of the oncology business into an independent, publicly-traded company (“Oncology Co.”) as part of an ongoing review of strategic alternatives for the oncology business. Following the planned separation, we would focus on driving growth of our proprietary commercial products: LYBALVI, ARISTADA/ARISTADA INITIO and VIVITROL and on advancing the development of pipeline programs focused on neurological disorders. We also expect to retain manufacturing and royalty revenues related to our licensed products and third-party products using our proprietary technologies under license. Oncology Co. would focus on the discovery and development of cancer therapies, including the continued development of nemvaleukin alfa and the portfolio of novel, preclinical, engineered cytokines. The separation, if consummated, is expected to be completed in the second half of 2023 and is subject to customary closing conditions, including final approval by our board of directors and, if sought, receipt of a private letter ruling from the IRS and/or tax opinion from our tax advisors.</w:t>
      </w:r>
    </w:p>
    <w:p>
      <w:pPr>
        <w:spacing w:after="0" w:line="160"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These items are discussed in greater detail later in the “Results of Operations” section in this “Part I, Item 2—Management’s Discussion and Analysis of Financial Condition and Results of Operations” in this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189" w:lineRule="exact"/>
        <w:rPr>
          <w:sz w:val="20"/>
          <w:szCs w:val="20"/>
          <w:color w:val="auto"/>
        </w:rPr>
      </w:pPr>
    </w:p>
    <w:p>
      <w:pPr>
        <w:ind w:firstLine="374"/>
        <w:spacing w:after="0" w:line="243" w:lineRule="auto"/>
        <w:rPr>
          <w:sz w:val="20"/>
          <w:szCs w:val="20"/>
          <w:color w:val="auto"/>
        </w:rPr>
      </w:pPr>
      <w:r>
        <w:rPr>
          <w:rFonts w:ascii="Times New Roman" w:cs="Times New Roman" w:eastAsia="Times New Roman" w:hAnsi="Times New Roman"/>
          <w:sz w:val="18"/>
          <w:szCs w:val="18"/>
          <w:color w:val="auto"/>
        </w:rPr>
        <w:t>In March 2020, COVID-19 was declared a global pandemic by the World Health Organization. To date, COVID-19 has impacted nearly all regions of the world and resulted in travel and other restrictions and business slowdowns and/or shutdowns in affected areas. Ireland, all U.S. states, and many local jurisdictions and countries around the world have, at times during the pandemic, issued and implemented quarantines, vaccine and masking mandates, restrictive executive orders and other similar government orders, restrictions, and recommendations for their residents to help control the spread of COVID-19, and may continue to do so while the pandemic persists. Such orders, mandates, restrictions and/or recommendations, and/or the perception that additional orders, mandates, restrictions or recommendations could occur, have, at times during the pandemic, resulted in widespread interruptions and closures of businesses, including healthcare systems that serve people living with addiction and serious mental illness, work and supply chain stoppages, slowdowns and/or delays, remote work policies and travel restrictions, among other effects.</w:t>
      </w:r>
    </w:p>
    <w:p>
      <w:pPr>
        <w:spacing w:after="0" w:line="159" w:lineRule="exact"/>
        <w:rPr>
          <w:sz w:val="20"/>
          <w:szCs w:val="20"/>
          <w:color w:val="auto"/>
        </w:rPr>
      </w:pPr>
    </w:p>
    <w:p>
      <w:pPr>
        <w:ind w:right="660" w:firstLine="374"/>
        <w:spacing w:after="0" w:line="246" w:lineRule="auto"/>
        <w:rPr>
          <w:sz w:val="20"/>
          <w:szCs w:val="20"/>
          <w:color w:val="auto"/>
        </w:rPr>
      </w:pPr>
      <w:r>
        <w:rPr>
          <w:rFonts w:ascii="Times New Roman" w:cs="Times New Roman" w:eastAsia="Times New Roman" w:hAnsi="Times New Roman"/>
          <w:sz w:val="18"/>
          <w:szCs w:val="18"/>
          <w:color w:val="auto"/>
        </w:rPr>
        <w:t>The COVID-19 pandemic has caused, and we expect may continue to cause, varying degrees of disruption to our employees and our business operations. While we have continued to operate our manufacturing facilities and supply our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3" w:name="page24"/>
    <w:bookmarkEnd w:id="23"/>
    <w:p>
      <w:pPr>
        <w:ind w:right="20"/>
        <w:spacing w:after="0" w:line="244" w:lineRule="auto"/>
        <w:rPr>
          <w:sz w:val="20"/>
          <w:szCs w:val="20"/>
          <w:color w:val="auto"/>
        </w:rPr>
      </w:pPr>
      <w:r>
        <w:rPr>
          <w:rFonts w:ascii="Times New Roman" w:cs="Times New Roman" w:eastAsia="Times New Roman" w:hAnsi="Times New Roman"/>
          <w:sz w:val="18"/>
          <w:szCs w:val="18"/>
          <w:color w:val="auto"/>
        </w:rPr>
        <w:t>medicines throughout the pandemic, we have, at times during the pandemic, experienced labor or supply chain delays or disruptions at our manufacturing facilities, and may continue to experience such delays or disruptions while the pandemic persists. In addition, while we have continued to conduct R&amp;D activities, including our ongoing clinical trials, the COVID-19 pandemic has at times impacted the timelines of certain of our early-stage discovery efforts and clinical trials, and may continue to impact such timelines while the pandemic persists. We work with our internal teams, our clinical investigators, R&amp;D vendors and critical supply chain vendors to continually assess, and mitigate, the potential impact of COVID-19 on our manufacturing operations and R&amp;D activities.</w:t>
      </w:r>
    </w:p>
    <w:p>
      <w:pPr>
        <w:spacing w:after="0" w:line="155" w:lineRule="exact"/>
        <w:rPr>
          <w:sz w:val="20"/>
          <w:szCs w:val="20"/>
          <w:color w:val="auto"/>
        </w:rPr>
      </w:pPr>
    </w:p>
    <w:p>
      <w:pPr>
        <w:ind w:right="360" w:firstLine="374"/>
        <w:spacing w:after="0" w:line="246" w:lineRule="auto"/>
        <w:rPr>
          <w:sz w:val="20"/>
          <w:szCs w:val="20"/>
          <w:color w:val="auto"/>
        </w:rPr>
      </w:pPr>
      <w:r>
        <w:rPr>
          <w:rFonts w:ascii="Times New Roman" w:cs="Times New Roman" w:eastAsia="Times New Roman" w:hAnsi="Times New Roman"/>
          <w:sz w:val="18"/>
          <w:szCs w:val="18"/>
          <w:color w:val="auto"/>
        </w:rPr>
        <w:t>A number of the marketed products from which we derive revenue, including manufacturing and royalty revenue, are injectable medications administered by healthcare professionals. Given developments that have transpired to date, and may continue to transpire, in response to the pandemic, including business closures, travel restrictions, quarantine, testing and/or vaccine mandates and other protocols, labor shortages and other restrictive measures, commercial sales of these marketed products have been adversely impacted to varying degrees during the pandemic and may continue to be adversely impacted while the pandemic persists.</w:t>
      </w:r>
    </w:p>
    <w:p>
      <w:pPr>
        <w:spacing w:after="0" w:line="154" w:lineRule="exact"/>
        <w:rPr>
          <w:sz w:val="20"/>
          <w:szCs w:val="20"/>
          <w:color w:val="auto"/>
        </w:rPr>
      </w:pPr>
    </w:p>
    <w:p>
      <w:pPr>
        <w:ind w:right="20" w:firstLine="374"/>
        <w:spacing w:after="0" w:line="246" w:lineRule="auto"/>
        <w:rPr>
          <w:sz w:val="20"/>
          <w:szCs w:val="20"/>
          <w:color w:val="auto"/>
        </w:rPr>
      </w:pPr>
      <w:r>
        <w:rPr>
          <w:rFonts w:ascii="Times New Roman" w:cs="Times New Roman" w:eastAsia="Times New Roman" w:hAnsi="Times New Roman"/>
          <w:sz w:val="18"/>
          <w:szCs w:val="18"/>
          <w:color w:val="auto"/>
        </w:rPr>
        <w:t>In addition, we rely upon third parties for many aspects of our business, including the provision of goods and services related to the manufacture of our clinical products and our and our partners’ marketed products, the conduct of our clinical trials, and the sale of our proprietary marketed products and the marketed products of our licensees from which we receive manufacturing and royalty revenue. Any prolonged material disruption to the third parties on which we rely could negatively impact our ability to conduct business in the manner and on the timelines presently planned, which could have a material adverse impact on our business, results of operations and financial condition.</w:t>
      </w:r>
    </w:p>
    <w:p>
      <w:pPr>
        <w:spacing w:after="0" w:line="154" w:lineRule="exact"/>
        <w:rPr>
          <w:sz w:val="20"/>
          <w:szCs w:val="20"/>
          <w:color w:val="auto"/>
        </w:rPr>
      </w:pPr>
    </w:p>
    <w:p>
      <w:pPr>
        <w:ind w:firstLine="374"/>
        <w:spacing w:after="0" w:line="245" w:lineRule="auto"/>
        <w:rPr>
          <w:sz w:val="20"/>
          <w:szCs w:val="20"/>
          <w:color w:val="auto"/>
        </w:rPr>
      </w:pPr>
      <w:r>
        <w:rPr>
          <w:rFonts w:ascii="Times New Roman" w:cs="Times New Roman" w:eastAsia="Times New Roman" w:hAnsi="Times New Roman"/>
          <w:sz w:val="18"/>
          <w:szCs w:val="18"/>
          <w:color w:val="auto"/>
        </w:rPr>
        <w:t>Due to numerous uncertainties surrounding the ongoing COVID-19 pandemic, the actual impact of the pandemic on our financial condition and operating results may differ from our current projections. These uncertainties include, among other things, the ultimate severity and duration of the pandemic and the manner in which it continues to evolve, including the emergence, prevalence and severity of new or existing COVID-19 variants, and future developments in response thereto, which are highly uncertain and cannot be predicted as of the date of this Form 10-Q. For additional information about risks and uncertainties related to the COVID-19 pandemic that may impact our business, our financial condition or our results of operations, see “Part I, Item 1A—Risk Factors” in our Annual Report and specifically the section entitled “—Our business, financial condition and results of operations have been, and may continue to be, adversely affected by the ongoing COVID-19 pandemic or other similar outbreaks of contagious diseases.”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71" w:lineRule="exact"/>
        <w:rPr>
          <w:sz w:val="20"/>
          <w:szCs w:val="20"/>
          <w:color w:val="auto"/>
        </w:rPr>
      </w:pPr>
    </w:p>
    <w:p>
      <w:pPr>
        <w:ind w:right="540" w:firstLine="374"/>
        <w:spacing w:after="0" w:line="250" w:lineRule="auto"/>
        <w:rPr>
          <w:sz w:val="20"/>
          <w:szCs w:val="20"/>
          <w:color w:val="auto"/>
        </w:rPr>
      </w:pPr>
      <w:r>
        <w:rPr>
          <w:rFonts w:ascii="Times New Roman" w:cs="Times New Roman" w:eastAsia="Times New Roman" w:hAnsi="Times New Roman"/>
          <w:sz w:val="18"/>
          <w:szCs w:val="18"/>
          <w:color w:val="auto"/>
        </w:rPr>
        <w:t>The key marketed products discussed below have generated, or are expected to generate, significant revenues for us. See the descriptions of the marketed products below and “Part I, Item 1A—Risk Factors” in our Annual Report for important factors that could adversely affect our marketed products. See the “Patents and Proprietary Rights” section in “Part I, Item 1—Business” in our Annual Report for information with respect to the IP protection for these marketed products.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ind w:left="380"/>
        <w:spacing w:after="0"/>
        <w:rPr>
          <w:sz w:val="20"/>
          <w:szCs w:val="20"/>
          <w:color w:val="auto"/>
        </w:rPr>
      </w:pPr>
      <w:r>
        <w:rPr>
          <w:rFonts w:ascii="Times New Roman" w:cs="Times New Roman" w:eastAsia="Times New Roman" w:hAnsi="Times New Roman"/>
          <w:sz w:val="18"/>
          <w:szCs w:val="18"/>
          <w:color w:val="auto"/>
        </w:rPr>
        <w:t>The following provides summary information regarding our proprietary products that we commercialize: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Products</w:t>
      </w:r>
    </w:p>
    <w:p>
      <w:pPr>
        <w:spacing w:after="0" w:line="185" w:lineRule="exact"/>
        <w:rPr>
          <w:sz w:val="20"/>
          <w:szCs w:val="20"/>
          <w:color w:val="auto"/>
        </w:rPr>
      </w:pPr>
    </w:p>
    <w:p>
      <w:pPr>
        <w:ind w:left="2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Product</w:t>
      </w:r>
      <w:r>
        <w:rPr>
          <w:sz w:val="20"/>
          <w:szCs w:val="20"/>
          <w:color w:val="auto"/>
        </w:rPr>
        <w:tab/>
      </w:r>
      <w:r>
        <w:rPr>
          <w:rFonts w:ascii="Times New Roman" w:cs="Times New Roman" w:eastAsia="Times New Roman" w:hAnsi="Times New Roman"/>
          <w:sz w:val="18"/>
          <w:szCs w:val="18"/>
          <w:b w:val="1"/>
          <w:bCs w:val="1"/>
          <w:color w:val="auto"/>
        </w:rPr>
        <w:t>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37464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23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Initiation or re-initiation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-110490</wp:posOffset>
            </wp:positionV>
            <wp:extent cx="2151380" cy="27000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1380" cy="2700020"/>
                    </a:xfrm>
                    <a:prstGeom prst="rect">
                      <a:avLst/>
                    </a:prstGeom>
                    <a:noFill/>
                  </pic:spPr>
                </pic:pic>
              </a:graphicData>
            </a:graphic>
          </wp:anchor>
        </w:drawing>
      </w:r>
    </w:p>
    <w:p>
      <w:pPr>
        <w:ind w:left="6020"/>
        <w:spacing w:after="0" w:line="234" w:lineRule="auto"/>
        <w:rPr>
          <w:sz w:val="20"/>
          <w:szCs w:val="20"/>
          <w:color w:val="auto"/>
        </w:rPr>
      </w:pPr>
      <w:r>
        <w:rPr>
          <w:rFonts w:ascii="Times New Roman" w:cs="Times New Roman" w:eastAsia="Times New Roman" w:hAnsi="Times New Roman"/>
          <w:sz w:val="17"/>
          <w:szCs w:val="17"/>
          <w:color w:val="auto"/>
        </w:rPr>
        <w:t>ARISTADA for the treatment of</w:t>
      </w:r>
    </w:p>
    <w:p>
      <w:pPr>
        <w:ind w:left="6020"/>
        <w:spacing w:after="0"/>
        <w:rPr>
          <w:sz w:val="20"/>
          <w:szCs w:val="20"/>
          <w:color w:val="auto"/>
        </w:rPr>
      </w:pPr>
      <w:r>
        <w:rPr>
          <w:rFonts w:ascii="Times New Roman" w:cs="Times New Roman" w:eastAsia="Times New Roman" w:hAnsi="Times New Roman"/>
          <w:sz w:val="18"/>
          <w:szCs w:val="18"/>
          <w:color w:val="auto"/>
        </w:rPr>
        <w:t>Schizophrenia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-127635</wp:posOffset>
            </wp:positionV>
            <wp:extent cx="15684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68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1080135</wp:posOffset>
            </wp:positionV>
            <wp:extent cx="53746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-110490</wp:posOffset>
            </wp:positionV>
            <wp:extent cx="2194560" cy="15944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94560" cy="1594485"/>
                    </a:xfrm>
                    <a:prstGeom prst="rect">
                      <a:avLst/>
                    </a:prstGeom>
                    <a:noFill/>
                  </pic:spPr>
                </pic:pic>
              </a:graphicData>
            </a:graphic>
          </wp:anchor>
        </w:drawing>
      </w:r>
    </w:p>
    <w:p>
      <w:pPr>
        <w:ind w:left="6020"/>
        <w:spacing w:after="0"/>
        <w:rPr>
          <w:sz w:val="20"/>
          <w:szCs w:val="20"/>
          <w:color w:val="auto"/>
        </w:rPr>
      </w:pPr>
      <w:r>
        <w:rPr>
          <w:rFonts w:ascii="Times New Roman" w:cs="Times New Roman" w:eastAsia="Times New Roman" w:hAnsi="Times New Roman"/>
          <w:sz w:val="18"/>
          <w:szCs w:val="18"/>
          <w:color w:val="auto"/>
        </w:rPr>
        <w:t>Bipolar I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1522095</wp:posOffset>
            </wp:positionV>
            <wp:extent cx="53746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Alcohol 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-110490</wp:posOffset>
            </wp:positionV>
            <wp:extent cx="2580005" cy="1148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80005" cy="1148715"/>
                    </a:xfrm>
                    <a:prstGeom prst="rect">
                      <a:avLst/>
                    </a:prstGeom>
                    <a:noFill/>
                  </pic:spPr>
                </pic:pic>
              </a:graphicData>
            </a:graphic>
          </wp:anchor>
        </w:drawing>
      </w:r>
    </w:p>
    <w:p>
      <w:pPr>
        <w:ind w:left="6020"/>
        <w:spacing w:after="0"/>
        <w:rPr>
          <w:sz w:val="20"/>
          <w:szCs w:val="20"/>
          <w:color w:val="auto"/>
        </w:rPr>
      </w:pPr>
      <w:r>
        <w:rPr>
          <w:rFonts w:ascii="Times New Roman" w:cs="Times New Roman" w:eastAsia="Times New Roman" w:hAnsi="Times New Roman"/>
          <w:sz w:val="18"/>
          <w:szCs w:val="18"/>
          <w:color w:val="auto"/>
        </w:rPr>
        <w:t>Opioid 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27305</wp:posOffset>
            </wp:positionV>
            <wp:extent cx="161988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-127635</wp:posOffset>
            </wp:positionV>
            <wp:extent cx="161988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19885" cy="8255"/>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1080135</wp:posOffset>
            </wp:positionV>
            <wp:extent cx="16198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1654810</wp:posOffset>
            </wp:positionV>
            <wp:extent cx="161988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ectPr>
          <w:pgSz w:w="11900" w:h="16838" w:orient="portrait"/>
          <w:cols w:equalWidth="0" w:num="2">
            <w:col w:w="8880" w:space="720"/>
            <w:col w:w="720"/>
          </w:cols>
          <w:pgMar w:left="320" w:top="324" w:right="1259" w:bottom="1440" w:gutter="0" w:footer="0" w:header="0"/>
        </w:sectPr>
      </w:pPr>
    </w:p>
    <w:bookmarkStart w:id="25" w:name="page26"/>
    <w:bookmarkEnd w:id="25"/>
    <w:p>
      <w:pPr>
        <w:ind w:right="820" w:firstLine="374"/>
        <w:spacing w:after="0" w:line="282" w:lineRule="auto"/>
        <w:rPr>
          <w:sz w:val="20"/>
          <w:szCs w:val="20"/>
          <w:color w:val="auto"/>
        </w:rPr>
      </w:pPr>
      <w:r>
        <w:rPr>
          <w:rFonts w:ascii="Times New Roman" w:cs="Times New Roman" w:eastAsia="Times New Roman" w:hAnsi="Times New Roman"/>
          <w:sz w:val="18"/>
          <w:szCs w:val="18"/>
          <w:color w:val="auto"/>
        </w:rPr>
        <w:t>The following provides summary information regarding our key licensed product and certain key third-party products using our proprietary technologies under license, all of which are commercialized by our licensees: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Key Third-Party Products Using Our Proprietary Technologies</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Licensed Territory</w:t>
            </w:r>
          </w:p>
        </w:tc>
        <w:tc>
          <w:tcPr>
            <w:tcW w:w="0" w:type="dxa"/>
            <w:vAlign w:val="bottom"/>
          </w:tcPr>
          <w:p>
            <w:pPr>
              <w:spacing w:after="0"/>
              <w:rPr>
                <w:sz w:val="1"/>
                <w:szCs w:val="1"/>
                <w:color w:val="auto"/>
              </w:rPr>
            </w:pPr>
          </w:p>
        </w:tc>
      </w:tr>
      <w:tr>
        <w:trPr>
          <w:trHeight w:val="38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RISPERDAL CONSTA</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 Bipolar I</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disorder</w:t>
            </w:r>
          </w:p>
        </w:tc>
        <w:tc>
          <w:tcPr>
            <w:tcW w:w="100" w:type="dxa"/>
            <w:vAlign w:val="bottom"/>
          </w:tcPr>
          <w:p>
            <w:pPr>
              <w:spacing w:after="0"/>
              <w:rPr>
                <w:sz w:val="16"/>
                <w:szCs w:val="16"/>
                <w:color w:val="auto"/>
              </w:rPr>
            </w:pPr>
          </w:p>
        </w:tc>
        <w:tc>
          <w:tcPr>
            <w:tcW w:w="2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Pharmaceuticals, Inc. and</w:t>
            </w: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Janssen Pharmaceutica</w:t>
            </w: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International, a division of</w:t>
            </w: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Cilag International AG</w:t>
            </w: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 International”)</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INVEGA SUSTENNA* / XEPLION</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INVEGA SUSTENNA</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 Pharmaceutica</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16"/>
                <w:szCs w:val="16"/>
                <w:color w:val="auto"/>
              </w:rPr>
            </w:pPr>
          </w:p>
        </w:tc>
        <w:tc>
          <w:tcPr>
            <w:tcW w:w="2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(together with Janssen</w:t>
            </w: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Schizoaffective</w:t>
            </w:r>
          </w:p>
        </w:tc>
        <w:tc>
          <w:tcPr>
            <w:tcW w:w="100" w:type="dxa"/>
            <w:vAlign w:val="bottom"/>
          </w:tcPr>
          <w:p>
            <w:pPr>
              <w:spacing w:after="0"/>
              <w:rPr>
                <w:sz w:val="16"/>
                <w:szCs w:val="16"/>
                <w:color w:val="auto"/>
              </w:rPr>
            </w:pPr>
          </w:p>
        </w:tc>
        <w:tc>
          <w:tcPr>
            <w:tcW w:w="2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Pharmaceuticals, Inc.,</w:t>
            </w: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disorder</w:t>
            </w:r>
          </w:p>
        </w:tc>
        <w:tc>
          <w:tcPr>
            <w:tcW w:w="100" w:type="dxa"/>
            <w:vAlign w:val="bottom"/>
          </w:tcPr>
          <w:p>
            <w:pPr>
              <w:spacing w:after="0"/>
              <w:rPr>
                <w:sz w:val="16"/>
                <w:szCs w:val="16"/>
                <w:color w:val="auto"/>
              </w:rPr>
            </w:pPr>
          </w:p>
        </w:tc>
        <w:tc>
          <w:tcPr>
            <w:tcW w:w="2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Janssen International and</w:t>
            </w: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XEPLION</w:t>
            </w: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their affiliates “Janssen”)</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INVEGA TRINZA* / TREVICTA</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824"/>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INVEGA HAFYERA* / BYANNLI</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firstLine="8"/>
        <w:spacing w:after="0" w:line="245" w:lineRule="auto"/>
        <w:tabs>
          <w:tab w:leader="none" w:pos="13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Janssen partially terminated its license agreement related to these products, effective February 2022. See the section entitled “Products Using Our Proprietary Technologies” below and Note 15,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Condensed Consolidated Financial Statements” in this Form 10-Q for more information with respect to this partial termination and the arbitration proceedings that we commenced related to this partial termination and other matters in respect of these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-532765</wp:posOffset>
            </wp:positionV>
            <wp:extent cx="11912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Our Key Licensed Product</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18"/>
        </w:trPr>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Licensed Territory</w:t>
            </w:r>
          </w:p>
        </w:tc>
      </w:tr>
      <w:tr>
        <w:trPr>
          <w:trHeight w:val="42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VUMERITY</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Multiple sclerosis</w:t>
            </w:r>
          </w:p>
        </w:tc>
        <w:tc>
          <w:tcPr>
            <w:tcW w:w="10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Biogen</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r>
    </w:tbl>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Proprietary Products</w:t>
      </w:r>
    </w:p>
    <w:p>
      <w:pPr>
        <w:spacing w:after="0" w:line="214" w:lineRule="exact"/>
        <w:rPr>
          <w:sz w:val="20"/>
          <w:szCs w:val="20"/>
          <w:color w:val="auto"/>
        </w:rPr>
      </w:pPr>
    </w:p>
    <w:p>
      <w:pPr>
        <w:ind w:right="140" w:firstLine="374"/>
        <w:spacing w:after="0" w:line="247" w:lineRule="auto"/>
        <w:rPr>
          <w:sz w:val="20"/>
          <w:szCs w:val="20"/>
          <w:color w:val="auto"/>
        </w:rPr>
      </w:pPr>
      <w:r>
        <w:rPr>
          <w:rFonts w:ascii="Times New Roman" w:cs="Times New Roman" w:eastAsia="Times New Roman" w:hAnsi="Times New Roman"/>
          <w:sz w:val="18"/>
          <w:szCs w:val="18"/>
          <w:color w:val="auto"/>
        </w:rPr>
        <w:t>We have developed and now commercialize products designed to help address the unmet needs of people living with opioid dependence, alcohol dependence, schizophrenia and bipolar I disorder. See the “Patents and Proprietary Rights” section in “Part I, Item 1—Business” in our Annual Report for information with respect to the IP protection for our proprietary products.</w:t>
      </w: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6" w:name="page27"/>
    <w:bookmarkEnd w:id="26"/>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ARISTADA</w:t>
      </w:r>
    </w:p>
    <w:p>
      <w:pPr>
        <w:spacing w:after="0" w:line="202" w:lineRule="exact"/>
        <w:rPr>
          <w:sz w:val="20"/>
          <w:szCs w:val="20"/>
          <w:color w:val="auto"/>
        </w:rPr>
      </w:pPr>
    </w:p>
    <w:p>
      <w:pPr>
        <w:ind w:firstLine="374"/>
        <w:spacing w:after="0" w:line="250" w:lineRule="auto"/>
        <w:rPr>
          <w:sz w:val="20"/>
          <w:szCs w:val="20"/>
          <w:color w:val="auto"/>
        </w:rPr>
      </w:pPr>
      <w:r>
        <w:rPr>
          <w:rFonts w:ascii="Times New Roman" w:cs="Times New Roman" w:eastAsia="Times New Roman" w:hAnsi="Times New Roman"/>
          <w:sz w:val="18"/>
          <w:szCs w:val="18"/>
          <w:color w:val="auto"/>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exclusively manufacture and commercialize ARISTADA in the U.S.</w:t>
      </w:r>
    </w:p>
    <w:p>
      <w:pPr>
        <w:spacing w:after="0" w:line="164"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In August 2022, U.S. Patent No. 11,406,632 relating to ARISTADA was granted. The patent has claims to the treatment of schizophrenia by rapid and continuous intramuscular injection and expires in 2035.</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ARISTADA INITIO</w:t>
      </w:r>
    </w:p>
    <w:p>
      <w:pPr>
        <w:spacing w:after="0" w:line="216" w:lineRule="exact"/>
        <w:rPr>
          <w:sz w:val="20"/>
          <w:szCs w:val="20"/>
          <w:color w:val="auto"/>
        </w:rPr>
      </w:pPr>
    </w:p>
    <w:p>
      <w:pPr>
        <w:ind w:right="120" w:firstLine="374"/>
        <w:spacing w:after="0" w:line="246" w:lineRule="auto"/>
        <w:rPr>
          <w:sz w:val="20"/>
          <w:szCs w:val="20"/>
          <w:color w:val="auto"/>
        </w:rPr>
      </w:pPr>
      <w:r>
        <w:rPr>
          <w:rFonts w:ascii="Times New Roman" w:cs="Times New Roman" w:eastAsia="Times New Roman" w:hAnsi="Times New Roman"/>
          <w:sz w:val="18"/>
          <w:szCs w:val="18"/>
          <w:color w:val="auto"/>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exclusively manufacture and commercialize ARISTADA INITIO in the U.S.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LYBALVI</w:t>
      </w:r>
    </w:p>
    <w:p>
      <w:pPr>
        <w:spacing w:after="0" w:line="202" w:lineRule="exact"/>
        <w:rPr>
          <w:sz w:val="20"/>
          <w:szCs w:val="20"/>
          <w:color w:val="auto"/>
        </w:rPr>
      </w:pPr>
    </w:p>
    <w:p>
      <w:pPr>
        <w:ind w:right="60" w:firstLine="374"/>
        <w:spacing w:after="0" w:line="247" w:lineRule="auto"/>
        <w:rPr>
          <w:sz w:val="20"/>
          <w:szCs w:val="20"/>
          <w:color w:val="auto"/>
        </w:rPr>
      </w:pPr>
      <w:r>
        <w:rPr>
          <w:rFonts w:ascii="Times New Roman" w:cs="Times New Roman" w:eastAsia="Times New Roman" w:hAnsi="Times New Roman"/>
          <w:sz w:val="18"/>
          <w:szCs w:val="18"/>
          <w:color w:val="auto"/>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composed of olanzapine, an established antipsychotic agent, co-formulated with samidorphan, a new chemical entity, in a single bilayer tablet. LYBALVI was launched commercially in October 2021 and is available in fixed dosage strengths composed of 10 mg of samidorphan and 5 mg, 10 mg, 15 mg or 20 mg of olanzapine. We exclusively manufacture and commercialize LYBALVI in the U.S.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VIVITROL</w:t>
      </w:r>
    </w:p>
    <w:p>
      <w:pPr>
        <w:spacing w:after="0" w:line="216" w:lineRule="exact"/>
        <w:rPr>
          <w:sz w:val="20"/>
          <w:szCs w:val="20"/>
          <w:color w:val="auto"/>
        </w:rPr>
      </w:pPr>
    </w:p>
    <w:p>
      <w:pPr>
        <w:ind w:right="20" w:firstLine="374"/>
        <w:spacing w:after="0" w:line="246" w:lineRule="auto"/>
        <w:rPr>
          <w:sz w:val="20"/>
          <w:szCs w:val="20"/>
          <w:color w:val="auto"/>
        </w:rPr>
      </w:pPr>
      <w:r>
        <w:rPr>
          <w:rFonts w:ascii="Times New Roman" w:cs="Times New Roman" w:eastAsia="Times New Roman" w:hAnsi="Times New Roman"/>
          <w:sz w:val="18"/>
          <w:szCs w:val="18"/>
          <w:color w:val="auto"/>
        </w:rPr>
        <w:t>VIVITROL (naltrexone for extended-release injectable suspension) is a once-monthly, non-narcotic, injectable medication approved in the U.S., Russia and certain countries of the Commonwealth of Independent States for the treatment of alcohol dependence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exclusively manufacture and commercialize VIVITROL in the U.S.</w:t>
      </w:r>
    </w:p>
    <w:p>
      <w:pPr>
        <w:spacing w:after="0" w:line="179" w:lineRule="exact"/>
        <w:rPr>
          <w:sz w:val="20"/>
          <w:szCs w:val="20"/>
          <w:color w:val="auto"/>
        </w:rPr>
      </w:pPr>
    </w:p>
    <w:p>
      <w:pPr>
        <w:ind w:firstLine="374"/>
        <w:spacing w:after="0" w:line="241" w:lineRule="auto"/>
        <w:rPr>
          <w:sz w:val="20"/>
          <w:szCs w:val="20"/>
          <w:color w:val="auto"/>
        </w:rPr>
      </w:pPr>
      <w:r>
        <w:rPr>
          <w:rFonts w:ascii="Times New Roman" w:cs="Times New Roman" w:eastAsia="Times New Roman" w:hAnsi="Times New Roman"/>
          <w:sz w:val="18"/>
          <w:szCs w:val="18"/>
          <w:color w:val="auto"/>
        </w:rPr>
        <w:t xml:space="preserve">For a discussion of legal proceedings related to VIVITROL, see Note 15,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Condensed Consolidated Financial Statements” in this Form 10-Q, and for information about risks relating to such legal proceedings, see “Part I, Item 1A—Risk Factors” in our Annual Report and specifically the sections entitled “—Patent and other IP protection for our products is key to our business and our competitive position but is uncertain,” “—Uncertainty over IP in the biopharmaceutical industry has been the source of litigation, which is inherently costly and unpredictable, could significantly delay or prevent approval or negatively impact commercialization of our products, and could adversely affect our business” and “—Litigation or arbitration filed against Alkermes, including securities litigation, or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7" w:name="page28"/>
    <w:bookmarkEnd w:id="27"/>
    <w:p>
      <w:pPr>
        <w:ind w:left="380"/>
        <w:spacing w:after="0"/>
        <w:rPr>
          <w:sz w:val="20"/>
          <w:szCs w:val="20"/>
          <w:color w:val="auto"/>
        </w:rPr>
      </w:pPr>
      <w:r>
        <w:rPr>
          <w:rFonts w:ascii="Times New Roman" w:cs="Times New Roman" w:eastAsia="Times New Roman" w:hAnsi="Times New Roman"/>
          <w:sz w:val="18"/>
          <w:szCs w:val="18"/>
          <w:i w:val="1"/>
          <w:iCs w:val="1"/>
          <w:color w:val="auto"/>
        </w:rPr>
        <w:t>Licensed Products and Products Using Our Proprietary Technologies</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have licensed products to third parties for commercialization and have licensed our proprietary technologies to third parties to enable them to</w:t>
      </w:r>
    </w:p>
    <w:p>
      <w:pPr>
        <w:spacing w:after="0" w:line="2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develop, commercialize and/or manufacture products. See the “Proprietary Technology Platforms” and “Patents and Proprietary Rights” sections in “Part I, Item 1—Business” in our Annual Report for information with respect to our proprietary technologies and the IP protection for these products. We receive royalties and/or manufacturing and other revenues from the commercialization of these products under our collaborative arrangements with these third parties. Such arrangements include the following:</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Products Using Our Proprietary Technologies</w:t>
      </w: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INVEGA SUSTENNA/XEPLION, INVEGA TRINZA/TREVICTA and INVEGA HAFYERA/BYANNLI</w:t>
      </w:r>
    </w:p>
    <w:p>
      <w:pPr>
        <w:spacing w:after="0" w:line="202" w:lineRule="exact"/>
        <w:rPr>
          <w:sz w:val="20"/>
          <w:szCs w:val="20"/>
          <w:color w:val="auto"/>
        </w:rPr>
      </w:pPr>
    </w:p>
    <w:p>
      <w:pPr>
        <w:ind w:right="120" w:firstLine="374"/>
        <w:spacing w:after="0" w:line="244" w:lineRule="auto"/>
        <w:rPr>
          <w:sz w:val="20"/>
          <w:szCs w:val="20"/>
          <w:color w:val="auto"/>
        </w:rPr>
      </w:pPr>
      <w:r>
        <w:rPr>
          <w:rFonts w:ascii="Times New Roman" w:cs="Times New Roman" w:eastAsia="Times New Roman" w:hAnsi="Times New Roman"/>
          <w:sz w:val="18"/>
          <w:szCs w:val="18"/>
          <w:color w:val="auto"/>
        </w:rPr>
        <w:t xml:space="preserve">In November 2021, we received notice of partial termination of an exclusive license agreement with Janssen. Under this license agreement, we provided Janssen with rights to, and know-how, training and technical assistance in respect of, our small particle pharmaceutical compound technology, known as NanoCrystal Technology, to develop dosage forms of paliperidone palmitate, including INVEGA SUSTENNA/XEPLION, INVEGA TRINZA/TREVICTA, and INVEGA HAFYERA/BYANNLI. When the partial termination became effective in February 2022, Janssen ceased paying royalties related to sales of INVEGA SUSTENNA, INVEGA TRINZA and INVEGA HAFYERA in the U.S. In April 2022, we commenced binding arbitration proceedings related to, among other things, Janssen’s partial termination of this license agreement and Janssen’s royalty and other obligations under the agreement. For additional information regarding the arbitration proceedings with Janssen, see Note 15,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Condensed Consolidated Financial Statements” in this Form 10-Q and for information about risks relating to this notice of partial termination and our collaborative arrangements more broadly, see “Part I, Item 1A—Risk Factors” in our Annual Report and specifically that section entitled “We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169"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The long-acting INVEGA products are long-acting atypical antipsychotics owned and commercialized worldwide by Janssen. We believe that these products were developed using, and incorporate, our technologies.</w:t>
      </w:r>
    </w:p>
    <w:p>
      <w:pPr>
        <w:spacing w:after="0" w:line="1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INVEGA SUSTENNA is approved in the U.S. for the treatment of schizophrenia and for the treatment of schizoaffective disorder as either a</w:t>
      </w:r>
    </w:p>
    <w:p>
      <w:pPr>
        <w:spacing w:after="0" w:line="16"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18"/>
          <w:szCs w:val="18"/>
          <w:color w:val="auto"/>
        </w:rPr>
        <w:t>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is manufactured by Janssen.</w:t>
      </w:r>
    </w:p>
    <w:p>
      <w:pPr>
        <w:spacing w:after="0" w:line="181" w:lineRule="exact"/>
        <w:rPr>
          <w:sz w:val="20"/>
          <w:szCs w:val="20"/>
          <w:color w:val="auto"/>
        </w:rPr>
      </w:pPr>
    </w:p>
    <w:p>
      <w:pPr>
        <w:ind w:firstLine="374"/>
        <w:spacing w:after="0" w:line="250" w:lineRule="auto"/>
        <w:rPr>
          <w:sz w:val="20"/>
          <w:szCs w:val="20"/>
          <w:color w:val="auto"/>
        </w:rPr>
      </w:pPr>
      <w:r>
        <w:rPr>
          <w:rFonts w:ascii="Times New Roman" w:cs="Times New Roman" w:eastAsia="Times New Roman" w:hAnsi="Times New Roman"/>
          <w:sz w:val="18"/>
          <w:szCs w:val="18"/>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manufactured by Janssen.</w:t>
      </w:r>
    </w:p>
    <w:p>
      <w:pPr>
        <w:spacing w:after="0" w:line="177" w:lineRule="exact"/>
        <w:rPr>
          <w:sz w:val="20"/>
          <w:szCs w:val="20"/>
          <w:color w:val="auto"/>
        </w:rPr>
      </w:pPr>
    </w:p>
    <w:p>
      <w:pPr>
        <w:ind w:right="240" w:firstLine="374"/>
        <w:spacing w:after="0" w:line="258" w:lineRule="auto"/>
        <w:rPr>
          <w:sz w:val="20"/>
          <w:szCs w:val="20"/>
          <w:color w:val="auto"/>
        </w:rPr>
      </w:pPr>
      <w:r>
        <w:rPr>
          <w:rFonts w:ascii="Times New Roman" w:cs="Times New Roman" w:eastAsia="Times New Roman" w:hAnsi="Times New Roman"/>
          <w:sz w:val="18"/>
          <w:szCs w:val="18"/>
          <w:color w:val="auto"/>
        </w:rPr>
        <w:t>INVEGA HAFYERA is approved in the U.S. for the treatment of schizophrenia in patients who have been adequately treated with INVEGA SUSTENNA for at least four months or INVEGA TRINZA for at least three months. BYANNLI is approved in the EU for the maintenance treatment of schizophrenia in adult patients who are clinically stable on XEPLION or TREVICTA. INVEGA HAFYERA/BYANNLI is manufactured by Janssen.</w:t>
      </w:r>
    </w:p>
    <w:p>
      <w:pPr>
        <w:spacing w:after="0" w:line="156" w:lineRule="exact"/>
        <w:rPr>
          <w:sz w:val="20"/>
          <w:szCs w:val="20"/>
          <w:color w:val="auto"/>
        </w:rPr>
      </w:pPr>
    </w:p>
    <w:p>
      <w:pPr>
        <w:ind w:right="20" w:firstLine="374"/>
        <w:spacing w:after="0" w:line="250" w:lineRule="auto"/>
        <w:rPr>
          <w:sz w:val="20"/>
          <w:szCs w:val="20"/>
          <w:color w:val="auto"/>
        </w:rPr>
      </w:pPr>
      <w:r>
        <w:rPr>
          <w:rFonts w:ascii="Times New Roman" w:cs="Times New Roman" w:eastAsia="Times New Roman" w:hAnsi="Times New Roman"/>
          <w:sz w:val="18"/>
          <w:szCs w:val="18"/>
          <w:color w:val="auto"/>
        </w:rPr>
        <w:t xml:space="preserve">For a discussion of legal proceedings related to certain of the patents covering INVEGA SUSTENNA and INVEGA TRINZA, see Note 15, </w:t>
      </w:r>
      <w:r>
        <w:rPr>
          <w:rFonts w:ascii="Times New Roman" w:cs="Times New Roman" w:eastAsia="Times New Roman" w:hAnsi="Times New Roman"/>
          <w:sz w:val="18"/>
          <w:szCs w:val="18"/>
          <w:i w:val="1"/>
          <w:iCs w:val="1"/>
          <w:color w:val="auto"/>
        </w:rPr>
        <w:t xml:space="preserve">Commitments and Contingent Liabilities </w:t>
      </w:r>
      <w:r>
        <w:rPr>
          <w:rFonts w:ascii="Times New Roman" w:cs="Times New Roman" w:eastAsia="Times New Roman" w:hAnsi="Times New Roman"/>
          <w:sz w:val="18"/>
          <w:szCs w:val="18"/>
          <w:color w:val="auto"/>
        </w:rPr>
        <w:t>in the “Notes to Condensed Consolidated Financial Statements” in this Form 10-Q and for information about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such legal proceedings, see “Part I, Item 1A—Risk Factors” in our Annual Report and specifically the section entitled “We or our licensees may face claims against IP rights covering our products and competition from generic drug manufacturers.”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28" w:name="page29"/>
    <w:bookmarkEnd w:id="28"/>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RISPERDAL CONSTA</w:t>
      </w:r>
    </w:p>
    <w:p>
      <w:pPr>
        <w:spacing w:after="0" w:line="216" w:lineRule="exact"/>
        <w:rPr>
          <w:sz w:val="20"/>
          <w:szCs w:val="20"/>
          <w:color w:val="auto"/>
        </w:rPr>
      </w:pPr>
    </w:p>
    <w:p>
      <w:pPr>
        <w:ind w:right="80" w:firstLine="374"/>
        <w:spacing w:after="0" w:line="247" w:lineRule="auto"/>
        <w:rPr>
          <w:sz w:val="20"/>
          <w:szCs w:val="20"/>
          <w:color w:val="auto"/>
        </w:rPr>
      </w:pPr>
      <w:r>
        <w:rPr>
          <w:rFonts w:ascii="Times New Roman" w:cs="Times New Roman" w:eastAsia="Times New Roman" w:hAnsi="Times New Roman"/>
          <w:sz w:val="18"/>
          <w:szCs w:val="18"/>
          <w:color w:val="auto"/>
        </w:rPr>
        <w:t>RISPERDAL CONSTA (risperidone long-acting injection) is a long-acting atypical antipsychotic owned and commercialized worldwide by Janssen that incorporates our proprietary technologies. RISPERDAL CONSTA is approved in the U.S. for the treatment of schizophrenia and as both monotherapy and adjunctive therapy to lithium or valproate in the maintenance treatment of bipolar I disorder. RISPERDAL CONSTA is approved in numerous countries outside of the U.S. for the treatment of schizophrenia and the maintenance treatment of bipolar I disorder. RISPERDAL CONSTA uses our polymer-based microsphere injectable extended-release technology to deliver and maintain therapeutic medication levels in the body through just one intramuscular injection every two weeks. RISPERDAL CONSTA microspheres are exclusively manufactured by us.</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Licensed Product</w:t>
      </w: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VUMERITY</w:t>
      </w:r>
    </w:p>
    <w:p>
      <w:pPr>
        <w:spacing w:after="0" w:line="202"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VUMERITY (diroximel fumarate) is a novel, oral fumarate with a distinct chemical structure that is approved in the U.S., the EU and several other countries for the treatment of relapsing forms of multiple sclerosis in adults, including clinically isolated syndrome, relapsing-remitting disease and active secondary progressive disease.</w:t>
      </w:r>
    </w:p>
    <w:p>
      <w:pPr>
        <w:spacing w:after="0" w:line="169" w:lineRule="exact"/>
        <w:rPr>
          <w:sz w:val="20"/>
          <w:szCs w:val="20"/>
          <w:color w:val="auto"/>
        </w:rPr>
      </w:pPr>
    </w:p>
    <w:p>
      <w:pPr>
        <w:ind w:right="100" w:firstLine="374"/>
        <w:spacing w:after="0" w:line="250" w:lineRule="auto"/>
        <w:rPr>
          <w:sz w:val="20"/>
          <w:szCs w:val="20"/>
          <w:color w:val="auto"/>
        </w:rPr>
      </w:pPr>
      <w:r>
        <w:rPr>
          <w:rFonts w:ascii="Times New Roman" w:cs="Times New Roman" w:eastAsia="Times New Roman" w:hAnsi="Times New Roman"/>
          <w:sz w:val="18"/>
          <w:szCs w:val="18"/>
          <w:color w:val="auto"/>
        </w:rPr>
        <w:t>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Development Program</w:t>
      </w:r>
    </w:p>
    <w:p>
      <w:pPr>
        <w:spacing w:after="0" w:line="212" w:lineRule="exact"/>
        <w:rPr>
          <w:sz w:val="20"/>
          <w:szCs w:val="20"/>
          <w:color w:val="auto"/>
        </w:rPr>
      </w:pPr>
    </w:p>
    <w:p>
      <w:pPr>
        <w:ind w:right="60" w:firstLine="374"/>
        <w:spacing w:after="0" w:line="242" w:lineRule="auto"/>
        <w:rPr>
          <w:sz w:val="20"/>
          <w:szCs w:val="20"/>
          <w:color w:val="auto"/>
        </w:rPr>
      </w:pPr>
      <w:r>
        <w:rPr>
          <w:rFonts w:ascii="Times New Roman" w:cs="Times New Roman" w:eastAsia="Times New Roman" w:hAnsi="Times New Roman"/>
          <w:sz w:val="18"/>
          <w:szCs w:val="18"/>
          <w:color w:val="auto"/>
        </w:rPr>
        <w:t>Our R&amp;D is focused on the development of innovative medicines in the fields of neuroscience and oncology that are designed to address unmet patient needs. As part of our ongoing R&amp;D efforts, we have devoted, and will continue to devote, significant resources to conducting preclinical work and clinical studies to advance the development of new pharmaceutical products. The discussion below highlights our current key development program. Drug development involves a high degree of risk and investment, and the status, timing and scope of our development programs are subject to change. Important factors that could adversely affect our drug development efforts are discussed in “Part I, Item 1A—Risk Factors” in our Annual Report. See the “Patents and Proprietary Rights” section in “Part I, Item 1—Business” in our Annual Report for information with respect to the IP protection for our key development program.</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Nemvaleukin alfa</w:t>
      </w:r>
    </w:p>
    <w:p>
      <w:pPr>
        <w:spacing w:after="0" w:line="216" w:lineRule="exact"/>
        <w:rPr>
          <w:sz w:val="20"/>
          <w:szCs w:val="20"/>
          <w:color w:val="auto"/>
        </w:rPr>
      </w:pPr>
    </w:p>
    <w:p>
      <w:pPr>
        <w:ind w:right="140" w:firstLine="374"/>
        <w:spacing w:after="0" w:line="250" w:lineRule="auto"/>
        <w:rPr>
          <w:sz w:val="20"/>
          <w:szCs w:val="20"/>
          <w:color w:val="auto"/>
        </w:rPr>
      </w:pPr>
      <w:r>
        <w:rPr>
          <w:rFonts w:ascii="Times New Roman" w:cs="Times New Roman" w:eastAsia="Times New Roman" w:hAnsi="Times New Roman"/>
          <w:sz w:val="18"/>
          <w:szCs w:val="18"/>
          <w:color w:val="auto"/>
        </w:rPr>
        <w:t>Nemvaleukin alfa (“nemvaleukin”) is an investigational, novel, engineered fusion protein comprised of modified interleukin-2 (“IL-2”) and the high affinity IL-2 alpha receptor chain, designed to preferentially expand tumor-killing immune cells while avoiding the activation of immunosuppressive cells by selectively binding to the intermediate-affinity IL-2 receptor complex. The selectivity of nemvaleukin is designed to leverage the proven anti-tumor effects of existing IL-2 therapy while mitigating certain limitations.</w:t>
      </w:r>
    </w:p>
    <w:p>
      <w:pPr>
        <w:spacing w:after="0" w:line="164" w:lineRule="exact"/>
        <w:rPr>
          <w:sz w:val="20"/>
          <w:szCs w:val="20"/>
          <w:color w:val="auto"/>
        </w:rPr>
      </w:pPr>
    </w:p>
    <w:p>
      <w:pPr>
        <w:ind w:firstLine="374"/>
        <w:spacing w:after="0" w:line="242" w:lineRule="auto"/>
        <w:rPr>
          <w:sz w:val="20"/>
          <w:szCs w:val="20"/>
          <w:color w:val="auto"/>
        </w:rPr>
      </w:pPr>
      <w:r>
        <w:rPr>
          <w:rFonts w:ascii="Times New Roman" w:cs="Times New Roman" w:eastAsia="Times New Roman" w:hAnsi="Times New Roman"/>
          <w:sz w:val="18"/>
          <w:szCs w:val="18"/>
          <w:color w:val="auto"/>
        </w:rPr>
        <w:t>ARTISTRY is our clinical development program evaluating nemvaleukin as a potential immunotherapy for cancer. The ARTISTRY program is comprised of multiple clinical trials evaluating intravenous (“IV”) and subcutaneous (“SC”) dosing of nemvaleukin, both as a monotherapy and in combination with the anti-PD-1 therapy KEYTRUDA (pembrolizumab) in patients with advanced solid tumors. ARTISTRY-1 (evaluating IV nemvaleukin) and ARTISTRY-2 (evaluating SC nemvaleukin) are ongoing phase 1/2 studies evaluating the safety, tolerability, efficacy and pharmacokinetic and pharmacodynamic effects of nemvaleukin in patients with refractory advanced solid tumors, in both monotherapy and combination settings. ARTISTRY-3 is an ongoing phase 2 study evaluating the efficacy, safety and tolerability of less frequent dosing of IV nemvaleukin and pharmacokinetic and pharmacodynamic effects of IV nemvaleukin in the tumor microenvironment as a monotherapy and in combination with pembrolizumab in a variety of advanced solid tumors. ARTISTRY-6 is an ongoing phase 2 study evaluating the anti-tumor activity, safety and tolerability of IV nemvaleukin monotherapy in patients with mucosal melanoma and SC nemvaleukin monotherapy in patients with advanced cutaneous melanoma. ARTISTRY-7 is an ongoing phase 3 study evaluating the efficacy, safety and tolerability of IV nemvaleukin as monotherapy and in combination with pembrolizumab compared to investigator’s choice chemotherapy in patients with platinum-resistant ovarian cancer.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9" w:name="page30"/>
    <w:bookmarkEnd w:id="29"/>
    <w:p>
      <w:pPr>
        <w:ind w:right="440" w:firstLine="374"/>
        <w:spacing w:after="0" w:line="258" w:lineRule="auto"/>
        <w:rPr>
          <w:sz w:val="20"/>
          <w:szCs w:val="20"/>
          <w:color w:val="auto"/>
        </w:rPr>
      </w:pPr>
      <w:r>
        <w:rPr>
          <w:rFonts w:ascii="Times New Roman" w:cs="Times New Roman" w:eastAsia="Times New Roman" w:hAnsi="Times New Roman"/>
          <w:sz w:val="18"/>
          <w:szCs w:val="18"/>
          <w:color w:val="auto"/>
        </w:rPr>
        <w:t>In March 2021 and August 2021, we announced that the FDA granted Orphan Drug Designation and Fast Track designation, respectively, to nemvaleukin for the treatment of mucosal melanoma. In October 2021, we announced that the FDA granted Fast Track designation to nemvaleukin in combination with pembrolizumab for the treatment of platinum-resistant ovarian cancer.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87" w:lineRule="exact"/>
        <w:rPr>
          <w:sz w:val="20"/>
          <w:szCs w:val="20"/>
          <w:color w:val="auto"/>
        </w:rPr>
      </w:pPr>
    </w:p>
    <w:p>
      <w:pPr>
        <w:jc w:val="both"/>
        <w:ind w:right="400" w:firstLine="374"/>
        <w:spacing w:after="0" w:line="245" w:lineRule="auto"/>
        <w:rPr>
          <w:sz w:val="20"/>
          <w:szCs w:val="20"/>
          <w:color w:val="auto"/>
        </w:rPr>
      </w:pPr>
      <w:r>
        <w:rPr>
          <w:rFonts w:ascii="Times New Roman" w:cs="Times New Roman" w:eastAsia="Times New Roman" w:hAnsi="Times New Roman"/>
          <w:sz w:val="18"/>
          <w:szCs w:val="18"/>
          <w:color w:val="auto"/>
        </w:rPr>
        <w:t>Our product sales, net, consist of sales of VIVITROL, ARISTADA and ARISTADA INITIO, and, following its commercial launch in the U.S. in October 2021, LYBALVI, primarily to wholesalers, specialty distributors and pharmacies. The following table presents the adjustments deducted from product sales, gross to arrive at product sales, net, for sales of VIVITROL, ARISTADA, ARISTADA INITIO and LYBALVI during the three and nine months ended September 30, 2022 and 2021: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6"/>
        </w:trPr>
        <w:tc>
          <w:tcPr>
            <w:tcW w:w="2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2"/>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for % of Sales)</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160" w:type="dxa"/>
            <w:vAlign w:val="bottom"/>
          </w:tcPr>
          <w:p>
            <w:pPr>
              <w:spacing w:after="0"/>
              <w:rPr>
                <w:sz w:val="14"/>
                <w:szCs w:val="14"/>
                <w:color w:val="auto"/>
              </w:rPr>
            </w:pPr>
          </w:p>
        </w:tc>
      </w:tr>
      <w:tr>
        <w:trPr>
          <w:trHeight w:val="19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 sales, gross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401.0</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6"/>
                <w:szCs w:val="16"/>
                <w:color w:val="auto"/>
              </w:rPr>
              <w:t>100.0</w:t>
            </w:r>
          </w:p>
        </w:tc>
        <w:tc>
          <w:tcPr>
            <w:tcW w:w="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338.7</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1,130.2</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6"/>
                <w:szCs w:val="16"/>
                <w:color w:val="auto"/>
              </w:rPr>
              <w:t>100.0</w:t>
            </w:r>
          </w:p>
        </w:tc>
        <w:tc>
          <w:tcPr>
            <w:tcW w:w="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954.8</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3"/>
        </w:trPr>
        <w:tc>
          <w:tcPr>
            <w:tcW w:w="2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Adjustments to product sales, gross: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Medicaid rebates</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(88.9 )</w:t>
            </w:r>
          </w:p>
        </w:tc>
        <w:tc>
          <w:tcPr>
            <w:tcW w:w="136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(22.2 ) %</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(86.1 )</w:t>
            </w:r>
          </w:p>
        </w:tc>
        <w:tc>
          <w:tcPr>
            <w:tcW w:w="132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(25.4 ) %</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(254.1 )</w:t>
            </w:r>
          </w:p>
        </w:tc>
        <w:tc>
          <w:tcPr>
            <w:tcW w:w="128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(22.5 ) %</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(245.1 )</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(25.7 ) %</w:t>
            </w:r>
          </w:p>
        </w:tc>
      </w:tr>
      <w:tr>
        <w:trPr>
          <w:trHeight w:val="203"/>
        </w:trPr>
        <w:tc>
          <w:tcPr>
            <w:tcW w:w="2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Chargebacks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(43.0 )</w:t>
            </w:r>
          </w:p>
        </w:tc>
        <w:tc>
          <w:tcPr>
            <w:tcW w:w="136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(10.7 ) %</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(36.5 )</w:t>
            </w:r>
          </w:p>
        </w:tc>
        <w:tc>
          <w:tcPr>
            <w:tcW w:w="13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(10.8 ) %</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(118.3 )</w:t>
            </w:r>
          </w:p>
        </w:tc>
        <w:tc>
          <w:tcPr>
            <w:tcW w:w="12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(10.5 ) %</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(9.9 ) %</w:t>
            </w:r>
          </w:p>
        </w:tc>
      </w:tr>
      <w:tr>
        <w:trPr>
          <w:trHeight w:val="203"/>
        </w:trPr>
        <w:tc>
          <w:tcPr>
            <w:tcW w:w="2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Product discounts</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(32.6 )</w:t>
            </w:r>
          </w:p>
        </w:tc>
        <w:tc>
          <w:tcPr>
            <w:tcW w:w="136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(8.1 ) %</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(27.1 )</w:t>
            </w:r>
          </w:p>
        </w:tc>
        <w:tc>
          <w:tcPr>
            <w:tcW w:w="132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(8.0 ) %</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(90.3 )</w:t>
            </w:r>
          </w:p>
        </w:tc>
        <w:tc>
          <w:tcPr>
            <w:tcW w:w="128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(8.0 ) %</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(76.9 )</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(8.1 ) %</w:t>
            </w:r>
          </w:p>
        </w:tc>
      </w:tr>
      <w:tr>
        <w:trPr>
          <w:trHeight w:val="203"/>
        </w:trPr>
        <w:tc>
          <w:tcPr>
            <w:tcW w:w="2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Medicare Part D</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(17.1 )</w:t>
            </w:r>
          </w:p>
        </w:tc>
        <w:tc>
          <w:tcPr>
            <w:tcW w:w="136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(4.3 ) %</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13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(4.5 ) %</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(49.6 )</w:t>
            </w:r>
          </w:p>
        </w:tc>
        <w:tc>
          <w:tcPr>
            <w:tcW w:w="12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(4.4 ) %</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(4.7 ) %</w:t>
            </w:r>
          </w:p>
        </w:tc>
      </w:tr>
      <w:tr>
        <w:trPr>
          <w:trHeight w:val="203"/>
        </w:trPr>
        <w:tc>
          <w:tcPr>
            <w:tcW w:w="2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(5.0 ) %</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132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(4.7 ) %</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(56.5 )</w:t>
            </w:r>
          </w:p>
        </w:tc>
        <w:tc>
          <w:tcPr>
            <w:tcW w:w="128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(4.9 ) %</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(43.9 )</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(4.6 ) %</w:t>
            </w:r>
          </w:p>
        </w:tc>
      </w:tr>
      <w:tr>
        <w:trPr>
          <w:trHeight w:val="20"/>
        </w:trPr>
        <w:tc>
          <w:tcPr>
            <w:tcW w:w="28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96"/>
        </w:trPr>
        <w:tc>
          <w:tcPr>
            <w:tcW w:w="2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adjustments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(201.7 )</w:t>
            </w:r>
          </w:p>
        </w:tc>
        <w:tc>
          <w:tcPr>
            <w:tcW w:w="120" w:type="dxa"/>
            <w:vAlign w:val="bottom"/>
          </w:tcPr>
          <w:p>
            <w:pPr>
              <w:spacing w:after="0"/>
              <w:rPr>
                <w:sz w:val="17"/>
                <w:szCs w:val="17"/>
                <w:color w:val="auto"/>
              </w:rPr>
            </w:pPr>
          </w:p>
        </w:tc>
        <w:tc>
          <w:tcPr>
            <w:tcW w:w="12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 xml:space="preserve">(50.3 ) </w:t>
            </w:r>
            <w:r>
              <w:rPr>
                <w:rFonts w:ascii="Times New Roman" w:cs="Times New Roman" w:eastAsia="Times New Roman" w:hAnsi="Times New Roman"/>
                <w:sz w:val="16"/>
                <w:szCs w:val="16"/>
                <w:color w:val="auto"/>
                <w:highlight w:val="white"/>
              </w:rPr>
              <w:t>%</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(181.0 )</w:t>
            </w:r>
          </w:p>
        </w:tc>
        <w:tc>
          <w:tcPr>
            <w:tcW w:w="13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 xml:space="preserve">(53.4 ) </w:t>
            </w:r>
            <w:r>
              <w:rPr>
                <w:rFonts w:ascii="Times New Roman" w:cs="Times New Roman" w:eastAsia="Times New Roman" w:hAnsi="Times New Roman"/>
                <w:sz w:val="16"/>
                <w:szCs w:val="16"/>
                <w:color w:val="auto"/>
                <w:highlight w:val="white"/>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(568.8 )</w:t>
            </w:r>
          </w:p>
        </w:tc>
        <w:tc>
          <w:tcPr>
            <w:tcW w:w="12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 xml:space="preserve">(50.3 ) </w:t>
            </w:r>
            <w:r>
              <w:rPr>
                <w:rFonts w:ascii="Times New Roman" w:cs="Times New Roman" w:eastAsia="Times New Roman" w:hAnsi="Times New Roman"/>
                <w:sz w:val="16"/>
                <w:szCs w:val="16"/>
                <w:color w:val="auto"/>
                <w:highlight w:val="white"/>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(506.3 )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(53.0 ) </w:t>
            </w:r>
            <w:r>
              <w:rPr>
                <w:rFonts w:ascii="Times New Roman" w:cs="Times New Roman" w:eastAsia="Times New Roman" w:hAnsi="Times New Roman"/>
                <w:sz w:val="16"/>
                <w:szCs w:val="16"/>
                <w:color w:val="auto"/>
                <w:highlight w:val="white"/>
              </w:rPr>
              <w:t>%</w:t>
            </w:r>
          </w:p>
        </w:tc>
      </w:tr>
      <w:tr>
        <w:trPr>
          <w:trHeight w:val="236"/>
        </w:trPr>
        <w:tc>
          <w:tcPr>
            <w:tcW w:w="286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Product sales,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199.3</w:t>
            </w:r>
          </w:p>
        </w:tc>
        <w:tc>
          <w:tcPr>
            <w:tcW w:w="1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6"/>
                <w:szCs w:val="16"/>
                <w:color w:val="auto"/>
              </w:rPr>
              <w:t>49.7</w:t>
            </w:r>
          </w:p>
        </w:tc>
        <w:tc>
          <w:tcPr>
            <w:tcW w:w="30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157.7</w:t>
            </w:r>
          </w:p>
        </w:tc>
        <w:tc>
          <w:tcPr>
            <w:tcW w:w="1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46.6</w:t>
            </w:r>
          </w:p>
        </w:tc>
        <w:tc>
          <w:tcPr>
            <w:tcW w:w="2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561.4</w:t>
            </w:r>
          </w:p>
        </w:tc>
        <w:tc>
          <w:tcPr>
            <w:tcW w:w="12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6"/>
                <w:szCs w:val="16"/>
                <w:color w:val="auto"/>
              </w:rPr>
              <w:t>49.7</w:t>
            </w:r>
          </w:p>
        </w:tc>
        <w:tc>
          <w:tcPr>
            <w:tcW w:w="26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448.5</w:t>
            </w:r>
          </w:p>
        </w:tc>
        <w:tc>
          <w:tcPr>
            <w:tcW w:w="1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47.0</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-299720</wp:posOffset>
            </wp:positionV>
            <wp:extent cx="76835"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-299720</wp:posOffset>
            </wp:positionV>
            <wp:extent cx="77470" cy="145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-299720</wp:posOffset>
            </wp:positionV>
            <wp:extent cx="6858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-299720</wp:posOffset>
            </wp:positionV>
            <wp:extent cx="68580" cy="145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-25400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-7620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-25400</wp:posOffset>
            </wp:positionV>
            <wp:extent cx="1117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-7620</wp:posOffset>
            </wp:positionV>
            <wp:extent cx="1117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-25400</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-25400</wp:posOffset>
            </wp:positionV>
            <wp:extent cx="1028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1028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1028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1028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1028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compares product sales, net revenues earned during the three and nine months ended September 30, 2022 and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7"/>
        </w:trPr>
        <w:tc>
          <w:tcPr>
            <w:tcW w:w="4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18"/>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4"/>
                <w:szCs w:val="24"/>
                <w:color w:val="auto"/>
              </w:rPr>
            </w:pPr>
          </w:p>
        </w:tc>
        <w:tc>
          <w:tcPr>
            <w:tcW w:w="82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24"/>
                <w:szCs w:val="24"/>
                <w:color w:val="auto"/>
              </w:rPr>
            </w:pPr>
          </w:p>
        </w:tc>
        <w:tc>
          <w:tcPr>
            <w:tcW w:w="8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VIVITROL</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ARISTADA and ARISTADA INITIO</w:t>
            </w:r>
          </w:p>
        </w:tc>
        <w:tc>
          <w:tcPr>
            <w:tcW w:w="220" w:type="dxa"/>
            <w:vAlign w:val="bottom"/>
          </w:tcPr>
          <w:p>
            <w:pPr>
              <w:spacing w:after="0"/>
              <w:rPr>
                <w:sz w:val="18"/>
                <w:szCs w:val="18"/>
                <w:color w:val="auto"/>
              </w:rPr>
            </w:pP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4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LYBALVI</w:t>
            </w: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61.1</w:t>
            </w:r>
          </w:p>
        </w:tc>
      </w:tr>
      <w:tr>
        <w:trPr>
          <w:trHeight w:val="209"/>
        </w:trPr>
        <w:tc>
          <w:tcPr>
            <w:tcW w:w="4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Product sales, net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199.3</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157.7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561.4</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112.9</w:t>
            </w:r>
          </w:p>
        </w:tc>
      </w:tr>
      <w:tr>
        <w:trPr>
          <w:trHeight w:val="20"/>
        </w:trPr>
        <w:tc>
          <w:tcPr>
            <w:tcW w:w="4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-170815</wp:posOffset>
            </wp:positionV>
            <wp:extent cx="7747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-170815</wp:posOffset>
            </wp:positionV>
            <wp:extent cx="7747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-170815</wp:posOffset>
            </wp:positionV>
            <wp:extent cx="68580"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-170815</wp:posOffset>
            </wp:positionV>
            <wp:extent cx="6858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ind w:right="100" w:firstLine="374"/>
        <w:spacing w:after="0" w:line="247" w:lineRule="auto"/>
        <w:rPr>
          <w:sz w:val="20"/>
          <w:szCs w:val="20"/>
          <w:color w:val="auto"/>
        </w:rPr>
      </w:pPr>
      <w:r>
        <w:rPr>
          <w:rFonts w:ascii="Times New Roman" w:cs="Times New Roman" w:eastAsia="Times New Roman" w:hAnsi="Times New Roman"/>
          <w:sz w:val="18"/>
          <w:szCs w:val="18"/>
          <w:color w:val="auto"/>
        </w:rPr>
        <w:t>VIVITROL product sales, gross, increased by 6% and 7% during the three and nine months ended September 30, 2022, respectively, as compared to the three and nine months ended September 30, 2021, primarily due to increases of 1% and 2%, respectively, in the number of VIVITROL units sold and a 6% increase in the selling price of VIVITROL that went into effect in April 2022. ARISTADA and ARISTADA INITIO product sales, gross, increased by 9% and 13% during the three and nine months ended September 30, 2022, respectively, as compared to the three and nine months ended September 30, 2021, primarily due to increases of 2% and 10%, respectively, in the number of ARISTADA units sold and a 3% increase in the selling price of ARISTADA and ARISTADA INITIO that went into effect in April 2022.</w:t>
      </w:r>
    </w:p>
    <w:p>
      <w:pPr>
        <w:spacing w:after="0" w:line="166" w:lineRule="exact"/>
        <w:rPr>
          <w:sz w:val="20"/>
          <w:szCs w:val="20"/>
          <w:color w:val="auto"/>
        </w:rPr>
      </w:pPr>
    </w:p>
    <w:p>
      <w:pPr>
        <w:ind w:firstLine="374"/>
        <w:spacing w:after="0" w:line="247" w:lineRule="auto"/>
        <w:rPr>
          <w:sz w:val="20"/>
          <w:szCs w:val="20"/>
          <w:color w:val="auto"/>
        </w:rPr>
      </w:pPr>
      <w:r>
        <w:rPr>
          <w:rFonts w:ascii="Times New Roman" w:cs="Times New Roman" w:eastAsia="Times New Roman" w:hAnsi="Times New Roman"/>
          <w:sz w:val="18"/>
          <w:szCs w:val="18"/>
          <w:color w:val="auto"/>
        </w:rPr>
        <w:t>The decreases in Medicaid rebates as a percentage of sales during the three and nine months ended September 30, 2022, as compared to the three and nine months ended September 30, 2021, were primarily due to actual Medicaid utilization rates related to VIVITROL being lower than original estimates as such rates normalize from pandemic levels.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Manufacturing and Royalty Revenues</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compares manufacturing and royalty revenues earned during the three and nine months ended September 30, 2022 and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4"/>
                <w:szCs w:val="14"/>
                <w:color w:val="auto"/>
              </w:rPr>
            </w:pPr>
          </w:p>
        </w:tc>
        <w:tc>
          <w:tcPr>
            <w:tcW w:w="8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Manufacturing and royalty revenues:</w:t>
            </w: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Long-acting INVEGA products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26.7</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79.4</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90.4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222.0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(131.6 )</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VUMERITY</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83.0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60.5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RISPERDAL CONSTA</w:t>
            </w:r>
          </w:p>
        </w:tc>
        <w:tc>
          <w:tcPr>
            <w:tcW w:w="200" w:type="dxa"/>
            <w:vAlign w:val="bottom"/>
          </w:tcPr>
          <w:p>
            <w:pPr>
              <w:spacing w:after="0"/>
              <w:rPr>
                <w:sz w:val="18"/>
                <w:szCs w:val="18"/>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76.3</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0" w:type="dxa"/>
            <w:vAlign w:val="bottom"/>
          </w:tcPr>
          <w:p>
            <w:pPr>
              <w:spacing w:after="0"/>
              <w:rPr>
                <w:sz w:val="1"/>
                <w:szCs w:val="1"/>
                <w:color w:val="auto"/>
              </w:rPr>
            </w:pPr>
          </w:p>
        </w:tc>
      </w:tr>
      <w:tr>
        <w:trPr>
          <w:trHeight w:val="209"/>
        </w:trPr>
        <w:tc>
          <w:tcPr>
            <w:tcW w:w="4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Manufacturing and royalty 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52.9</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136.3</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(83.4 )</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243.4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398.4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(155.0 )</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-170815</wp:posOffset>
            </wp:positionV>
            <wp:extent cx="154305"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-170815</wp:posOffset>
            </wp:positionV>
            <wp:extent cx="154305"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-170815</wp:posOffset>
            </wp:positionV>
            <wp:extent cx="145415"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5415" cy="17145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-170815</wp:posOffset>
            </wp:positionV>
            <wp:extent cx="14605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6050" cy="17145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-170815</wp:posOffset>
            </wp:positionV>
            <wp:extent cx="145415"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5415" cy="171450"/>
                    </a:xfrm>
                    <a:prstGeom prst="rect">
                      <a:avLst/>
                    </a:prstGeom>
                    <a:noFill/>
                  </pic:spPr>
                </pic:pic>
              </a:graphicData>
            </a:graphic>
          </wp:anchor>
        </w:drawing>
      </w:r>
    </w:p>
    <w:p>
      <w:pPr>
        <w:spacing w:after="0" w:line="151" w:lineRule="exact"/>
        <w:rPr>
          <w:sz w:val="20"/>
          <w:szCs w:val="20"/>
          <w:color w:val="auto"/>
        </w:rPr>
      </w:pPr>
    </w:p>
    <w:p>
      <w:pPr>
        <w:ind w:right="20" w:firstLine="374"/>
        <w:spacing w:after="0" w:line="233" w:lineRule="auto"/>
        <w:rPr>
          <w:sz w:val="20"/>
          <w:szCs w:val="20"/>
          <w:color w:val="auto"/>
        </w:rPr>
      </w:pPr>
      <w:r>
        <w:rPr>
          <w:rFonts w:ascii="Times New Roman" w:cs="Times New Roman" w:eastAsia="Times New Roman" w:hAnsi="Times New Roman"/>
          <w:sz w:val="18"/>
          <w:szCs w:val="18"/>
          <w:color w:val="auto"/>
        </w:rPr>
        <w:t>Our agreements with Janssen related to the long-acting INVEGA products provide for tiered royalty payments, which consist of a patent royalty and a know-how royalty, both of which are determined on a country-by-country basis. The patent royalty, which equals 1.5% of net sales, is payable in each country until the expiration of the last of the patents with valid claims applicable to the product in such country. The know-how royalty is a tiered royalty of 3.5% on calendar year net sales up to $250 million; 5.5% on calendar year net sales of between $250 million and $500 million; and 7.5% on calendar year net sales exceeding $500 million. The know-how royalty rate resets to 3.5% at the beginning of each calendar year and is payable until 15 years from the first commercial sale of a product in each individual country, subject to expiry of the agreement.</w:t>
      </w:r>
    </w:p>
    <w:p>
      <w:pPr>
        <w:spacing w:after="0" w:line="158" w:lineRule="exact"/>
        <w:rPr>
          <w:sz w:val="20"/>
          <w:szCs w:val="20"/>
          <w:color w:val="auto"/>
        </w:rPr>
      </w:pPr>
    </w:p>
    <w:p>
      <w:pPr>
        <w:ind w:right="60" w:firstLine="374"/>
        <w:spacing w:after="0" w:line="235" w:lineRule="auto"/>
        <w:rPr>
          <w:sz w:val="20"/>
          <w:szCs w:val="20"/>
          <w:color w:val="auto"/>
        </w:rPr>
      </w:pPr>
      <w:r>
        <w:rPr>
          <w:rFonts w:ascii="Times New Roman" w:cs="Times New Roman" w:eastAsia="Times New Roman" w:hAnsi="Times New Roman"/>
          <w:sz w:val="18"/>
          <w:szCs w:val="18"/>
          <w:color w:val="auto"/>
        </w:rPr>
        <w:t>The decreases in royalty revenues from the long-acting INVEGA products during the three and nine months ended September 30, 2022, as compared to the three and nine months ended September 30, 2021, were primarily due to the partial termination of our license agreement with Janssen related to such products. When the partial termination of the license agreement became effective in February 2022, we stopped recognizing royalty revenue related to net sales of INVEGA SUSTENNA, INVEGA TRINZA and INVEGA HAFYERA in the U.S. During the three and nine months ended September 30, 2022, Janssen’s rest of world net sales were $348.0 million and $1,097.0 million, respectively, as compared to $355.0 million and $1,111.0 million during the three and nine months ended September 30, 2021, respectively.</w:t>
      </w:r>
    </w:p>
    <w:p>
      <w:pPr>
        <w:spacing w:after="0" w:line="147" w:lineRule="exact"/>
        <w:rPr>
          <w:sz w:val="20"/>
          <w:szCs w:val="20"/>
          <w:color w:val="auto"/>
        </w:rPr>
      </w:pPr>
    </w:p>
    <w:p>
      <w:pPr>
        <w:ind w:right="100" w:firstLine="374"/>
        <w:spacing w:after="0" w:line="230" w:lineRule="auto"/>
        <w:rPr>
          <w:sz w:val="20"/>
          <w:szCs w:val="20"/>
          <w:color w:val="auto"/>
        </w:rPr>
      </w:pPr>
      <w:r>
        <w:rPr>
          <w:rFonts w:ascii="Times New Roman" w:cs="Times New Roman" w:eastAsia="Times New Roman" w:hAnsi="Times New Roman"/>
          <w:sz w:val="18"/>
          <w:szCs w:val="18"/>
          <w:color w:val="auto"/>
        </w:rPr>
        <w:t xml:space="preserve">In November 2021, we received notice of partial termination of an exclusive license agreement with Janssen. Under this license agreement, we provided Janssen with rights to, and know-how, training and technical assistance in respect of, our small particle pharmaceutical compound technology, known as NanoCrystal Technology, to develop dosage forms of paliperidone palmitate, including INVEGA SUSTENNA/XEPLION, INVEGA TRINZA/TREVICTA, and INVEGA HAFYERA/BYANNLI. When the partial termination became effective in February 2022, Janssen ceased paying royalties related to sales of INVEGA SUSTENNA, INVEGA TRINZA and INVEGA HAFYERA in the U.S. and we stopped recognizing royalty revenue related to net sales of these products. In April 2022, we commenced binding arbitration proceedings related to, among other things, Janssen’s partial termination of this license agreement and Janssen’s royalty and other obligations under the agreement. For additional information regarding the arbitration proceedings with Janssen, see Note 15,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Condensed Consolidated Financial Statements” in this Form 10-Q. For more information about the license agreement with Janssen in respect of the long-acting INVEGA products, see the “Collaborative Arrangements—Janssen” section in “Part I, Item 1—Business” in our Annual Report. For information about risks relating to the notice of partial termination and our collaborative arrangements more broadly, see “Part I, Item 1A—Risk Factors” in our Annual Report and specifically that section entitled “We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 We expect royalty revenues from net sales of XEPLION, TREVICTA and BYANNLI to decrease over time. The amount and timing of royalty revenues from sales of INVEGA SUSTENNA, INVEGA TRINZA and INVEGA HAFYERA depend upon the outcome of our dispute with Janssen related to the impact of its partial termination of our license agreement in respect of these products.</w:t>
      </w:r>
    </w:p>
    <w:p>
      <w:pPr>
        <w:spacing w:after="0" w:line="147" w:lineRule="exact"/>
        <w:rPr>
          <w:sz w:val="20"/>
          <w:szCs w:val="20"/>
          <w:color w:val="auto"/>
        </w:rPr>
      </w:pPr>
    </w:p>
    <w:p>
      <w:pPr>
        <w:ind w:right="60" w:firstLine="374"/>
        <w:spacing w:after="0" w:line="233" w:lineRule="auto"/>
        <w:rPr>
          <w:sz w:val="20"/>
          <w:szCs w:val="20"/>
          <w:color w:val="auto"/>
        </w:rPr>
      </w:pPr>
      <w:r>
        <w:rPr>
          <w:rFonts w:ascii="Times New Roman" w:cs="Times New Roman" w:eastAsia="Times New Roman" w:hAnsi="Times New Roman"/>
          <w:sz w:val="18"/>
          <w:szCs w:val="18"/>
          <w:color w:val="auto"/>
        </w:rPr>
        <w:t xml:space="preserve">In addition, each of INVEGA SUSTENNA and INVEGA TRINZA are currently subject to Paragraph IV litigation in response to companies seeking to market generic versions of such products. Increased competition from new products or generic versions of these products may lead to reduced unit sales of such products and increased pricing pressure. For a discussion of these legal proceedings, see Note 15,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Condensed Consolidated Financial Statements” in this Form 10-Q and for information about risks relating to these legal proceedings, see “Part I, Item 1A—Risk Factors” in our Annual Report, and specifically the section entitled “We or our licensees may face claims against IP rights covering our products and competition from generic drug manufacturers.”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31" w:name="page32"/>
    <w:bookmarkEnd w:id="31"/>
    <w:p>
      <w:pPr>
        <w:ind w:firstLine="374"/>
        <w:spacing w:after="0" w:line="231" w:lineRule="auto"/>
        <w:rPr>
          <w:sz w:val="20"/>
          <w:szCs w:val="20"/>
          <w:color w:val="auto"/>
        </w:rPr>
      </w:pPr>
      <w:r>
        <w:rPr>
          <w:rFonts w:ascii="Times New Roman" w:cs="Times New Roman" w:eastAsia="Times New Roman" w:hAnsi="Times New Roman"/>
          <w:sz w:val="18"/>
          <w:szCs w:val="18"/>
          <w:color w:val="auto"/>
        </w:rPr>
        <w:t>We recognize manufacturing revenue for RISPERDAL CONSTA at the point in time when RISPERDAL CONSTA has been fully manufactured, which is deemed to have occurred when the product is approved for shipment by both us and Janssen. We record royalty revenue, equal to 2.5% of Janssen’s end-market net sales, in the period that the end-market sale of RISPERDAL CONSTA occurs. The decrease in revenue from RISPERDAL CONSTA during the nine months ended September 30, 2022, as compared to the nine months ended September 30, 2021, was primarily due to a decrease of $2.7 million in royalty revenue, partially offset by a $1.1 million increase in manufacturing revenue. This decrease in royalty revenue was due to a decrease in end-market sales of RISPERDAL CONSTA, which were $373.0 million during the nine months ended September 30, 2022, as compared to $452.0 million during the nine months ended September 30, 2021. The increase in manufacturing revenue during the nine months ended September 30, 2022, as compared to the nine months ended September 30, 2021 was primarily due to an increase in the number of units approved for shipment to Janssen, partially offset by the decrease in our manufacturing fee. Pursuant to the terms of our manufacturing and supply agreement with Janssen, our manufacturing fee decreases as forecasted manufacturing production increases. Based on Janssen’s anticipated volume increases, our manufacturing fee decreased from 8.6% to 7.9% of Janssen’s net unit sales price.</w:t>
      </w:r>
    </w:p>
    <w:p>
      <w:pPr>
        <w:spacing w:after="0" w:line="144" w:lineRule="exact"/>
        <w:rPr>
          <w:sz w:val="20"/>
          <w:szCs w:val="20"/>
          <w:color w:val="auto"/>
        </w:rPr>
      </w:pPr>
    </w:p>
    <w:p>
      <w:pPr>
        <w:jc w:val="both"/>
        <w:ind w:right="100" w:firstLine="374"/>
        <w:spacing w:after="0" w:line="242" w:lineRule="auto"/>
        <w:rPr>
          <w:sz w:val="20"/>
          <w:szCs w:val="20"/>
          <w:color w:val="auto"/>
        </w:rPr>
      </w:pPr>
      <w:r>
        <w:rPr>
          <w:rFonts w:ascii="Times New Roman" w:cs="Times New Roman" w:eastAsia="Times New Roman" w:hAnsi="Times New Roman"/>
          <w:sz w:val="18"/>
          <w:szCs w:val="18"/>
          <w:color w:val="auto"/>
        </w:rPr>
        <w:t>We expect revenues from RISPERDAL CONSTA to decrease over time. The latest to expire patent covering RISPERDAL CONSTA expired in 2021 in the EU and will expire in 2023 in the U.S., and we are aware of potential generic competition for RISPERDAL CONSTA that may lead to reduced unit sales and increased pricing pressure.</w:t>
      </w:r>
    </w:p>
    <w:p>
      <w:pPr>
        <w:spacing w:after="0" w:line="143" w:lineRule="exact"/>
        <w:rPr>
          <w:sz w:val="20"/>
          <w:szCs w:val="20"/>
          <w:color w:val="auto"/>
        </w:rPr>
      </w:pPr>
    </w:p>
    <w:p>
      <w:pPr>
        <w:ind w:right="20" w:firstLine="374"/>
        <w:spacing w:after="0" w:line="230" w:lineRule="auto"/>
        <w:rPr>
          <w:sz w:val="20"/>
          <w:szCs w:val="20"/>
          <w:color w:val="auto"/>
        </w:rPr>
      </w:pPr>
      <w:r>
        <w:rPr>
          <w:rFonts w:ascii="Times New Roman" w:cs="Times New Roman" w:eastAsia="Times New Roman" w:hAnsi="Times New Roman"/>
          <w:sz w:val="18"/>
          <w:szCs w:val="18"/>
          <w:color w:val="auto"/>
        </w:rPr>
        <w:t>We receive a 15% royalty on worldwide net sales of VUMERITY for product manufactured and packaged by us, subject to increases for VUMERITY manufactured and/or packaged by Biogen or its designees. We also recognize manufacturing revenue related to VUMERITY at cost plus 15%, upon release of bulk batches of VUMERITY manufactured by us and, to the extent we package such product, then also upon shipment of packaged lots of VUMERITY. The decrease in revenue from VUMERITY during the three months ended September 30, 2022, as compared to the three months ended September 30, 2021, was due to a decrease of $2.9 million in manufacturing revenue, partially offset by an increase of $2.4 million in royalty revenue. The increase in revenue from VUMERITY during the nine months ended September 30, 2022, as compared to the nine months ended September 30, 2021, was due to an increase of $17.5 million in royalty revenue and an increase of $5.0 million in manufacturing revenue. The increases in royalty revenue were due to increases in net sales of VUMERITY, which were $137.8 million and $402.6 million during the three and nine months ended September 30, 2022, respectively, as compared to $120.9 million and $285.0 million during the three and nine months ended September 30, 2021, respectively. The decrease in manufacturing revenue in the three months ended September 30, 2022, as compared to the three months ended September 30, 2021, was primarily due to the manufacture of fewer commercial batches. We continue to work to address a manufacturing issue related to VUMERITY, which, if it persists, will continue to negatively impact our manufacturing revenue and may negatively impact our royalty revenues. The increase in manufacturing revenue in the nine months ended September 30, 2022, as compared to the nine months ended September 30, 2021, was due to an increase in the number of packaged batches that were manufactured for Biogen.</w:t>
      </w:r>
    </w:p>
    <w:p>
      <w:pPr>
        <w:spacing w:after="0" w:line="125" w:lineRule="exact"/>
        <w:rPr>
          <w:sz w:val="20"/>
          <w:szCs w:val="20"/>
          <w:color w:val="auto"/>
        </w:rPr>
      </w:pPr>
    </w:p>
    <w:p>
      <w:pPr>
        <w:ind w:right="20" w:firstLine="374"/>
        <w:spacing w:after="0" w:line="243" w:lineRule="auto"/>
        <w:rPr>
          <w:sz w:val="20"/>
          <w:szCs w:val="20"/>
          <w:color w:val="auto"/>
        </w:rPr>
      </w:pPr>
      <w:r>
        <w:rPr>
          <w:rFonts w:ascii="Times New Roman" w:cs="Times New Roman" w:eastAsia="Times New Roman" w:hAnsi="Times New Roman"/>
          <w:sz w:val="18"/>
          <w:szCs w:val="18"/>
          <w:color w:val="auto"/>
        </w:rPr>
        <w:t>On October 13, 2022, an arbitration panel found that we must return to Acorda approximately $16.5 million (inclusive of prejudgment interest and administrative fees) previously paid by Acorda under a license agreement between the Company and Acorda. This amount represents royalty revenue paid by Acorda since July 2020 related to AMPYRA. We expect we may be required to repay to Acorda an additional $1.8 million in royalty revenue previously paid by Acorda. We paid the $16.5 million arbitration award amount in October 2022 and expect to pay the $1.8 million in the fourth quarter of 2022. In addition, during the three months ended June 30, 2022, we had recorded $3.2 million of royalty revenue related to AMPYRA as we believed that we had met the necessary revenue recognition criteria under ASC 606. However, as a result of the arbitration ruling, we reversed the $3.2 million as the panel found that we were no longer entitled to be paid those royalties. During the three and nine months ended September 30, 2022, we recorded both the $18.3 million in repayments and the $3.2 million reversal as reversals of royalty revenue within “Manufacturing and royalty revenue” in the accompanying condensed consolidated statements of operations and comprehensive loss. As a result of the panel’s ruling, we no longer have a contractual obligation to manufacture and supply AMPYRA or a contractual right to receive future manufacturing or royalty revenue for AMPYRA.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Manufactured and Sold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4"/>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4"/>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4"/>
                <w:szCs w:val="14"/>
                <w:color w:val="auto"/>
              </w:rPr>
            </w:pPr>
          </w:p>
        </w:tc>
        <w:tc>
          <w:tcPr>
            <w:tcW w:w="84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manufactured and sold</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143.7</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-25400</wp:posOffset>
            </wp:positionV>
            <wp:extent cx="774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-8255</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-25400</wp:posOffset>
            </wp:positionV>
            <wp:extent cx="768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-8255</wp:posOffset>
            </wp:positionV>
            <wp:extent cx="768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2" w:name="page33"/>
    <w:bookmarkEnd w:id="32"/>
    <w:p>
      <w:pPr>
        <w:ind w:right="60" w:firstLine="374"/>
        <w:spacing w:after="0" w:line="250" w:lineRule="auto"/>
        <w:rPr>
          <w:sz w:val="20"/>
          <w:szCs w:val="20"/>
          <w:color w:val="auto"/>
        </w:rPr>
      </w:pPr>
      <w:r>
        <w:rPr>
          <w:rFonts w:ascii="Times New Roman" w:cs="Times New Roman" w:eastAsia="Times New Roman" w:hAnsi="Times New Roman"/>
          <w:sz w:val="18"/>
          <w:szCs w:val="18"/>
          <w:color w:val="auto"/>
        </w:rPr>
        <w:t>The increase in cost of goods manufactured and sold in the nine months ended September 30, 2022, as compared to the nine months ended September 30, 2021, was primarily due to increases of $4.5 million and $3.2 million, respectively, in the cost of goods manufactured for VUMERITY and RISPERDAL CONSTA and increases of $5.3 million and $8.5 million, respectively, in the cost of goods sold for VIVITROL and LYBALVI. These increases were all related to an increase in the number of units manufactured and sold for each of these products, as discussed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ind w:right="40" w:firstLine="374"/>
        <w:spacing w:after="0" w:line="235" w:lineRule="auto"/>
        <w:rPr>
          <w:sz w:val="20"/>
          <w:szCs w:val="20"/>
          <w:color w:val="auto"/>
        </w:rPr>
      </w:pPr>
      <w:r>
        <w:rPr>
          <w:rFonts w:ascii="Times New Roman" w:cs="Times New Roman" w:eastAsia="Times New Roman" w:hAnsi="Times New Roman"/>
          <w:sz w:val="18"/>
          <w:szCs w:val="18"/>
          <w:color w:val="auto"/>
        </w:rPr>
        <w:t>For each of our R&amp;D programs, we incur both external and internal expenses. External R&amp;D expenses include fees for clinical and non-clinical activities performed by contract research organizations,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 individual program as they can benefit multiple programs or our technologies in general.</w:t>
      </w:r>
    </w:p>
    <w:p>
      <w:pPr>
        <w:spacing w:after="0" w:line="148" w:lineRule="exact"/>
        <w:rPr>
          <w:sz w:val="20"/>
          <w:szCs w:val="20"/>
          <w:color w:val="auto"/>
        </w:rPr>
      </w:pPr>
    </w:p>
    <w:p>
      <w:pPr>
        <w:ind w:right="440" w:firstLine="374"/>
        <w:spacing w:after="0" w:line="250" w:lineRule="auto"/>
        <w:rPr>
          <w:sz w:val="20"/>
          <w:szCs w:val="20"/>
          <w:color w:val="auto"/>
        </w:rPr>
      </w:pPr>
      <w:r>
        <w:rPr>
          <w:rFonts w:ascii="Times New Roman" w:cs="Times New Roman" w:eastAsia="Times New Roman" w:hAnsi="Times New Roman"/>
          <w:sz w:val="18"/>
          <w:szCs w:val="18"/>
          <w:color w:val="auto"/>
        </w:rPr>
        <w:t>The following table sets forth our external R&amp;D expenses for the three and nine months ended September 30, 2022 and 2021 relating to our then current development programs and our internal R&amp;D expenses, listed by the nature of such expenses: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8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R&amp;D expenses:</w:t>
            </w: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Development programs: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nemvaleukin</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21.6</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19.8</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58.2</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61.1</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6"/>
        </w:trPr>
        <w:tc>
          <w:tcPr>
            <w:tcW w:w="4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LYBALVI</w:t>
            </w:r>
          </w:p>
        </w:tc>
        <w:tc>
          <w:tcPr>
            <w:tcW w:w="2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ALKS 1140</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external R&amp;D expenses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external R&amp;D expenses</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0" w:type="dxa"/>
            <w:vAlign w:val="bottom"/>
          </w:tcPr>
          <w:p>
            <w:pPr>
              <w:spacing w:after="0"/>
              <w:rPr>
                <w:sz w:val="1"/>
                <w:szCs w:val="1"/>
                <w:color w:val="auto"/>
              </w:rPr>
            </w:pPr>
          </w:p>
        </w:tc>
      </w:tr>
      <w:tr>
        <w:trPr>
          <w:trHeight w:val="20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R&amp;D expenses: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Employee-related</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Occupancy</w:t>
            </w:r>
          </w:p>
        </w:tc>
        <w:tc>
          <w:tcPr>
            <w:tcW w:w="2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internal R&amp;D expenses</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9"/>
        </w:trPr>
        <w:tc>
          <w:tcPr>
            <w:tcW w:w="42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100.5</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118.4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289.3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308.2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-1010920</wp:posOffset>
            </wp:positionV>
            <wp:extent cx="77470" cy="145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-1010920</wp:posOffset>
            </wp:positionV>
            <wp:extent cx="77470" cy="145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-1010920</wp:posOffset>
            </wp:positionV>
            <wp:extent cx="68580" cy="145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-1010920</wp:posOffset>
            </wp:positionV>
            <wp:extent cx="68580" cy="145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-1010920</wp:posOffset>
            </wp:positionV>
            <wp:extent cx="68580" cy="145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-170815</wp:posOffset>
            </wp:positionV>
            <wp:extent cx="7747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-170815</wp:posOffset>
            </wp:positionV>
            <wp:extent cx="7747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-170815</wp:posOffset>
            </wp:positionV>
            <wp:extent cx="6858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8580"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-170815</wp:posOffset>
            </wp:positionV>
            <wp:extent cx="68580"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37" w:lineRule="exact"/>
        <w:rPr>
          <w:sz w:val="20"/>
          <w:szCs w:val="20"/>
          <w:color w:val="auto"/>
        </w:rPr>
      </w:pPr>
    </w:p>
    <w:p>
      <w:pPr>
        <w:ind w:firstLine="374"/>
        <w:spacing w:after="0" w:line="242" w:lineRule="auto"/>
        <w:rPr>
          <w:sz w:val="20"/>
          <w:szCs w:val="20"/>
          <w:color w:val="auto"/>
        </w:rPr>
      </w:pPr>
      <w:r>
        <w:rPr>
          <w:rFonts w:ascii="Times New Roman" w:cs="Times New Roman" w:eastAsia="Times New Roman" w:hAnsi="Times New Roman"/>
          <w:sz w:val="18"/>
          <w:szCs w:val="18"/>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future potential commercial viability, among other factors.</w:t>
      </w:r>
    </w:p>
    <w:p>
      <w:pPr>
        <w:spacing w:after="0" w:line="143" w:lineRule="exact"/>
        <w:rPr>
          <w:sz w:val="20"/>
          <w:szCs w:val="20"/>
          <w:color w:val="auto"/>
        </w:rPr>
      </w:pPr>
    </w:p>
    <w:p>
      <w:pPr>
        <w:ind w:firstLine="374"/>
        <w:spacing w:after="0" w:line="230" w:lineRule="auto"/>
        <w:rPr>
          <w:sz w:val="20"/>
          <w:szCs w:val="20"/>
          <w:color w:val="auto"/>
        </w:rPr>
      </w:pPr>
      <w:r>
        <w:rPr>
          <w:rFonts w:ascii="Times New Roman" w:cs="Times New Roman" w:eastAsia="Times New Roman" w:hAnsi="Times New Roman"/>
          <w:sz w:val="18"/>
          <w:szCs w:val="18"/>
          <w:color w:val="auto"/>
        </w:rPr>
        <w:t>The increase in expenses related to nemvaleukin in the three months ended September 30, 2022, as compared to the three months ended September 30, 2021 was primarily due to increased spend on the ARTISTRY-7 study, and the decrease in expenses related to nemvaleukin in the nine months ended September 30, 2022, as compared to the nine months ended September 30, 2021, was primarily due to decreased spend on the ARTISTRY-1 study. For details on the ARTISTRY development program, see the “Key Development Program” section of this “Part I, Item 2—Management’s Discussion and Analysis of Financial Condition and Results of Operations” in this Form 10-Q. The decreases in expenses related to LYBALVI in the three and nine months ended September 30, 2022, as compared to the three and nine months ended September 30, 2021, were primarily due to decreased R&amp;D activities for the product in light of its commercial launch in October 2021, partially offset by continued spend on ongoing clinical studies. The decreases in expenses related to ALKS 1140 in the three and nine months ended September 30, 2022, as compared to the three and nine months ended September 30, 2021, were primarily due to the termination of the ALKS 1140 clinical development program in the second quarter of 2022, as the initial data did not support further clinical development, and a $25.0 million development milestone in the third quarter of 2021 related to the submission of a clinical trial authorization for ALKS 1140. The increases in other external R&amp;D expenses in the three and nine months ended September 30, 2022, as compared to the three and nine months ended September 30, 2021, were primarily due to increases of $0.8 million and $8.2 million, respectively, related to our early-stage development programs.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3" w:name="page34"/>
    <w:bookmarkEnd w:id="33"/>
    <w:p>
      <w:pPr>
        <w:jc w:val="both"/>
        <w:ind w:right="160" w:firstLine="374"/>
        <w:spacing w:after="0" w:line="242" w:lineRule="auto"/>
        <w:rPr>
          <w:sz w:val="20"/>
          <w:szCs w:val="20"/>
          <w:color w:val="auto"/>
        </w:rPr>
      </w:pPr>
      <w:r>
        <w:rPr>
          <w:rFonts w:ascii="Times New Roman" w:cs="Times New Roman" w:eastAsia="Times New Roman" w:hAnsi="Times New Roman"/>
          <w:sz w:val="18"/>
          <w:szCs w:val="18"/>
          <w:color w:val="auto"/>
        </w:rPr>
        <w:t>The increases in employee-related expense in the three and nine months ended September 30, 2022, as compared to the three and nine months ended September 30, 2021, were primarily related to increases of $1.5 million and $5.5 million, respectively, in labor and benefits, primarily due to increases in recruitment costs and temporary labor.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7"/>
        </w:trPr>
        <w:tc>
          <w:tcPr>
            <w:tcW w:w="4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18"/>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4"/>
                <w:szCs w:val="24"/>
                <w:color w:val="auto"/>
              </w:rPr>
            </w:pPr>
          </w:p>
        </w:tc>
        <w:tc>
          <w:tcPr>
            <w:tcW w:w="8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24"/>
                <w:szCs w:val="24"/>
                <w:color w:val="auto"/>
              </w:rPr>
            </w:pPr>
          </w:p>
        </w:tc>
        <w:tc>
          <w:tcPr>
            <w:tcW w:w="8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12.6</w:t>
            </w:r>
          </w:p>
        </w:tc>
      </w:tr>
      <w:tr>
        <w:trPr>
          <w:trHeight w:val="249"/>
        </w:trPr>
        <w:tc>
          <w:tcPr>
            <w:tcW w:w="4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400.6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-25400</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-7620</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-25400</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140" w:firstLine="374"/>
        <w:spacing w:after="0" w:line="232" w:lineRule="auto"/>
        <w:rPr>
          <w:sz w:val="20"/>
          <w:szCs w:val="20"/>
          <w:color w:val="auto"/>
        </w:rPr>
      </w:pPr>
      <w:r>
        <w:rPr>
          <w:rFonts w:ascii="Times New Roman" w:cs="Times New Roman" w:eastAsia="Times New Roman" w:hAnsi="Times New Roman"/>
          <w:sz w:val="18"/>
          <w:szCs w:val="18"/>
          <w:color w:val="auto"/>
        </w:rPr>
        <w:t>The increases in selling and marketing expense in the three and nine months ended September 30, 2022, as compared to the three and nine months ended September 30, 2021, were primarily due to increases in marketing expenses of $4.6 million and $15.2 million, respectively, and increases in professional service fees of $0.3 million and $5.0 million, respectively, in each case primarily due to commercial launch activities for LYBALVI. In addition, employee-related expenses increased by $2.6 million and $12.7 million, respectively, primarily due to increases in selling-and-marketing-related salaries and benefits.</w:t>
      </w:r>
    </w:p>
    <w:p>
      <w:pPr>
        <w:spacing w:after="0" w:line="147" w:lineRule="exact"/>
        <w:rPr>
          <w:sz w:val="20"/>
          <w:szCs w:val="20"/>
          <w:color w:val="auto"/>
        </w:rPr>
      </w:pPr>
    </w:p>
    <w:p>
      <w:pPr>
        <w:ind w:right="40" w:firstLine="374"/>
        <w:spacing w:after="0" w:line="242" w:lineRule="auto"/>
        <w:rPr>
          <w:sz w:val="20"/>
          <w:szCs w:val="20"/>
          <w:color w:val="auto"/>
        </w:rPr>
      </w:pPr>
      <w:r>
        <w:rPr>
          <w:rFonts w:ascii="Times New Roman" w:cs="Times New Roman" w:eastAsia="Times New Roman" w:hAnsi="Times New Roman"/>
          <w:sz w:val="18"/>
          <w:szCs w:val="18"/>
          <w:color w:val="auto"/>
        </w:rPr>
        <w:t>The increases in general and administrative expense in the three and nine months ended September 30, 2022, as compared to the three and nine months ended September 30, 2021, were primarily due to increases in professional service fees of $1.6 million and $8.9 million, respectively, and increases in employee-related expenses of $4.8 million and $1.8 million,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(8.8 )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(0.7 )</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(0.4 )</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(7.9 )</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-24765</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firstLine="374"/>
        <w:spacing w:after="0" w:line="245" w:lineRule="auto"/>
        <w:rPr>
          <w:sz w:val="20"/>
          <w:szCs w:val="20"/>
          <w:color w:val="auto"/>
        </w:rPr>
      </w:pPr>
      <w:r>
        <w:rPr>
          <w:rFonts w:ascii="Times New Roman" w:cs="Times New Roman" w:eastAsia="Times New Roman" w:hAnsi="Times New Roman"/>
          <w:sz w:val="18"/>
          <w:szCs w:val="18"/>
          <w:color w:val="auto"/>
        </w:rPr>
        <w:t xml:space="preserve">The decrease in total other expense, net in the three months ended September 30, 2022, as compared to the three months ended September 30, 2021, was primarily due to an increase in interest income and the change in the fair value of the contingent consideration, partially offset by an increase in interest expense and an increase in other (expense) income, net. The increases in interest income and interest expense were primarily due to increases in interest rates. Interest income consists primarily of interest earned on our available-for-sale investments. Interest expense consists primarily of interest incurred on our 2026 Term Loans. The increase in other (expense) income, net, was primarily due to the determination that certain construction in progress related to the approved Meloxicam Product had no future value, as discussed in Note 7,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in the “Notes to Condensed Consolidated Financial Statements” in this Form 10-Q.</w:t>
      </w:r>
    </w:p>
    <w:p>
      <w:pPr>
        <w:spacing w:after="0" w:line="181" w:lineRule="exact"/>
        <w:rPr>
          <w:sz w:val="20"/>
          <w:szCs w:val="20"/>
          <w:color w:val="auto"/>
        </w:rPr>
      </w:pPr>
    </w:p>
    <w:p>
      <w:pPr>
        <w:ind w:right="200" w:firstLine="419"/>
        <w:spacing w:after="0" w:line="241" w:lineRule="auto"/>
        <w:rPr>
          <w:sz w:val="20"/>
          <w:szCs w:val="20"/>
          <w:color w:val="auto"/>
        </w:rPr>
      </w:pPr>
      <w:r>
        <w:rPr>
          <w:rFonts w:ascii="Times New Roman" w:cs="Times New Roman" w:eastAsia="Times New Roman" w:hAnsi="Times New Roman"/>
          <w:sz w:val="18"/>
          <w:szCs w:val="18"/>
          <w:color w:val="auto"/>
        </w:rPr>
        <w:t xml:space="preserve">The increase in total other expense, net in the nine months ended September 30, 2022, as compared to the nine months ended September 30, 2021, was primarily due to the change in the fair value of contingent consideration, partially offset by increases in interest income and other (expense) income, net and a decrease in interest expense. The increase in interest income was primarily due to an increase in the interest rates, as previously discussed. The decrease in interest expense was primarily due to a decrease in certain financing costs related to the Term Loan Refinancing completed in March 2021, partially offset by an increase in interest rates. The Term Loan Refinancing is discussed in Note 11,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the “Notes to Condensed Consolidated Financial Statements” in this Form 10-Q. The increase in other (expense) income, net was primarily due to proceeds received in connection with the Fountain transaction in March 2022, partially offset by the write down of certain construction in progress described above. The Fountain transaction is discussed in Note 4,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in the “Notes to Condensed Consolidated Financial Statements” in this Form 10-Q.</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4" w:name="page35"/>
    <w:bookmarkEnd w:id="34"/>
    <w:p>
      <w:pPr>
        <w:ind w:right="60" w:firstLine="374"/>
        <w:spacing w:after="0" w:line="250" w:lineRule="auto"/>
        <w:rPr>
          <w:sz w:val="20"/>
          <w:szCs w:val="20"/>
          <w:color w:val="auto"/>
        </w:rPr>
      </w:pPr>
      <w:r>
        <w:rPr>
          <w:rFonts w:ascii="Times New Roman" w:cs="Times New Roman" w:eastAsia="Times New Roman" w:hAnsi="Times New Roman"/>
          <w:sz w:val="18"/>
          <w:szCs w:val="18"/>
          <w:color w:val="auto"/>
        </w:rPr>
        <w:t xml:space="preserve">The changes in the fair value of the contingent consideration in the three and nine months ended September 30, 2022, as compared to the three and nine months ended September 30, 2021, were due to the determination that it was unlikely that we would collect any further contingent consideration proceeds from Baudax, and accordingly, we reduced the fair value of the contingent consideration to zero, as discussed in Note 5,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in the “Notes to Condensed Consolidated Financial Statements” in this Form 10-Q.</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Provision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60" w:type="dxa"/>
            <w:vAlign w:val="bottom"/>
          </w:tcPr>
          <w:p>
            <w:pPr>
              <w:spacing w:after="0"/>
              <w:rPr>
                <w:sz w:val="15"/>
                <w:szCs w:val="15"/>
                <w:color w:val="auto"/>
              </w:rPr>
            </w:pPr>
          </w:p>
        </w:tc>
        <w:tc>
          <w:tcPr>
            <w:tcW w:w="1860" w:type="dxa"/>
            <w:vAlign w:val="bottom"/>
            <w:gridSpan w:val="4"/>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3"/>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600" w:type="dxa"/>
            <w:vAlign w:val="bottom"/>
            <w:tcBorders>
              <w:top w:val="single" w:sz="8" w:color="auto"/>
              <w:bottom w:val="single" w:sz="8" w:color="auto"/>
            </w:tcBorders>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7"/>
              </w:rPr>
              <w:t>(3.4 )</w:t>
            </w:r>
          </w:p>
        </w:tc>
        <w:tc>
          <w:tcPr>
            <w:tcW w:w="1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-25400</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-25400</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firstLine="374"/>
        <w:spacing w:after="0" w:line="227" w:lineRule="auto"/>
        <w:rPr>
          <w:sz w:val="20"/>
          <w:szCs w:val="20"/>
          <w:color w:val="auto"/>
        </w:rPr>
      </w:pPr>
      <w:r>
        <w:rPr>
          <w:rFonts w:ascii="Times New Roman" w:cs="Times New Roman" w:eastAsia="Times New Roman" w:hAnsi="Times New Roman"/>
          <w:sz w:val="18"/>
          <w:szCs w:val="18"/>
          <w:color w:val="auto"/>
        </w:rPr>
        <w:t xml:space="preserve">The income tax (benefit) provision in the three months ended September 30, 2022 and 2021, respectively, primarily related to U.S. federal and state taxes. The favorable change in the income tax (benefit) provision was primarily due to an enhanced FDII deduction as a result of a change to Section 174 of the TCJA in relation to capitalization and amortization of R&amp;D expenses. The income tax (benefit) in the nine months ended September 30, 2022 was primarily due to the enhanced FDII deduction. The FDII deduction is discussed in Note 14,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the “Notes to Condensed Consolidated Financial Statements” in this Form 10-Q. The income tax provision in the nine months ended September 30, 2021 primarily related to a $6.8 million discrete tax expense related to employee equity activity.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69"/>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8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220" w:type="dxa"/>
            <w:vAlign w:val="bottom"/>
          </w:tcPr>
          <w:p>
            <w:pPr>
              <w:spacing w:after="0"/>
              <w:rPr>
                <w:sz w:val="14"/>
                <w:szCs w:val="14"/>
                <w:color w:val="auto"/>
              </w:rPr>
            </w:pPr>
          </w:p>
        </w:tc>
        <w:tc>
          <w:tcPr>
            <w:tcW w:w="8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Ireland</w:t>
            </w:r>
          </w:p>
        </w:tc>
        <w:tc>
          <w:tcPr>
            <w:tcW w:w="220" w:type="dxa"/>
            <w:vAlign w:val="bottom"/>
          </w:tcPr>
          <w:p>
            <w:pPr>
              <w:spacing w:after="0"/>
              <w:rPr>
                <w:sz w:val="14"/>
                <w:szCs w:val="14"/>
                <w:color w:val="auto"/>
              </w:rPr>
            </w:pPr>
          </w:p>
        </w:tc>
        <w:tc>
          <w:tcPr>
            <w:tcW w:w="8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337.5</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Investments—short-term</w:t>
            </w:r>
          </w:p>
        </w:tc>
        <w:tc>
          <w:tcPr>
            <w:tcW w:w="22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181.6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198.8</w:t>
            </w:r>
          </w:p>
        </w:tc>
      </w:tr>
      <w:tr>
        <w:trPr>
          <w:trHeight w:val="216"/>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Investments—long-term</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163.0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229.4</w:t>
            </w:r>
          </w:p>
        </w:tc>
      </w:tr>
      <w:tr>
        <w:trPr>
          <w:trHeight w:val="20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427.8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319.3</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747.1</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765.7</w:t>
            </w: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2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borrowings—short and long-term</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293.9</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293.9</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295.8</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295.8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-334010</wp:posOffset>
            </wp:positionV>
            <wp:extent cx="76835" cy="1714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-334010</wp:posOffset>
            </wp:positionV>
            <wp:extent cx="77470"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-334010</wp:posOffset>
            </wp:positionV>
            <wp:extent cx="68580" cy="1714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-334010</wp:posOffset>
            </wp:positionV>
            <wp:extent cx="68580" cy="1714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-334010</wp:posOffset>
            </wp:positionV>
            <wp:extent cx="68580" cy="1714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-25400</wp:posOffset>
            </wp:positionV>
            <wp:extent cx="768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768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-25400</wp:posOffset>
            </wp:positionV>
            <wp:extent cx="774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774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 September 30, 2022 our investments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7"/>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69"/>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4"/>
                <w:szCs w:val="14"/>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Investments—short-term available-for-sale</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320.7</w:t>
            </w: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316.2</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Investments—long-term available-for-sale</w:t>
            </w:r>
          </w:p>
        </w:tc>
        <w:tc>
          <w:tcPr>
            <w:tcW w:w="200" w:type="dxa"/>
            <w:vAlign w:val="bottom"/>
          </w:tcPr>
          <w:p>
            <w:pPr>
              <w:spacing w:after="0"/>
              <w:rPr>
                <w:sz w:val="18"/>
                <w:szCs w:val="18"/>
                <w:color w:val="auto"/>
              </w:rPr>
            </w:pP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165.2</w:t>
            </w:r>
          </w:p>
        </w:tc>
      </w:tr>
      <w:tr>
        <w:trPr>
          <w:trHeight w:val="216"/>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Investments—long-term held-to-maturity</w:t>
            </w: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494.7</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483.2</w:t>
            </w:r>
          </w:p>
        </w:tc>
      </w:tr>
      <w:tr>
        <w:trPr>
          <w:trHeight w:val="20"/>
        </w:trPr>
        <w:tc>
          <w:tcPr>
            <w:tcW w:w="4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-170815</wp:posOffset>
            </wp:positionV>
            <wp:extent cx="76835"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-170815</wp:posOffset>
            </wp:positionV>
            <wp:extent cx="68580" cy="171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-170815</wp:posOffset>
            </wp:positionV>
            <wp:extent cx="68580" cy="1714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8580" cy="1714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14" w:lineRule="exact"/>
        <w:rPr>
          <w:sz w:val="20"/>
          <w:szCs w:val="20"/>
          <w:color w:val="auto"/>
        </w:rPr>
      </w:pPr>
    </w:p>
    <w:p>
      <w:pPr>
        <w:ind w:right="80" w:firstLine="374"/>
        <w:spacing w:after="0" w:line="211" w:lineRule="exact"/>
        <w:rPr>
          <w:sz w:val="20"/>
          <w:szCs w:val="20"/>
          <w:color w:val="auto"/>
        </w:rPr>
      </w:pPr>
      <w:r>
        <w:rPr>
          <w:rFonts w:ascii="Times New Roman" w:cs="Times New Roman" w:eastAsia="Times New Roman" w:hAnsi="Times New Roman"/>
          <w:sz w:val="18"/>
          <w:szCs w:val="18"/>
          <w:color w:val="auto"/>
        </w:rPr>
        <w:t>We generated $20 million and $70.7 million of cash from operating activities during the nine months ended September 30, 2022 and 2021, respectively. We expect that our existing cash, cash equivalents and investments will be sufficient to finance our anticipated working capital and other cash requirements, such as capital expenditures and principal and interest payments on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for at least the twelve months following the date from which our financial statements were issued. Subject to market conditions, interest rates and other factors, we may pursue opportunities to obtain additional financing in the future, including debt and equity offerings, corporate collaborations, bank borrowings, arrangements relating to assets or other financing methods or structures. In addition, the 2026 Term Loans have an incremental facility capacity in an amount of $175.0 million, plus additional potential amounts, provided that we meet certain conditions, including a specified leverage ratio.</w:t>
      </w:r>
    </w:p>
    <w:p>
      <w:pPr>
        <w:spacing w:after="0" w:line="174" w:lineRule="exact"/>
        <w:rPr>
          <w:sz w:val="20"/>
          <w:szCs w:val="20"/>
          <w:color w:val="auto"/>
        </w:rPr>
      </w:pPr>
    </w:p>
    <w:p>
      <w:pPr>
        <w:ind w:right="160" w:firstLine="374"/>
        <w:spacing w:after="0" w:line="254" w:lineRule="auto"/>
        <w:rPr>
          <w:sz w:val="20"/>
          <w:szCs w:val="20"/>
          <w:color w:val="auto"/>
        </w:rPr>
      </w:pPr>
      <w:r>
        <w:rPr>
          <w:rFonts w:ascii="Times New Roman" w:cs="Times New Roman" w:eastAsia="Times New Roman" w:hAnsi="Times New Roman"/>
          <w:sz w:val="18"/>
          <w:szCs w:val="18"/>
          <w:color w:val="auto"/>
        </w:rPr>
        <w:t>Our investment objectives are, first, to preserve liquidity and conserve capital and, second, to generate investment income. We mitigate credit risk in our cash reserves by maintaining a well-diversified portfolio that limits the amount of</w:t>
      </w: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 w:name="page36"/>
    <w:bookmarkEnd w:id="35"/>
    <w:p>
      <w:pPr>
        <w:ind w:right="40"/>
        <w:spacing w:after="0" w:line="250" w:lineRule="auto"/>
        <w:rPr>
          <w:sz w:val="20"/>
          <w:szCs w:val="20"/>
          <w:color w:val="auto"/>
        </w:rPr>
      </w:pPr>
      <w:r>
        <w:rPr>
          <w:rFonts w:ascii="Times New Roman" w:cs="Times New Roman" w:eastAsia="Times New Roman" w:hAnsi="Times New Roman"/>
          <w:sz w:val="18"/>
          <w:szCs w:val="18"/>
          <w:color w:val="auto"/>
        </w:rPr>
        <w:t>investment exposure as to institution, maturity and investment type. However, the value of these securities may be adversely affected by the instability of the global financial markets, which could, in turn, adversely impact our financial position and our overall liquidity. Our available-for-sale investments consist primarily of short and long-term U.S. government and agency debt securities, corporate debt securities and debt securities issued and backed by non-U.S. governments. Our held-to-maturity investments consist of investments that are held as collateral under certain letters of credit related to certain of our lease agreements.</w:t>
      </w:r>
    </w:p>
    <w:p>
      <w:pPr>
        <w:spacing w:after="0" w:line="135" w:lineRule="exact"/>
        <w:rPr>
          <w:sz w:val="20"/>
          <w:szCs w:val="20"/>
          <w:color w:val="auto"/>
        </w:rPr>
      </w:pPr>
    </w:p>
    <w:p>
      <w:pPr>
        <w:ind w:firstLine="374"/>
        <w:spacing w:after="0" w:line="217" w:lineRule="exact"/>
        <w:rPr>
          <w:sz w:val="20"/>
          <w:szCs w:val="20"/>
          <w:color w:val="auto"/>
        </w:rPr>
      </w:pPr>
      <w:r>
        <w:rPr>
          <w:rFonts w:ascii="Times New Roman" w:cs="Times New Roman" w:eastAsia="Times New Roman" w:hAnsi="Times New Roman"/>
          <w:sz w:val="18"/>
          <w:szCs w:val="18"/>
          <w:color w:val="auto"/>
        </w:rPr>
        <w:t>We classify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in an unrealized loss position that do not mature within twelve months as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We have the intent and ability to hold these investments until recovery, which may be at maturity, and it is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that we would not be required to sell these securities before recovery of their amortized cost. At September 30, 2022, we performed an analysis of our investments with unrealized losses for impairment and determined that the loss on one of our corporate debt securities was other-than-temporary and, during the nine months ended September 30, 2022, recorded a $0.5 million impairment charge within “Other (expense) income, net” in the accompanying condensed consolidated statements of operations and comprehensive loss.</w:t>
      </w:r>
    </w:p>
    <w:p>
      <w:pPr>
        <w:spacing w:after="0" w:line="174" w:lineRule="exact"/>
        <w:rPr>
          <w:sz w:val="20"/>
          <w:szCs w:val="20"/>
          <w:color w:val="auto"/>
        </w:rPr>
      </w:pPr>
    </w:p>
    <w:p>
      <w:pPr>
        <w:ind w:right="640" w:firstLine="374"/>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are reasonably likely to have a material effect on our financial condition, changes in financial condition, revenues or expenses, results of operations, liquidity, capital expenditures, or capital resources in the next twelve months.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2022 and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337.5</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273.0</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60" w:type="dxa"/>
            <w:vAlign w:val="bottom"/>
          </w:tcPr>
          <w:p>
            <w:pPr>
              <w:spacing w:after="0"/>
              <w:rPr>
                <w:sz w:val="18"/>
                <w:szCs w:val="18"/>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flows (used in) provided by financing activities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32.2</w:t>
            </w: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264.0</w:t>
            </w: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64" w:lineRule="exact"/>
        <w:rPr>
          <w:sz w:val="20"/>
          <w:szCs w:val="20"/>
          <w:color w:val="auto"/>
        </w:rPr>
      </w:pPr>
    </w:p>
    <w:p>
      <w:pPr>
        <w:ind w:right="300" w:firstLine="374"/>
        <w:spacing w:after="0" w:line="250" w:lineRule="auto"/>
        <w:rPr>
          <w:sz w:val="20"/>
          <w:szCs w:val="20"/>
          <w:color w:val="auto"/>
        </w:rPr>
      </w:pPr>
      <w:r>
        <w:rPr>
          <w:rFonts w:ascii="Times New Roman" w:cs="Times New Roman" w:eastAsia="Times New Roman" w:hAnsi="Times New Roman"/>
          <w:sz w:val="18"/>
          <w:szCs w:val="18"/>
          <w:color w:val="auto"/>
        </w:rPr>
        <w:t>Cash flows from operating activities represent the cash receipts and disbursements related to all of our activities other than investing and financing activities. Operating cash flow is derived by adjusting our net loss for non-cash operating items such as depreciation, amortization and share-based compensation and changes in operating assets and liabilities, which reflect timing differences between the receipt and payment of cash associated with transactions and when they are recognized in our results of operations.</w:t>
      </w:r>
    </w:p>
    <w:p>
      <w:pPr>
        <w:spacing w:after="0" w:line="177" w:lineRule="exact"/>
        <w:rPr>
          <w:sz w:val="20"/>
          <w:szCs w:val="20"/>
          <w:color w:val="auto"/>
        </w:rPr>
      </w:pPr>
    </w:p>
    <w:p>
      <w:pPr>
        <w:ind w:right="80" w:firstLine="374"/>
        <w:spacing w:after="0" w:line="250" w:lineRule="auto"/>
        <w:rPr>
          <w:sz w:val="20"/>
          <w:szCs w:val="20"/>
          <w:color w:val="auto"/>
        </w:rPr>
      </w:pPr>
      <w:r>
        <w:rPr>
          <w:rFonts w:ascii="Times New Roman" w:cs="Times New Roman" w:eastAsia="Times New Roman" w:hAnsi="Times New Roman"/>
          <w:sz w:val="18"/>
          <w:szCs w:val="18"/>
          <w:color w:val="auto"/>
        </w:rPr>
        <w:t>The decrease in cash flows provided by operating activities was primarily due to an increase in our net loss, net of adjustments to reconcile net loss to cash flows from operating activities, partially offset by an increase in cash provided by working capital. The increase in cash from working capital was primarily related to an increase in cash flows from accounts receivable and decreases in cash flows used in inventory and accounts payable and accrued expenses, partially offset by increases in cash flows used for contract assets, inventory. prepaid expenses and other current assets and contract liabilities.</w:t>
      </w:r>
    </w:p>
    <w:p>
      <w:pPr>
        <w:spacing w:after="0" w:line="164"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increase in cash flows used in investing activities was primarily due to a $12.5 million increase in net purchase of investments, a $6.6 million decrease in payments to be received in connection with the contingent consideration resulting from the Gainesville Transaction and an $8.9 million increase in capital expenditures.</w:t>
      </w:r>
    </w:p>
    <w:p>
      <w:pPr>
        <w:spacing w:after="0" w:line="169" w:lineRule="exact"/>
        <w:rPr>
          <w:sz w:val="20"/>
          <w:szCs w:val="20"/>
          <w:color w:val="auto"/>
        </w:rPr>
      </w:pPr>
    </w:p>
    <w:p>
      <w:pPr>
        <w:ind w:right="60" w:firstLine="374"/>
        <w:spacing w:after="0" w:line="250" w:lineRule="auto"/>
        <w:rPr>
          <w:sz w:val="20"/>
          <w:szCs w:val="20"/>
          <w:color w:val="auto"/>
        </w:rPr>
      </w:pPr>
      <w:r>
        <w:rPr>
          <w:rFonts w:ascii="Times New Roman" w:cs="Times New Roman" w:eastAsia="Times New Roman" w:hAnsi="Times New Roman"/>
          <w:sz w:val="18"/>
          <w:szCs w:val="18"/>
          <w:color w:val="auto"/>
        </w:rPr>
        <w:t>The change in cash flows from financing activities was primarily due to $23.6 million in proceeds from the Term Loan Refinancing, which we received in the nine months ended September 30, 2021, and a $10.2 million decrease in the amount of cash that we received upon the exercise of employee stock options, net of employee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14" w:lineRule="exact"/>
        <w:rPr>
          <w:sz w:val="20"/>
          <w:szCs w:val="20"/>
          <w:color w:val="auto"/>
        </w:rPr>
      </w:pPr>
    </w:p>
    <w:p>
      <w:pPr>
        <w:ind w:right="300" w:firstLine="374"/>
        <w:spacing w:after="0" w:line="260" w:lineRule="auto"/>
        <w:rPr>
          <w:sz w:val="20"/>
          <w:szCs w:val="20"/>
          <w:color w:val="auto"/>
        </w:rPr>
      </w:pPr>
      <w:r>
        <w:rPr>
          <w:rFonts w:ascii="Times New Roman" w:cs="Times New Roman" w:eastAsia="Times New Roman" w:hAnsi="Times New Roman"/>
          <w:sz w:val="17"/>
          <w:szCs w:val="17"/>
          <w:color w:val="auto"/>
        </w:rPr>
        <w:t xml:space="preserve">At September 30, 2022, the principal balance of our borrowings consisted of $295.5 million outstanding under our 2026 Term Loans. See Note 11,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in the “Notes to Condensed Consolidated Financial Statements” in this Form 10-Q for further discussion of our 2026 Term Loans.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Critical Accounting Estimates</w:t>
      </w:r>
    </w:p>
    <w:p>
      <w:pPr>
        <w:spacing w:after="0" w:line="200" w:lineRule="exact"/>
        <w:rPr>
          <w:sz w:val="20"/>
          <w:szCs w:val="20"/>
          <w:color w:val="auto"/>
        </w:rPr>
      </w:pPr>
    </w:p>
    <w:p>
      <w:pPr>
        <w:ind w:right="80" w:firstLine="374"/>
        <w:spacing w:after="0" w:line="247"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conditions or using different assumptions. See the “Critical Accounting Estimates” section in “Part II, Item 7—Management’s Discussion and Analysis of Financial Condition and Results of Operations” in our Annual Report for a discussion of our critical accounting estimates.</w:t>
      </w:r>
    </w:p>
    <w:p>
      <w:pPr>
        <w:spacing w:after="0" w:line="166" w:lineRule="exact"/>
        <w:rPr>
          <w:sz w:val="20"/>
          <w:szCs w:val="20"/>
          <w:color w:val="auto"/>
        </w:rPr>
      </w:pPr>
    </w:p>
    <w:p>
      <w:pPr>
        <w:ind w:right="20" w:firstLine="374"/>
        <w:spacing w:after="0" w:line="250" w:lineRule="auto"/>
        <w:rPr>
          <w:sz w:val="20"/>
          <w:szCs w:val="20"/>
          <w:color w:val="auto"/>
        </w:rPr>
      </w:pPr>
      <w:r>
        <w:rPr>
          <w:rFonts w:ascii="Times New Roman" w:cs="Times New Roman" w:eastAsia="Times New Roman" w:hAnsi="Times New Roman"/>
          <w:sz w:val="18"/>
          <w:szCs w:val="18"/>
          <w:color w:val="auto"/>
        </w:rPr>
        <w:t xml:space="preserve">In relation to our contingent consideration, in light of Baudax’s disclosures regarding its ability to continue as a going concern, in September 2022 we determined it was unlikely that we would receive any further contingent consideration proceeds from Baudax and, accordingly, we wrote the remaining $3.6 million contingent consideration balance down to zero. For further information regarding the calculation of the fair value of this contingent consideration, refer to Note 5,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in the “Notes to Condensed Consolidated Financial Statements” in this Form 10-Q.</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Standards</w:t>
      </w:r>
    </w:p>
    <w:p>
      <w:pPr>
        <w:spacing w:after="0" w:line="212" w:lineRule="exact"/>
        <w:rPr>
          <w:sz w:val="20"/>
          <w:szCs w:val="20"/>
          <w:color w:val="auto"/>
        </w:rPr>
      </w:pPr>
    </w:p>
    <w:p>
      <w:pPr>
        <w:ind w:right="60" w:firstLine="374"/>
        <w:spacing w:after="0" w:line="268" w:lineRule="auto"/>
        <w:rPr>
          <w:sz w:val="20"/>
          <w:szCs w:val="20"/>
          <w:color w:val="auto"/>
        </w:rPr>
      </w:pPr>
      <w:r>
        <w:rPr>
          <w:rFonts w:ascii="Times New Roman" w:cs="Times New Roman" w:eastAsia="Times New Roman" w:hAnsi="Times New Roman"/>
          <w:sz w:val="18"/>
          <w:szCs w:val="18"/>
          <w:color w:val="auto"/>
        </w:rPr>
        <w:t xml:space="preserve">See the “New Accounting Pronouncements” section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Condensed Consolidated Financial Statements” in this Form 10-Q for discussion of certain recent accounting standards applicable to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ind w:right="140" w:firstLine="374"/>
        <w:spacing w:after="0" w:line="247" w:lineRule="auto"/>
        <w:rPr>
          <w:sz w:val="20"/>
          <w:szCs w:val="20"/>
          <w:color w:val="auto"/>
        </w:rPr>
      </w:pPr>
      <w:r>
        <w:rPr>
          <w:rFonts w:ascii="Times New Roman" w:cs="Times New Roman" w:eastAsia="Times New Roman" w:hAnsi="Times New Roman"/>
          <w:sz w:val="18"/>
          <w:szCs w:val="18"/>
          <w:color w:val="auto"/>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2021, and we do not anticipate any near-term changes in the nature of our market risk exposures or in our management’s objectives and strategies with respect to managing such exposures.</w:t>
      </w:r>
    </w:p>
    <w:p>
      <w:pPr>
        <w:spacing w:after="0" w:line="139" w:lineRule="exact"/>
        <w:rPr>
          <w:sz w:val="20"/>
          <w:szCs w:val="20"/>
          <w:color w:val="auto"/>
        </w:rPr>
      </w:pPr>
    </w:p>
    <w:p>
      <w:pPr>
        <w:ind w:firstLine="374"/>
        <w:spacing w:after="0" w:line="270" w:lineRule="auto"/>
        <w:rPr>
          <w:sz w:val="20"/>
          <w:szCs w:val="20"/>
          <w:color w:val="auto"/>
        </w:rPr>
      </w:pPr>
      <w:r>
        <w:rPr>
          <w:rFonts w:ascii="Times New Roman" w:cs="Times New Roman" w:eastAsia="Times New Roman" w:hAnsi="Times New Roman"/>
          <w:sz w:val="17"/>
          <w:szCs w:val="17"/>
          <w:color w:val="auto"/>
        </w:rPr>
        <w:t>We are exposed to non-U.S. currency exchange risk related to manufacturing and royalty revenues that we receive on certain of our products, partially offset by certain operating costs arising from expenses and payables in connection with our Irish operations that are settled predominantly in Euro. These non-U.S. currency exchange rate risks are summarized in “Part II, Item 7A—Quantitative and Qualitative Disclosures About Market Risk” in our Annual Report. There has been no material change in our assessment of our sensitivity to non-U.S. currency exchange rate risk since December 31, 2021.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173" w:lineRule="exact"/>
        <w:rPr>
          <w:sz w:val="20"/>
          <w:szCs w:val="20"/>
          <w:color w:val="auto"/>
        </w:rPr>
      </w:pPr>
    </w:p>
    <w:p>
      <w:pPr>
        <w:ind w:right="120" w:firstLine="374"/>
        <w:spacing w:after="0" w:line="24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the design and operation of our disclosure controls and procedures (as defined in Rule 13a-15(e) under the Exchange Act) as of September 30, 2022. Based on that evaluation, our Chief Executive Officer and Chief Financial Officer each concluded that our disclosure controls and procedures were effective as of September 30, 2022 to provide reasonable assurance that the information required to be disclosed by us in the reports that we file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8"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b) Change in Internal Control Over Financial Reporting</w:t>
      </w:r>
    </w:p>
    <w:p>
      <w:pPr>
        <w:spacing w:after="0" w:line="173"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During the period covered by this report, there have been no changes in our internal control over financial reporting that have materially affected, or are reasonably likely to materially affect, our internal control over financial reporting.</w:t>
      </w:r>
    </w:p>
    <w:p>
      <w:pPr>
        <w:jc w:val="center"/>
        <w:ind w:right="-1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1" w:right="5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87" w:lineRule="exact"/>
        <w:rPr>
          <w:sz w:val="20"/>
          <w:szCs w:val="20"/>
          <w:color w:val="auto"/>
        </w:rPr>
      </w:pPr>
    </w:p>
    <w:p>
      <w:pPr>
        <w:ind w:right="520" w:firstLine="374"/>
        <w:spacing w:after="0" w:line="268" w:lineRule="auto"/>
        <w:rPr>
          <w:sz w:val="20"/>
          <w:szCs w:val="20"/>
          <w:color w:val="auto"/>
        </w:rPr>
      </w:pPr>
      <w:r>
        <w:rPr>
          <w:rFonts w:ascii="Times New Roman" w:cs="Times New Roman" w:eastAsia="Times New Roman" w:hAnsi="Times New Roman"/>
          <w:sz w:val="18"/>
          <w:szCs w:val="18"/>
          <w:color w:val="auto"/>
        </w:rPr>
        <w:t xml:space="preserve">For information regarding legal proceedings, see the discussion of legal proceedings in Note 15,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Condensed Consolidated Financial Statements” in this Form 10-Q, which discussion is incorporated into this Part II, Item 1 by reference.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Potential Separation of Our Oncology Business</w:t>
      </w:r>
    </w:p>
    <w:p>
      <w:pPr>
        <w:spacing w:after="0" w:line="18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potential separation of our commercial-stage neuroscience and development-stage oncology businesses, including through a potential separation of our oncology business into an independent, publicly traded company, is subject to various risks and uncertainties and may not be completed on the timeline currently contemplated or at all, and will involve significant time, effort and expense, which could disrupt or adversely affect our business and our financial condition, results of operations and cash flows.</w:t>
      </w:r>
    </w:p>
    <w:p>
      <w:pPr>
        <w:spacing w:after="0" w:line="134"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On November 2, 2022, we announced our intent, as approved by our board of directors, to explore a separation of our commercial-stage neuroscience business and development-stage oncology business. We plan to explore a separation of the oncology business into an independent, publicly-traded company (“Oncology Co.”) as part of an ongoing review of strategic alternatives.</w:t>
      </w:r>
    </w:p>
    <w:p>
      <w:pPr>
        <w:spacing w:after="0" w:line="142" w:lineRule="exact"/>
        <w:rPr>
          <w:sz w:val="20"/>
          <w:szCs w:val="20"/>
          <w:color w:val="auto"/>
        </w:rPr>
      </w:pPr>
    </w:p>
    <w:p>
      <w:pPr>
        <w:ind w:right="280" w:firstLine="419"/>
        <w:spacing w:after="0" w:line="266" w:lineRule="auto"/>
        <w:rPr>
          <w:sz w:val="20"/>
          <w:szCs w:val="20"/>
          <w:color w:val="auto"/>
        </w:rPr>
      </w:pPr>
      <w:r>
        <w:rPr>
          <w:rFonts w:ascii="Times New Roman" w:cs="Times New Roman" w:eastAsia="Times New Roman" w:hAnsi="Times New Roman"/>
          <w:sz w:val="18"/>
          <w:szCs w:val="18"/>
          <w:color w:val="auto"/>
        </w:rPr>
        <w:t>Our business may face significant risks and uncertainties as a result of the announcement, exploration and/or execution of the potential separation, including, without limitation:</w:t>
      </w:r>
    </w:p>
    <w:p>
      <w:pPr>
        <w:spacing w:after="0" w:line="54" w:lineRule="exact"/>
        <w:rPr>
          <w:sz w:val="20"/>
          <w:szCs w:val="20"/>
          <w:color w:val="auto"/>
        </w:rPr>
      </w:pPr>
    </w:p>
    <w:p>
      <w:pPr>
        <w:ind w:left="1020" w:right="140" w:hanging="503"/>
        <w:spacing w:after="0" w:line="25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operating our neuroscience and oncology businesses and the overall disruption of, and impact on, our businesses;</w:t>
      </w:r>
    </w:p>
    <w:p>
      <w:pPr>
        <w:ind w:left="1020" w:hanging="503"/>
        <w:spacing w:after="0" w:line="23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difficulty in maintaining employee morale and retaining and/or recruiting key management and other employees;</w:t>
      </w:r>
    </w:p>
    <w:p>
      <w:pPr>
        <w:ind w:left="1020" w:right="40" w:hanging="503"/>
        <w:spacing w:after="0" w:line="24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difficulty in separating our oncology business from our neuroscience business, including allocation of operations, services, products and personnel;</w:t>
      </w:r>
    </w:p>
    <w:p>
      <w:pPr>
        <w:spacing w:after="0" w:line="1" w:lineRule="exact"/>
        <w:rPr>
          <w:rFonts w:ascii="Times New Roman" w:cs="Times New Roman" w:eastAsia="Times New Roman" w:hAnsi="Times New Roman"/>
          <w:sz w:val="18"/>
          <w:szCs w:val="18"/>
          <w:color w:val="auto"/>
        </w:rPr>
      </w:pPr>
    </w:p>
    <w:p>
      <w:pPr>
        <w:ind w:left="1020" w:right="20" w:hanging="503"/>
        <w:spacing w:after="0" w:line="23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and/or delays in obtaining regulatory approvals related to the potential separation of the businesses, including any approvals needed to effect the separation and/or those related to ongoing clinical trials of our oncology products;</w:t>
      </w:r>
    </w:p>
    <w:p>
      <w:pPr>
        <w:spacing w:after="0" w:line="1" w:lineRule="exact"/>
        <w:rPr>
          <w:rFonts w:ascii="Times New Roman" w:cs="Times New Roman" w:eastAsia="Times New Roman" w:hAnsi="Times New Roman"/>
          <w:sz w:val="18"/>
          <w:szCs w:val="18"/>
          <w:color w:val="auto"/>
        </w:rPr>
      </w:pPr>
    </w:p>
    <w:p>
      <w:pPr>
        <w:ind w:left="1020" w:right="400" w:hanging="503"/>
        <w:spacing w:after="0" w:line="24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obtain third-party consents related to the potential separation of the businesses, which may be difficult to obtain and/or cause delay in our intended timelines for the separation or disrupt third-party relationships that are important to our business;</w:t>
      </w:r>
    </w:p>
    <w:p>
      <w:pPr>
        <w:spacing w:after="0" w:line="1" w:lineRule="exact"/>
        <w:rPr>
          <w:rFonts w:ascii="Times New Roman" w:cs="Times New Roman" w:eastAsia="Times New Roman" w:hAnsi="Times New Roman"/>
          <w:sz w:val="18"/>
          <w:szCs w:val="18"/>
          <w:color w:val="auto"/>
        </w:rPr>
      </w:pPr>
    </w:p>
    <w:p>
      <w:pPr>
        <w:ind w:left="1020" w:right="500" w:hanging="503"/>
        <w:spacing w:after="0" w:line="24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foreseen and unforeseen dis-synergy costs, costs of restructuring transactions (including potential taxes) and other significant costs and expenses; and</w:t>
      </w:r>
    </w:p>
    <w:p>
      <w:pPr>
        <w:spacing w:after="0" w:line="1" w:lineRule="exact"/>
        <w:rPr>
          <w:rFonts w:ascii="Times New Roman" w:cs="Times New Roman" w:eastAsia="Times New Roman" w:hAnsi="Times New Roman"/>
          <w:sz w:val="18"/>
          <w:szCs w:val="18"/>
          <w:color w:val="auto"/>
        </w:rPr>
      </w:pPr>
    </w:p>
    <w:p>
      <w:pPr>
        <w:ind w:left="1020" w:hanging="503"/>
        <w:spacing w:after="0" w:line="245"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negative reactions from the financial markets, whether as a result of announcement of the potential separation or any delay or failure in completing the separation.</w:t>
      </w:r>
    </w:p>
    <w:p>
      <w:pPr>
        <w:spacing w:after="0" w:line="153" w:lineRule="exact"/>
        <w:rPr>
          <w:sz w:val="20"/>
          <w:szCs w:val="20"/>
          <w:color w:val="auto"/>
        </w:rPr>
      </w:pPr>
    </w:p>
    <w:p>
      <w:pPr>
        <w:ind w:right="60" w:firstLine="419"/>
        <w:spacing w:after="0" w:line="246" w:lineRule="auto"/>
        <w:rPr>
          <w:sz w:val="20"/>
          <w:szCs w:val="20"/>
          <w:color w:val="auto"/>
        </w:rPr>
      </w:pPr>
      <w:r>
        <w:rPr>
          <w:rFonts w:ascii="Times New Roman" w:cs="Times New Roman" w:eastAsia="Times New Roman" w:hAnsi="Times New Roman"/>
          <w:sz w:val="18"/>
          <w:szCs w:val="18"/>
          <w:color w:val="auto"/>
        </w:rPr>
        <w:t>No assurance can be given as to whether we will be successful in managing these or any other significant risks that we may encounter in the potential separation of our businesses, and any of these risks could have a material adverse effect on our businesses, financial condition, results of operations, cash flows and/or the market price of our ordinary shares. We have already incurred certain expenses, and expect to incur significant additional expenses, in connection with the exploration and potential consummation of a separation, and such costs and expenses may be greater than we anticipate, and may not yield the benefits that we or others may anticipate.</w:t>
      </w:r>
    </w:p>
    <w:p>
      <w:pPr>
        <w:spacing w:after="0" w:line="154" w:lineRule="exact"/>
        <w:rPr>
          <w:sz w:val="20"/>
          <w:szCs w:val="20"/>
          <w:color w:val="auto"/>
        </w:rPr>
      </w:pPr>
    </w:p>
    <w:p>
      <w:pPr>
        <w:ind w:right="20" w:firstLine="419"/>
        <w:spacing w:after="0" w:line="242" w:lineRule="auto"/>
        <w:rPr>
          <w:sz w:val="20"/>
          <w:szCs w:val="20"/>
          <w:color w:val="auto"/>
        </w:rPr>
      </w:pPr>
      <w:r>
        <w:rPr>
          <w:rFonts w:ascii="Times New Roman" w:cs="Times New Roman" w:eastAsia="Times New Roman" w:hAnsi="Times New Roman"/>
          <w:sz w:val="18"/>
          <w:szCs w:val="18"/>
          <w:color w:val="auto"/>
        </w:rPr>
        <w:t>We will endeavor to structure any potential separation in a tax efficient manner, seek to minimize the taxes for the Company and seek to qualify the transaction as tax-free to shareholders for U.S. federal and Irish tax purposes. The potential separation, if consummated, is expected to be completed in the second half of 2023, subject to customary closing conditions, including final approval by our board of directors and, if sought, receipt of a private letter ruling from the IRS and/or tax opinion from our tax advisors. Adverse market conditions or tax consequences, litigation or other legal proceedings that may arise as a result of the potential separation, or delays or difficulties effecting the potential separation, including possible delays in obtaining any necessary stock exchange, regulatory or other approval or the failure to obtain any such approvals, possible delays in obtaining any required tax opinions or rulings or the failure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9" w:name="page40"/>
    <w:bookmarkEnd w:id="39"/>
    <w:p>
      <w:pPr>
        <w:ind w:right="280"/>
        <w:spacing w:after="0" w:line="266" w:lineRule="auto"/>
        <w:rPr>
          <w:sz w:val="20"/>
          <w:szCs w:val="20"/>
          <w:color w:val="auto"/>
        </w:rPr>
      </w:pPr>
      <w:r>
        <w:rPr>
          <w:rFonts w:ascii="Times New Roman" w:cs="Times New Roman" w:eastAsia="Times New Roman" w:hAnsi="Times New Roman"/>
          <w:sz w:val="18"/>
          <w:szCs w:val="18"/>
          <w:color w:val="auto"/>
        </w:rPr>
        <w:t>obtain any such tax opinions or rulings, changes in relevant law and other challenges, could delay, prevent or otherwise adversely impact the anticipated benefits of the potential separation.</w:t>
      </w:r>
    </w:p>
    <w:p>
      <w:pPr>
        <w:spacing w:after="0" w:line="135" w:lineRule="exact"/>
        <w:rPr>
          <w:sz w:val="20"/>
          <w:szCs w:val="20"/>
          <w:color w:val="auto"/>
        </w:rPr>
      </w:pPr>
    </w:p>
    <w:p>
      <w:pPr>
        <w:ind w:right="80" w:firstLine="419"/>
        <w:spacing w:after="0" w:line="250" w:lineRule="auto"/>
        <w:rPr>
          <w:sz w:val="20"/>
          <w:szCs w:val="20"/>
          <w:color w:val="auto"/>
        </w:rPr>
      </w:pPr>
      <w:r>
        <w:rPr>
          <w:rFonts w:ascii="Times New Roman" w:cs="Times New Roman" w:eastAsia="Times New Roman" w:hAnsi="Times New Roman"/>
          <w:sz w:val="18"/>
          <w:szCs w:val="18"/>
          <w:color w:val="auto"/>
        </w:rPr>
        <w:t>No assurance can be given as to whether we will complete any separation on our anticipated timeline or at all. Any of the foregoing may result in our not achieving the operational, financial, strategic and other benefits we anticipate realizing as a result of the potential separation, and in each case, our business, results of operations and financial condition and/or the market price for our ordinary shares could be adversely affected.</w:t>
      </w:r>
    </w:p>
    <w:p>
      <w:pPr>
        <w:spacing w:after="0" w:line="146" w:lineRule="exact"/>
        <w:rPr>
          <w:sz w:val="20"/>
          <w:szCs w:val="20"/>
          <w:color w:val="auto"/>
        </w:rPr>
      </w:pPr>
    </w:p>
    <w:p>
      <w:pPr>
        <w:ind w:right="20" w:firstLine="61"/>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fail to realize some or all of the anticipated benefits of the potential separation and the market price of our ordinary shares may fluctuate significantly in connection with the potential separation.</w:t>
      </w:r>
    </w:p>
    <w:p>
      <w:pPr>
        <w:spacing w:after="0" w:line="131" w:lineRule="exact"/>
        <w:rPr>
          <w:sz w:val="20"/>
          <w:szCs w:val="20"/>
          <w:color w:val="auto"/>
        </w:rPr>
      </w:pPr>
    </w:p>
    <w:p>
      <w:pPr>
        <w:ind w:right="20" w:firstLine="374"/>
        <w:spacing w:after="0" w:line="244" w:lineRule="auto"/>
        <w:rPr>
          <w:sz w:val="20"/>
          <w:szCs w:val="20"/>
          <w:color w:val="auto"/>
        </w:rPr>
      </w:pPr>
      <w:r>
        <w:rPr>
          <w:rFonts w:ascii="Times New Roman" w:cs="Times New Roman" w:eastAsia="Times New Roman" w:hAnsi="Times New Roman"/>
          <w:sz w:val="18"/>
          <w:szCs w:val="18"/>
          <w:color w:val="auto"/>
        </w:rPr>
        <w:t>Even if a separation of our commercial-stage neuroscience and development-stage oncology businesses is completed, the anticipated operational, financial, strategic and other benefits of a potential separation may not be achieved. These anticipated benefits are based on a number of assumptions and uncertainties, which may prove to be incorrect or incomplete. Furthermore, if separated, the two independent companies will be smaller and less diversified than the combined company, with a narrower business focus, and may be more vulnerable to changing market conditions. The potential separation also presents a number of significant risks to our internal processes, including the failure to maintain an adequate control environment due to changes to our infrastructure technology systems and financial reporting processes.</w:t>
      </w:r>
    </w:p>
    <w:p>
      <w:pPr>
        <w:spacing w:after="0" w:line="155" w:lineRule="exact"/>
        <w:rPr>
          <w:sz w:val="20"/>
          <w:szCs w:val="20"/>
          <w:color w:val="auto"/>
        </w:rPr>
      </w:pPr>
    </w:p>
    <w:p>
      <w:pPr>
        <w:ind w:right="200" w:firstLine="374"/>
        <w:spacing w:after="0" w:line="247" w:lineRule="auto"/>
        <w:rPr>
          <w:sz w:val="20"/>
          <w:szCs w:val="20"/>
          <w:color w:val="auto"/>
        </w:rPr>
      </w:pPr>
      <w:r>
        <w:rPr>
          <w:rFonts w:ascii="Times New Roman" w:cs="Times New Roman" w:eastAsia="Times New Roman" w:hAnsi="Times New Roman"/>
          <w:sz w:val="18"/>
          <w:szCs w:val="18"/>
          <w:color w:val="auto"/>
        </w:rPr>
        <w:t>In addition, the market price of our ordinary shares may experience volatility around the time of announcement or consummation of the potential separation and thereafter. We also cannot predict the effect of a completed separation on the market price of our ordinary shares, which, following a separation, may be less than, equal to or greater than the market price of our ordinary shares prior to the separation. Further, the combined value of our ordinary shares and those of Oncology Co. may not be equal to or greater than what the value of our ordinary shares would have been had the separation not occurred. The combined value of the ordinary shares of the two companies could be lower than anticipated for a variety of reasons, including, but not limited to, a failure of Oncology Co. to operate and compete effectively as an independent company.</w:t>
      </w:r>
    </w:p>
    <w:p>
      <w:pPr>
        <w:spacing w:after="0" w:line="135"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continue to assess the tax consequences of potential structures for the separation of our oncology business from our neuroscience business, including a potential separation of the oncology business into an independent, publicly-traded company. If such a separation does not qualify as a transaction that is generally tax-free for U.S. federal and Irish tax purposes, we and our shareholders could be subject to significant tax liabilities.</w:t>
      </w:r>
    </w:p>
    <w:p>
      <w:pPr>
        <w:spacing w:after="0" w:line="128" w:lineRule="exact"/>
        <w:rPr>
          <w:sz w:val="20"/>
          <w:szCs w:val="20"/>
          <w:color w:val="auto"/>
        </w:rPr>
      </w:pPr>
    </w:p>
    <w:p>
      <w:pPr>
        <w:ind w:firstLine="374"/>
        <w:spacing w:after="0" w:line="242" w:lineRule="auto"/>
        <w:rPr>
          <w:sz w:val="20"/>
          <w:szCs w:val="20"/>
          <w:color w:val="auto"/>
        </w:rPr>
      </w:pPr>
      <w:r>
        <w:rPr>
          <w:rFonts w:ascii="Times New Roman" w:cs="Times New Roman" w:eastAsia="Times New Roman" w:hAnsi="Times New Roman"/>
          <w:sz w:val="18"/>
          <w:szCs w:val="18"/>
          <w:color w:val="auto"/>
        </w:rPr>
        <w:t>In connection with the potential separation, we may seek a private letter ruling from the IRS (the “IRS Ruling”) and/or an opinion from our U.S. tax advisor (the “U.S. Tax Opinion”) regarding U.S. federal and state income tax consequences of the separation, including that, among other things, the separation would generally qualify as tax-free for U.S. federal income tax purposes under Sections 368(a)(1)(D) and 355 of the U.S. Internal Revenue Code of 1986, as amended (the “Code”). The IRS Ruling and/or the U.S. Tax Opinion would be based on and rely on, among other things, certain facts, assumptions, representations, and undertakings from us and Oncology Co., including those relating to the past and future conduct of the companies’ respective business operations and other matters. If any of these facts, assumptions, representations, statements or undertakings are, or become, inaccurate or incomplete, or if we or Oncology Co. breach any of our respective covenants in the separation documents, the IRS Ruling and/or the U.S. Tax Opinion may be invalid and the conclusions reached therein could be jeopardized. Notwithstanding a U.S. Tax Opinion, the U.S. Internal Revenue Service, or the IRS, could determine that a distribution or any related transaction is taxable for U.S. federal income tax purposes if it determines that any of these facts, assumptions, representations or undertakings are not correct or have been violated, or that the distribution should be taxable for other reasons, including if the IRS were to disagree with the conclusions in the U.S. Tax Opinion. The U.S. Tax Opinion will not be binding on the IRS or the courts. Accordingly, the IRS or the courts may challenge the conclusions stated in the U.S. Tax Opinion and such challenge could prevail. If the potential separation transaction is ultimately determined to be taxable, we and our shareholders that are subject to U.S. federal income tax could incur significant tax liabilities.</w:t>
      </w:r>
    </w:p>
    <w:p>
      <w:pPr>
        <w:spacing w:after="0" w:line="162" w:lineRule="exact"/>
        <w:rPr>
          <w:sz w:val="20"/>
          <w:szCs w:val="20"/>
          <w:color w:val="auto"/>
        </w:rPr>
      </w:pPr>
    </w:p>
    <w:p>
      <w:pPr>
        <w:ind w:right="60" w:firstLine="374"/>
        <w:spacing w:after="0" w:line="242" w:lineRule="auto"/>
        <w:rPr>
          <w:sz w:val="20"/>
          <w:szCs w:val="20"/>
          <w:color w:val="auto"/>
        </w:rPr>
      </w:pPr>
      <w:r>
        <w:rPr>
          <w:rFonts w:ascii="Times New Roman" w:cs="Times New Roman" w:eastAsia="Times New Roman" w:hAnsi="Times New Roman"/>
          <w:sz w:val="18"/>
          <w:szCs w:val="18"/>
          <w:color w:val="auto"/>
        </w:rPr>
        <w:t>Furthermore, in connection with the potential separation, we may seek an opinion from our Irish tax advisor (the “Irish Tax Opinion”) regarding the Irish tax consequences of the separation. The Irish Tax Opinion would be based on and rely on, among other things, certain facts, assumptions, representations, and undertakings from us, including those relating to the past and future conduct of our business operations and other matters. If any of these facts, assumptions, representations, statements or undertakings are, or become, inaccurate or incomplete the Irish Tax Opinion may be invalid and the conclusions reached therein could be jeopardized. The Irish Tax Opinion will not be binding on the Irish</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0" w:name="page41"/>
    <w:bookmarkEnd w:id="40"/>
    <w:p>
      <w:pPr>
        <w:ind w:right="420"/>
        <w:spacing w:after="0" w:line="266" w:lineRule="auto"/>
        <w:rPr>
          <w:sz w:val="20"/>
          <w:szCs w:val="20"/>
          <w:color w:val="auto"/>
        </w:rPr>
      </w:pPr>
      <w:r>
        <w:rPr>
          <w:rFonts w:ascii="Times New Roman" w:cs="Times New Roman" w:eastAsia="Times New Roman" w:hAnsi="Times New Roman"/>
          <w:sz w:val="18"/>
          <w:szCs w:val="18"/>
          <w:color w:val="auto"/>
        </w:rPr>
        <w:t>Tax Authority or the courts. Accordingly, the Irish Tax Authority or the courts may challenge the conclusions stated in the Irish Tax Opinion and such challenge could prevail. In this case, we and our shareholders could incur significant tax liabilities.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Our Industry</w:t>
      </w:r>
    </w:p>
    <w:p>
      <w:pPr>
        <w:spacing w:after="0" w:line="171" w:lineRule="exact"/>
        <w:rPr>
          <w:sz w:val="20"/>
          <w:szCs w:val="20"/>
          <w:color w:val="auto"/>
        </w:rPr>
      </w:pPr>
    </w:p>
    <w:p>
      <w:pPr>
        <w:jc w:val="both"/>
        <w:ind w:right="3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Revenues generated by sales of our products depend on the availability from third-party payers of reimbursement for our products and the extent of cost-sharing arrangements for patients (e.g., patient co-payment, co-insurance, deductible obligations) and cost-control measures imposed, and any reductions in payment rate or reimbursement or increases in our or in patients’ financial obligation to payers could result in decreased sales of our products and/or decreased revenues.</w:t>
      </w:r>
    </w:p>
    <w:p>
      <w:pPr>
        <w:spacing w:after="0" w:line="147" w:lineRule="exact"/>
        <w:rPr>
          <w:sz w:val="20"/>
          <w:szCs w:val="20"/>
          <w:color w:val="auto"/>
        </w:rPr>
      </w:pPr>
    </w:p>
    <w:p>
      <w:pPr>
        <w:ind w:right="80" w:firstLine="374"/>
        <w:spacing w:after="0" w:line="243" w:lineRule="auto"/>
        <w:rPr>
          <w:sz w:val="20"/>
          <w:szCs w:val="20"/>
          <w:color w:val="auto"/>
        </w:rPr>
      </w:pPr>
      <w:r>
        <w:rPr>
          <w:rFonts w:ascii="Times New Roman" w:cs="Times New Roman" w:eastAsia="Times New Roman" w:hAnsi="Times New Roman"/>
          <w:sz w:val="18"/>
          <w:szCs w:val="18"/>
          <w:color w:val="auto"/>
        </w:rPr>
        <w:t>In both U.S. and non-U.S. markets, sales of our products depend, in part, on the availability of reimbursement from third-party payers such as state and federal governments, including Medicare and Medicaid in the U.S. and similar programs in other countries, managed care providers and private insurance plans. Deterioration in the timeliness, certainty and amount of reimbursement for our products, the existence of barriers to coverage of our products (such as prior authorization, criteria for use or other requirements), increases in our financial obligation to payers, including government payers, limitations by healthcare providers on how much, or under what circumstances, they will prescribe or administer our products or unwillingness by patients to pay any required co-payments, or deductible amounts, could reduce the use of, and revenues generated from, our products and could have a material adverse effect on our business, financial condition, cash flows and results of operations. In addition, when a new product is approved, the availability of government and private reimbursement for that product and coverage restrictions that may be imposed for such product are uncertain, as is the amount for which that product will be reimbursed. We cannot predict the availability or amount of reimbursement for, or the prevalence and extent of other access barriers to, our products.</w:t>
      </w:r>
    </w:p>
    <w:p>
      <w:pPr>
        <w:spacing w:after="0" w:line="145" w:lineRule="exact"/>
        <w:rPr>
          <w:sz w:val="20"/>
          <w:szCs w:val="20"/>
          <w:color w:val="auto"/>
        </w:rPr>
      </w:pPr>
    </w:p>
    <w:p>
      <w:pPr>
        <w:ind w:firstLine="374"/>
        <w:spacing w:after="0" w:line="250" w:lineRule="auto"/>
        <w:rPr>
          <w:sz w:val="20"/>
          <w:szCs w:val="20"/>
          <w:color w:val="auto"/>
        </w:rPr>
      </w:pPr>
      <w:r>
        <w:rPr>
          <w:rFonts w:ascii="Times New Roman" w:cs="Times New Roman" w:eastAsia="Times New Roman" w:hAnsi="Times New Roman"/>
          <w:sz w:val="18"/>
          <w:szCs w:val="18"/>
          <w:color w:val="auto"/>
        </w:rPr>
        <w:t>In the U.S., federal and state legislatures, health agencies and third-party payers continue to focus on containing the cost of healthcare. In August 2022, the Inflation Reduction Act of 2022 (the “Inflation Reduction Act”) was signed into law. The Inflation Reduction Act includes several provisions that will impact our business to varying degrees, including those that impose new manufacturer financial liability on all drugs in Medicare Part D beginning in 2025, allow the U.S. government to negotiate prices for some drugs covered under Medicare Part B and Part D beginning in 2026, and require companies to pay rebates to Medicare for drug prices that increase faster than inflation beginning in 2023.</w:t>
      </w:r>
    </w:p>
    <w:p>
      <w:pPr>
        <w:spacing w:after="0" w:line="137" w:lineRule="exact"/>
        <w:rPr>
          <w:sz w:val="20"/>
          <w:szCs w:val="20"/>
          <w:color w:val="auto"/>
        </w:rPr>
      </w:pPr>
    </w:p>
    <w:p>
      <w:pPr>
        <w:ind w:firstLine="374"/>
        <w:spacing w:after="0" w:line="244" w:lineRule="auto"/>
        <w:rPr>
          <w:sz w:val="20"/>
          <w:szCs w:val="20"/>
          <w:color w:val="auto"/>
        </w:rPr>
      </w:pPr>
      <w:r>
        <w:rPr>
          <w:rFonts w:ascii="Times New Roman" w:cs="Times New Roman" w:eastAsia="Times New Roman" w:hAnsi="Times New Roman"/>
          <w:sz w:val="18"/>
          <w:szCs w:val="18"/>
          <w:color w:val="auto"/>
        </w:rPr>
        <w:t>In addition, economic pressure on state budgets may result in states increasingly seeking to achieve budget savings through mechanisms that limit coverage or payment for drugs, including but not limited to price control initiatives, discounts and other pricing-related actions. Over the past several years, a number of U.S. states have enacted drug pricing transparency laws that require companies to report on drug price increases and justify how drug prices were set and we expect additional state drug pricing initiatives to be proposed and enacted in the future. In addition, state Medicaid programs are increasingly requesting that manufacturers pay supplemental rebates and are requiring prior authorization by the state program for use of any drug. Managed care organizations continue to seek price discounts and, in some cases, to impose restrictions on the coverage of particular drugs. U.S.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145" w:lineRule="exact"/>
        <w:rPr>
          <w:sz w:val="20"/>
          <w:szCs w:val="20"/>
          <w:color w:val="auto"/>
        </w:rPr>
      </w:pPr>
    </w:p>
    <w:p>
      <w:pPr>
        <w:ind w:right="100" w:firstLine="374"/>
        <w:spacing w:after="0" w:line="250" w:lineRule="auto"/>
        <w:rPr>
          <w:sz w:val="20"/>
          <w:szCs w:val="20"/>
          <w:color w:val="auto"/>
        </w:rPr>
      </w:pPr>
      <w:r>
        <w:rPr>
          <w:rFonts w:ascii="Times New Roman" w:cs="Times New Roman" w:eastAsia="Times New Roman" w:hAnsi="Times New Roman"/>
          <w:sz w:val="18"/>
          <w:szCs w:val="18"/>
          <w:color w:val="auto"/>
        </w:rPr>
        <w:t>Furthermore, we may face uncertainties as a result of efforts to repeal, substantially modify or invalidate some or all of the provisions of the Patient Protection and Affordable Care Act (the “PPACA”), whether by legislative means or through litigation, and further potential reforms to government negotiation or regulation of drug pricing. The PPACA significantly expanded coverage of mental health and substance use disorders and provided federal parity protections to such coverage benefits. If successful, such efforts and proposed legislation or other future federal or state legislative or administrative changes relating to healthcare reform and drug pricing could adversely affect our business and financial results.</w:t>
      </w:r>
    </w:p>
    <w:p>
      <w:pPr>
        <w:spacing w:after="0" w:line="137" w:lineRule="exact"/>
        <w:rPr>
          <w:sz w:val="20"/>
          <w:szCs w:val="20"/>
          <w:color w:val="auto"/>
        </w:rPr>
      </w:pPr>
    </w:p>
    <w:p>
      <w:pPr>
        <w:jc w:val="both"/>
        <w:ind w:right="200" w:firstLine="374"/>
        <w:spacing w:after="0" w:line="247" w:lineRule="auto"/>
        <w:rPr>
          <w:sz w:val="20"/>
          <w:szCs w:val="20"/>
          <w:color w:val="auto"/>
        </w:rPr>
      </w:pPr>
      <w:r>
        <w:rPr>
          <w:rFonts w:ascii="Times New Roman" w:cs="Times New Roman" w:eastAsia="Times New Roman" w:hAnsi="Times New Roman"/>
          <w:sz w:val="18"/>
          <w:szCs w:val="18"/>
          <w:color w:val="auto"/>
        </w:rPr>
        <w:t>In addition, the outcome or settlement of litigation could impact the practices of healthcare providers and patients, and the policies and practices of third-party payers, including Medicare, Medicaid, managed care providers and private insurance plans, in a manner detrimental to our products, which in turn could materially and adversely affect our business and financial condition.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1" w:name="page42"/>
    <w:bookmarkEnd w:id="41"/>
    <w:p>
      <w:pPr>
        <w:ind w:right="20" w:firstLine="374"/>
        <w:spacing w:after="0" w:line="245" w:lineRule="auto"/>
        <w:rPr>
          <w:sz w:val="20"/>
          <w:szCs w:val="20"/>
          <w:color w:val="auto"/>
        </w:rPr>
      </w:pPr>
      <w:r>
        <w:rPr>
          <w:rFonts w:ascii="Times New Roman" w:cs="Times New Roman" w:eastAsia="Times New Roman" w:hAnsi="Times New Roman"/>
          <w:sz w:val="18"/>
          <w:szCs w:val="18"/>
          <w:color w:val="auto"/>
        </w:rPr>
        <w:t>In Europe and many other countries, government-sponsored healthcare systems are the primary payers for healthcare expenditures, including payment for drugs and biologics. We expect that countries may take actions to reduce expenditure on drugs and biologics, including mandatory price reductions, patient access restrictions, suspensions of price increases, increased mandatory discounts or rebates, preference for generic products, reduction in the amount of reimbursement and greater importation of drugs from lower-cost countries. Any such cost-control measures would likely reduce our revenues. In addition, certain countries set prices by reference to the prices in other countries where our products are marketed. Thus, the inability to secure adequate prices in a particular country may not only limit the marketing of products within that country, but may also adversely affect the ability to obtain acceptable prices in other markets.</w:t>
      </w:r>
    </w:p>
    <w:p>
      <w:pPr>
        <w:spacing w:after="0" w:line="14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There have been no other material changes from the risk factors disclosed in our Annual Report. For a further discussion of our risk factors see “Part I, Item 1A—Risk Factors” in our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89" w:lineRule="exact"/>
        <w:rPr>
          <w:sz w:val="20"/>
          <w:szCs w:val="20"/>
          <w:color w:val="auto"/>
        </w:rPr>
      </w:pPr>
    </w:p>
    <w:p>
      <w:pPr>
        <w:ind w:right="20" w:firstLine="374"/>
        <w:spacing w:after="0" w:line="250" w:lineRule="auto"/>
        <w:rPr>
          <w:sz w:val="20"/>
          <w:szCs w:val="20"/>
          <w:color w:val="auto"/>
        </w:rPr>
      </w:pPr>
      <w:r>
        <w:rPr>
          <w:rFonts w:ascii="Times New Roman" w:cs="Times New Roman" w:eastAsia="Times New Roman" w:hAnsi="Times New Roman"/>
          <w:sz w:val="18"/>
          <w:szCs w:val="18"/>
          <w:color w:val="auto"/>
        </w:rPr>
        <w:t>On September 16, 2011, our board of directors authorized the continuation of the Alkermes, Inc. program to repurchase up to $215.0 million of our ordinary shares at the discretion of management from time to time in the open market or through privately negotiated transactions. We did not purchase any shares under this program during the nine months ended September 30, 2022. As of September 30, 2022, we had purchased a total of 8,866,342 shares under this program at an aggregate cost of $114.0 million.</w:t>
      </w:r>
    </w:p>
    <w:p>
      <w:pPr>
        <w:spacing w:after="0" w:line="137" w:lineRule="exact"/>
        <w:rPr>
          <w:sz w:val="20"/>
          <w:szCs w:val="20"/>
          <w:color w:val="auto"/>
        </w:rPr>
      </w:pPr>
    </w:p>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2022, we acquired 11,578 of our ordinary shares, at an average price of $27.63 per share, to satisfy withholding tax obligations related to the vesting of employee equity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89" w:lineRule="exact"/>
        <w:rPr>
          <w:sz w:val="20"/>
          <w:szCs w:val="20"/>
          <w:color w:val="auto"/>
        </w:rPr>
      </w:pPr>
    </w:p>
    <w:p>
      <w:pPr>
        <w:ind w:right="60" w:firstLine="374"/>
        <w:spacing w:after="0" w:line="242" w:lineRule="auto"/>
        <w:rPr>
          <w:sz w:val="20"/>
          <w:szCs w:val="20"/>
          <w:color w:val="auto"/>
        </w:rPr>
      </w:pPr>
      <w:r>
        <w:rPr>
          <w:rFonts w:ascii="Times New Roman" w:cs="Times New Roman" w:eastAsia="Times New Roman" w:hAnsi="Times New Roman"/>
          <w:sz w:val="18"/>
          <w:szCs w:val="18"/>
          <w:color w:val="auto"/>
        </w:rPr>
        <w:t>Our policy governing transactions in our securities by our directors, officers and employees permits our directors, officers and employees to enter into trading plans in accordance with Rule 10b5-1 under the Exchange Act. During the three months ended September 30, 2022, each of Messrs. Iain M. Brown, Blair C. Jackson, Michael J. Landine and Richard F. Pops, executive officers of the Company, entered into a trading plan in accordance with Rule 10b5-1 and our policy governing transactions in our securities by our directors, officers and employees. We undertake no obligation to update or revise the information provided herein, including for any revision or termination of an established trading plan.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exhibits are filed or furnished as part of this Form 10-Q:</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920" w:type="dxa"/>
            <w:vAlign w:val="bottom"/>
            <w:gridSpan w:val="12"/>
          </w:tcPr>
          <w:p>
            <w:pPr>
              <w:ind w:left="8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3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440" w:type="dxa"/>
            <w:vAlign w:val="bottom"/>
            <w:shd w:val="clear" w:color="auto" w:fill="CFF0FC"/>
          </w:tcPr>
          <w:p>
            <w:pPr>
              <w:ind w:left="120"/>
              <w:spacing w:after="0" w:line="169" w:lineRule="exact"/>
              <w:rPr>
                <w:sz w:val="20"/>
                <w:szCs w:val="20"/>
                <w:color w:val="auto"/>
              </w:rPr>
            </w:pPr>
            <w:r>
              <w:rPr>
                <w:rFonts w:ascii="Times New Roman" w:cs="Times New Roman" w:eastAsia="Times New Roman" w:hAnsi="Times New Roman"/>
                <w:sz w:val="18"/>
                <w:szCs w:val="18"/>
                <w:color w:val="auto"/>
                <w:w w:val="95"/>
              </w:rPr>
              <w:t>10.1</w:t>
            </w:r>
          </w:p>
        </w:tc>
        <w:tc>
          <w:tcPr>
            <w:tcW w:w="920" w:type="dxa"/>
            <w:vAlign w:val="bottom"/>
            <w:shd w:val="clear" w:color="auto" w:fill="CFF0FC"/>
          </w:tcPr>
          <w:p>
            <w:pPr>
              <w:ind w:left="40"/>
              <w:spacing w:after="0" w:line="169"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FF0FC"/>
          </w:tcPr>
          <w:p>
            <w:pPr>
              <w:spacing w:after="0"/>
              <w:rPr>
                <w:sz w:val="14"/>
                <w:szCs w:val="14"/>
                <w:color w:val="auto"/>
              </w:rPr>
            </w:pPr>
          </w:p>
        </w:tc>
        <w:tc>
          <w:tcPr>
            <w:tcW w:w="9780" w:type="dxa"/>
            <w:vAlign w:val="bottom"/>
            <w:gridSpan w:val="14"/>
            <w:shd w:val="clear" w:color="auto" w:fill="CFF0FC"/>
          </w:tcPr>
          <w:p>
            <w:pPr>
              <w:ind w:left="20"/>
              <w:spacing w:after="0" w:line="169" w:lineRule="exact"/>
              <w:rPr>
                <w:sz w:val="20"/>
                <w:szCs w:val="20"/>
                <w:color w:val="auto"/>
              </w:rPr>
            </w:pPr>
            <w:r>
              <w:rPr>
                <w:rFonts w:ascii="Times New Roman" w:cs="Times New Roman" w:eastAsia="Times New Roman" w:hAnsi="Times New Roman"/>
                <w:sz w:val="18"/>
                <w:szCs w:val="18"/>
                <w:color w:val="0000FF"/>
              </w:rPr>
              <w:t>Fourth Amendment to License and Collaboration Agreement between Alkermes Pharma Ireland Limited and Biogen Swiss</w:t>
            </w:r>
          </w:p>
        </w:tc>
      </w:tr>
      <w:tr>
        <w:trPr>
          <w:trHeight w:val="189"/>
        </w:trPr>
        <w:tc>
          <w:tcPr>
            <w:tcW w:w="440" w:type="dxa"/>
            <w:vAlign w:val="bottom"/>
            <w:tcBorders>
              <w:top w:val="single" w:sz="8" w:color="CFF0FC"/>
              <w:bottom w:val="single" w:sz="8" w:color="CFF0FC"/>
            </w:tcBorders>
            <w:shd w:val="clear" w:color="auto" w:fill="CFF0FC"/>
          </w:tcPr>
          <w:p>
            <w:pPr>
              <w:spacing w:after="0"/>
              <w:rPr>
                <w:sz w:val="16"/>
                <w:szCs w:val="16"/>
                <w:color w:val="auto"/>
              </w:rPr>
            </w:pPr>
          </w:p>
        </w:tc>
        <w:tc>
          <w:tcPr>
            <w:tcW w:w="92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4000" w:type="dxa"/>
            <w:vAlign w:val="bottom"/>
            <w:tcBorders>
              <w:top w:val="single" w:sz="8" w:color="0000FF"/>
              <w:bottom w:val="single" w:sz="8" w:color="0000FF"/>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0000FF"/>
                <w:w w:val="99"/>
              </w:rPr>
              <w:t>Manufacturing GmbH, effective as of August 25, 2022.</w:t>
            </w:r>
          </w:p>
        </w:tc>
        <w:tc>
          <w:tcPr>
            <w:tcW w:w="4920" w:type="dxa"/>
            <w:vAlign w:val="bottom"/>
            <w:tcBorders>
              <w:top w:val="single" w:sz="8" w:color="0000FF"/>
              <w:bottom w:val="single" w:sz="8" w:color="CFF0FC"/>
            </w:tcBorders>
            <w:gridSpan w:val="5"/>
            <w:shd w:val="clear" w:color="auto" w:fill="CFF0FC"/>
          </w:tcPr>
          <w:p>
            <w:pPr>
              <w:spacing w:after="0"/>
              <w:rPr>
                <w:sz w:val="16"/>
                <w:szCs w:val="16"/>
                <w:color w:val="auto"/>
              </w:rPr>
            </w:pPr>
          </w:p>
        </w:tc>
        <w:tc>
          <w:tcPr>
            <w:tcW w:w="280" w:type="dxa"/>
            <w:vAlign w:val="bottom"/>
            <w:tcBorders>
              <w:top w:val="single" w:sz="8" w:color="CFF0FC"/>
              <w:bottom w:val="single" w:sz="8" w:color="CFF0FC"/>
            </w:tcBorders>
            <w:shd w:val="clear" w:color="auto" w:fill="CFF0FC"/>
          </w:tcPr>
          <w:p>
            <w:pPr>
              <w:spacing w:after="0"/>
              <w:rPr>
                <w:sz w:val="16"/>
                <w:szCs w:val="16"/>
                <w:color w:val="auto"/>
              </w:rPr>
            </w:pP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176"/>
        </w:trPr>
        <w:tc>
          <w:tcPr>
            <w:tcW w:w="4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9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9780" w:type="dxa"/>
            <w:vAlign w:val="bottom"/>
            <w:gridSpan w:val="14"/>
          </w:tcPr>
          <w:p>
            <w:pPr>
              <w:ind w:left="20"/>
              <w:spacing w:after="0" w:line="17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Alkermes plc 2018 Stock Option and Incentive Plan, as amended (incorporated by reference from Exhibit 10.1 to the Alkermes plc</w:t>
              </w:r>
            </w:hyperlink>
          </w:p>
        </w:tc>
      </w:tr>
      <w:tr>
        <w:trPr>
          <w:trHeight w:val="169"/>
        </w:trPr>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8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Current Report on Form 8-K (File No. 001-35299) filed on July 7, 2022).</w:t>
              </w:r>
            </w:hyperlink>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360" w:type="dxa"/>
            <w:vAlign w:val="bottom"/>
            <w:gridSpan w:val="2"/>
            <w:shd w:val="clear" w:color="auto" w:fill="CFF0FC"/>
          </w:tcPr>
          <w:p>
            <w:pPr>
              <w:ind w:left="120"/>
              <w:spacing w:after="0" w:line="176" w:lineRule="exact"/>
              <w:rPr>
                <w:sz w:val="20"/>
                <w:szCs w:val="20"/>
                <w:color w:val="auto"/>
              </w:rPr>
            </w:pPr>
            <w:r>
              <w:rPr>
                <w:rFonts w:ascii="Times New Roman" w:cs="Times New Roman" w:eastAsia="Times New Roman" w:hAnsi="Times New Roman"/>
                <w:sz w:val="18"/>
                <w:szCs w:val="18"/>
                <w:color w:val="auto"/>
              </w:rPr>
              <w:t>10.2.1 †</w:t>
            </w:r>
          </w:p>
        </w:tc>
        <w:tc>
          <w:tcPr>
            <w:tcW w:w="100" w:type="dxa"/>
            <w:vAlign w:val="bottom"/>
            <w:shd w:val="clear" w:color="auto" w:fill="CFF0FC"/>
          </w:tcPr>
          <w:p>
            <w:pPr>
              <w:spacing w:after="0"/>
              <w:rPr>
                <w:sz w:val="15"/>
                <w:szCs w:val="15"/>
                <w:color w:val="auto"/>
              </w:rPr>
            </w:pPr>
          </w:p>
        </w:tc>
        <w:tc>
          <w:tcPr>
            <w:tcW w:w="9780" w:type="dxa"/>
            <w:vAlign w:val="bottom"/>
            <w:gridSpan w:val="14"/>
            <w:shd w:val="clear" w:color="auto" w:fill="CFF0FC"/>
          </w:tcPr>
          <w:p>
            <w:pPr>
              <w:ind w:left="20"/>
              <w:spacing w:after="0" w:line="17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Form of Non-Employee Director New Director Grant Non-Qualified Stock Option Award Certificate under the Alkermes plc 2018</w:t>
              </w:r>
            </w:hyperlink>
          </w:p>
        </w:tc>
      </w:tr>
      <w:tr>
        <w:trPr>
          <w:trHeight w:val="169"/>
        </w:trPr>
        <w:tc>
          <w:tcPr>
            <w:tcW w:w="44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9460" w:type="dxa"/>
            <w:vAlign w:val="bottom"/>
            <w:tcBorders>
              <w:top w:val="single" w:sz="8" w:color="0000FF"/>
            </w:tcBorders>
            <w:gridSpan w:val="9"/>
            <w:shd w:val="clear" w:color="auto" w:fill="CFF0FC"/>
          </w:tcPr>
          <w:p>
            <w:pPr>
              <w:spacing w:after="0" w:line="169"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Stock Option and Incentive Plan, as amended (incorporated by reference from Exhibit 10.1.1 to the Alkermes plc Quarterly Report</w:t>
              </w:r>
            </w:hyperlink>
          </w:p>
        </w:tc>
        <w:tc>
          <w:tcPr>
            <w:tcW w:w="300" w:type="dxa"/>
            <w:vAlign w:val="bottom"/>
            <w:tcBorders>
              <w:top w:val="single" w:sz="8" w:color="CFF0FC"/>
            </w:tcBorders>
            <w:gridSpan w:val="4"/>
            <w:shd w:val="clear" w:color="auto" w:fill="CFF0FC"/>
          </w:tcPr>
          <w:p>
            <w:pPr>
              <w:spacing w:after="0" w:line="169"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on</w:t>
              </w:r>
            </w:hyperlink>
          </w:p>
        </w:tc>
      </w:tr>
      <w:tr>
        <w:trPr>
          <w:trHeight w:val="169"/>
        </w:trPr>
        <w:tc>
          <w:tcPr>
            <w:tcW w:w="44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9680" w:type="dxa"/>
            <w:vAlign w:val="bottom"/>
            <w:tcBorders>
              <w:top w:val="single" w:sz="8" w:color="0000FF"/>
            </w:tcBorders>
            <w:gridSpan w:val="12"/>
            <w:shd w:val="clear" w:color="auto" w:fill="CFF0FC"/>
          </w:tcPr>
          <w:p>
            <w:pPr>
              <w:spacing w:after="0" w:line="169"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Form 10-Q (File No. 001-35299) filed on July 27, 2022).</w:t>
              </w:r>
            </w:hyperlink>
          </w:p>
        </w:tc>
        <w:tc>
          <w:tcPr>
            <w:tcW w:w="80" w:type="dxa"/>
            <w:vAlign w:val="bottom"/>
            <w:tcBorders>
              <w:top w:val="single" w:sz="8" w:color="CFF0FC"/>
            </w:tcBorders>
            <w:shd w:val="clear" w:color="auto" w:fill="CFF0FC"/>
          </w:tcPr>
          <w:p>
            <w:pPr>
              <w:spacing w:after="0"/>
              <w:rPr>
                <w:sz w:val="14"/>
                <w:szCs w:val="14"/>
                <w:color w:val="auto"/>
              </w:rPr>
            </w:pPr>
          </w:p>
        </w:tc>
      </w:tr>
      <w:tr>
        <w:trPr>
          <w:trHeight w:val="21"/>
        </w:trPr>
        <w:tc>
          <w:tcPr>
            <w:tcW w:w="4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40" w:type="dxa"/>
            <w:vAlign w:val="bottom"/>
            <w:tcBorders>
              <w:top w:val="single" w:sz="8" w:color="0000FF"/>
            </w:tcBorders>
            <w:shd w:val="clear" w:color="auto" w:fill="CFF0FC"/>
          </w:tcPr>
          <w:p>
            <w:pPr>
              <w:spacing w:after="0" w:line="20" w:lineRule="exact"/>
              <w:rPr>
                <w:sz w:val="1"/>
                <w:szCs w:val="1"/>
                <w:color w:val="auto"/>
              </w:rPr>
            </w:pPr>
          </w:p>
        </w:tc>
        <w:tc>
          <w:tcPr>
            <w:tcW w:w="11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136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10.2.2 †</w:t>
            </w:r>
          </w:p>
        </w:tc>
        <w:tc>
          <w:tcPr>
            <w:tcW w:w="100" w:type="dxa"/>
            <w:vAlign w:val="bottom"/>
          </w:tcPr>
          <w:p>
            <w:pPr>
              <w:spacing w:after="0"/>
              <w:rPr>
                <w:sz w:val="15"/>
                <w:szCs w:val="15"/>
                <w:color w:val="auto"/>
              </w:rPr>
            </w:pPr>
          </w:p>
        </w:tc>
        <w:tc>
          <w:tcPr>
            <w:tcW w:w="9780" w:type="dxa"/>
            <w:vAlign w:val="bottom"/>
            <w:gridSpan w:val="14"/>
          </w:tcPr>
          <w:p>
            <w:pPr>
              <w:ind w:left="20"/>
              <w:spacing w:after="0" w:line="17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Form of Non-Employee Director New Director Grant Restricted Stock Unit Award (Time-Vesting) Award Certificate under the</w:t>
              </w:r>
            </w:hyperlink>
          </w:p>
        </w:tc>
      </w:tr>
      <w:tr>
        <w:trPr>
          <w:trHeight w:val="169"/>
        </w:trPr>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w w:val="98"/>
              </w:rPr>
            </w:pPr>
            <w:hyperlink r:id="rId312">
              <w:r>
                <w:rPr>
                  <w:rFonts w:ascii="Times New Roman" w:cs="Times New Roman" w:eastAsia="Times New Roman" w:hAnsi="Times New Roman"/>
                  <w:sz w:val="18"/>
                  <w:szCs w:val="18"/>
                  <w:color w:val="0000FF"/>
                  <w:w w:val="98"/>
                </w:rPr>
                <w:t>Alkermes plc 2018 Stock Option and Incentive Plan, as amended (incorporated by reference from Exhibit 10.1.2 to the Alkermes</w:t>
              </w:r>
            </w:hyperlink>
          </w:p>
        </w:tc>
        <w:tc>
          <w:tcPr>
            <w:tcW w:w="560" w:type="dxa"/>
            <w:vAlign w:val="bottom"/>
            <w:gridSpan w:val="5"/>
          </w:tcPr>
          <w:p>
            <w:pPr>
              <w:ind w:left="140"/>
              <w:spacing w:after="0" w:line="169"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plc</w:t>
              </w:r>
            </w:hyperlink>
          </w:p>
        </w:tc>
      </w:tr>
      <w:tr>
        <w:trPr>
          <w:trHeight w:val="169"/>
        </w:trPr>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Quarterly Report on Form 10-Q (File No. 001-35299) filed on July 27, 2022).</w:t>
              </w:r>
            </w:hyperlink>
          </w:p>
        </w:tc>
        <w:tc>
          <w:tcPr>
            <w:tcW w:w="160" w:type="dxa"/>
            <w:vAlign w:val="bottom"/>
            <w:gridSpan w:val="2"/>
          </w:tcPr>
          <w:p>
            <w:pPr>
              <w:spacing w:after="0"/>
              <w:rPr>
                <w:sz w:val="14"/>
                <w:szCs w:val="14"/>
                <w:color w:val="auto"/>
              </w:rPr>
            </w:pPr>
          </w:p>
        </w:tc>
      </w:tr>
      <w:tr>
        <w:trPr>
          <w:trHeight w:val="21"/>
        </w:trPr>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440" w:type="dxa"/>
            <w:vAlign w:val="bottom"/>
            <w:shd w:val="clear" w:color="auto" w:fill="CFF0FC"/>
          </w:tcPr>
          <w:p>
            <w:pPr>
              <w:ind w:left="120"/>
              <w:spacing w:after="0" w:line="176" w:lineRule="exact"/>
              <w:rPr>
                <w:sz w:val="20"/>
                <w:szCs w:val="20"/>
                <w:color w:val="auto"/>
              </w:rPr>
            </w:pPr>
            <w:r>
              <w:rPr>
                <w:rFonts w:ascii="Times New Roman" w:cs="Times New Roman" w:eastAsia="Times New Roman" w:hAnsi="Times New Roman"/>
                <w:sz w:val="18"/>
                <w:szCs w:val="18"/>
                <w:color w:val="auto"/>
                <w:w w:val="95"/>
              </w:rPr>
              <w:t>31.1</w:t>
            </w:r>
          </w:p>
        </w:tc>
        <w:tc>
          <w:tcPr>
            <w:tcW w:w="920" w:type="dxa"/>
            <w:vAlign w:val="bottom"/>
            <w:shd w:val="clear" w:color="auto" w:fill="CFF0FC"/>
          </w:tcPr>
          <w:p>
            <w:pPr>
              <w:ind w:left="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5"/>
                <w:szCs w:val="15"/>
                <w:color w:val="auto"/>
              </w:rPr>
            </w:pPr>
          </w:p>
        </w:tc>
        <w:tc>
          <w:tcPr>
            <w:tcW w:w="9780" w:type="dxa"/>
            <w:vAlign w:val="bottom"/>
            <w:gridSpan w:val="14"/>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0000FF"/>
              </w:rPr>
              <w:t>Rule 13a-14(a)/15d-14(a) Certification.</w:t>
            </w:r>
          </w:p>
        </w:tc>
      </w:tr>
      <w:tr>
        <w:trPr>
          <w:trHeight w:val="21"/>
        </w:trPr>
        <w:tc>
          <w:tcPr>
            <w:tcW w:w="4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40" w:type="dxa"/>
            <w:vAlign w:val="bottom"/>
            <w:tcBorders>
              <w:top w:val="single" w:sz="8" w:color="0000FF"/>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4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w w:val="95"/>
              </w:rPr>
              <w:t>31.2</w:t>
            </w:r>
          </w:p>
        </w:tc>
        <w:tc>
          <w:tcPr>
            <w:tcW w:w="9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9780" w:type="dxa"/>
            <w:vAlign w:val="bottom"/>
            <w:gridSpan w:val="14"/>
          </w:tcPr>
          <w:p>
            <w:pPr>
              <w:ind w:left="20"/>
              <w:spacing w:after="0" w:line="176" w:lineRule="exact"/>
              <w:rPr>
                <w:sz w:val="20"/>
                <w:szCs w:val="20"/>
                <w:color w:val="auto"/>
              </w:rPr>
            </w:pPr>
            <w:r>
              <w:rPr>
                <w:rFonts w:ascii="Times New Roman" w:cs="Times New Roman" w:eastAsia="Times New Roman" w:hAnsi="Times New Roman"/>
                <w:sz w:val="18"/>
                <w:szCs w:val="18"/>
                <w:color w:val="0000FF"/>
              </w:rPr>
              <w:t>Rule 13a-14(a)/15d-14(a) Certification.</w:t>
            </w:r>
          </w:p>
        </w:tc>
      </w:tr>
      <w:tr>
        <w:trPr>
          <w:trHeight w:val="210"/>
        </w:trPr>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40" w:type="dxa"/>
            <w:vAlign w:val="bottom"/>
            <w:tcBorders>
              <w:top w:val="single" w:sz="8" w:color="0000FF"/>
            </w:tcBorders>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5"/>
        </w:trPr>
        <w:tc>
          <w:tcPr>
            <w:tcW w:w="440" w:type="dxa"/>
            <w:vAlign w:val="bottom"/>
            <w:shd w:val="clear" w:color="auto" w:fill="CFF0FC"/>
          </w:tcPr>
          <w:p>
            <w:pPr>
              <w:ind w:left="120"/>
              <w:spacing w:after="0" w:line="176" w:lineRule="exact"/>
              <w:rPr>
                <w:sz w:val="20"/>
                <w:szCs w:val="20"/>
                <w:color w:val="auto"/>
              </w:rPr>
            </w:pPr>
            <w:r>
              <w:rPr>
                <w:rFonts w:ascii="Times New Roman" w:cs="Times New Roman" w:eastAsia="Times New Roman" w:hAnsi="Times New Roman"/>
                <w:sz w:val="18"/>
                <w:szCs w:val="18"/>
                <w:color w:val="auto"/>
                <w:w w:val="95"/>
              </w:rPr>
              <w:t>32.1</w:t>
            </w:r>
          </w:p>
        </w:tc>
        <w:tc>
          <w:tcPr>
            <w:tcW w:w="920" w:type="dxa"/>
            <w:vAlign w:val="bottom"/>
            <w:shd w:val="clear" w:color="auto" w:fill="CFF0FC"/>
          </w:tcPr>
          <w:p>
            <w:pPr>
              <w:ind w:left="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5"/>
                <w:szCs w:val="15"/>
                <w:color w:val="auto"/>
              </w:rPr>
            </w:pPr>
          </w:p>
        </w:tc>
        <w:tc>
          <w:tcPr>
            <w:tcW w:w="9780" w:type="dxa"/>
            <w:vAlign w:val="bottom"/>
            <w:gridSpan w:val="14"/>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r>
      <w:tr>
        <w:trPr>
          <w:trHeight w:val="210"/>
        </w:trPr>
        <w:tc>
          <w:tcPr>
            <w:tcW w:w="4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840" w:type="dxa"/>
            <w:vAlign w:val="bottom"/>
            <w:tcBorders>
              <w:top w:val="single" w:sz="8" w:color="0000FF"/>
            </w:tcBorders>
            <w:shd w:val="clear" w:color="auto" w:fill="CFF0FC"/>
          </w:tcPr>
          <w:p>
            <w:pPr>
              <w:spacing w:after="0"/>
              <w:rPr>
                <w:sz w:val="18"/>
                <w:szCs w:val="18"/>
                <w:color w:val="auto"/>
              </w:rPr>
            </w:pPr>
          </w:p>
        </w:tc>
        <w:tc>
          <w:tcPr>
            <w:tcW w:w="1160" w:type="dxa"/>
            <w:vAlign w:val="bottom"/>
            <w:tcBorders>
              <w:top w:val="single" w:sz="8" w:color="0000FF"/>
            </w:tcBorders>
            <w:shd w:val="clear" w:color="auto" w:fill="CFF0FC"/>
          </w:tcPr>
          <w:p>
            <w:pPr>
              <w:spacing w:after="0"/>
              <w:rPr>
                <w:sz w:val="18"/>
                <w:szCs w:val="18"/>
                <w:color w:val="auto"/>
              </w:rPr>
            </w:pPr>
          </w:p>
        </w:tc>
        <w:tc>
          <w:tcPr>
            <w:tcW w:w="100" w:type="dxa"/>
            <w:vAlign w:val="bottom"/>
            <w:tcBorders>
              <w:top w:val="single" w:sz="8" w:color="0000FF"/>
            </w:tcBorders>
            <w:shd w:val="clear" w:color="auto" w:fill="CFF0FC"/>
          </w:tcPr>
          <w:p>
            <w:pPr>
              <w:spacing w:after="0"/>
              <w:rPr>
                <w:sz w:val="18"/>
                <w:szCs w:val="18"/>
                <w:color w:val="auto"/>
              </w:rPr>
            </w:pPr>
          </w:p>
        </w:tc>
        <w:tc>
          <w:tcPr>
            <w:tcW w:w="1180" w:type="dxa"/>
            <w:vAlign w:val="bottom"/>
            <w:tcBorders>
              <w:top w:val="single" w:sz="8" w:color="0000FF"/>
            </w:tcBorders>
            <w:shd w:val="clear" w:color="auto" w:fill="CFF0FC"/>
          </w:tcPr>
          <w:p>
            <w:pPr>
              <w:spacing w:after="0"/>
              <w:rPr>
                <w:sz w:val="18"/>
                <w:szCs w:val="18"/>
                <w:color w:val="auto"/>
              </w:rPr>
            </w:pPr>
          </w:p>
        </w:tc>
        <w:tc>
          <w:tcPr>
            <w:tcW w:w="320" w:type="dxa"/>
            <w:vAlign w:val="bottom"/>
            <w:tcBorders>
              <w:top w:val="single" w:sz="8" w:color="0000FF"/>
            </w:tcBorders>
            <w:shd w:val="clear" w:color="auto" w:fill="CFF0FC"/>
          </w:tcPr>
          <w:p>
            <w:pPr>
              <w:spacing w:after="0"/>
              <w:rPr>
                <w:sz w:val="18"/>
                <w:szCs w:val="18"/>
                <w:color w:val="auto"/>
              </w:rPr>
            </w:pPr>
          </w:p>
        </w:tc>
        <w:tc>
          <w:tcPr>
            <w:tcW w:w="3100" w:type="dxa"/>
            <w:vAlign w:val="bottom"/>
            <w:tcBorders>
              <w:top w:val="single" w:sz="8" w:color="0000FF"/>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101.SCH #</w:t>
            </w:r>
          </w:p>
        </w:tc>
        <w:tc>
          <w:tcPr>
            <w:tcW w:w="100" w:type="dxa"/>
            <w:vAlign w:val="bottom"/>
          </w:tcPr>
          <w:p>
            <w:pPr>
              <w:spacing w:after="0"/>
              <w:rPr>
                <w:sz w:val="18"/>
                <w:szCs w:val="18"/>
                <w:color w:val="auto"/>
              </w:rPr>
            </w:pPr>
          </w:p>
        </w:tc>
        <w:tc>
          <w:tcPr>
            <w:tcW w:w="978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101.CAL #</w:t>
            </w:r>
          </w:p>
        </w:tc>
        <w:tc>
          <w:tcPr>
            <w:tcW w:w="100" w:type="dxa"/>
            <w:vAlign w:val="bottom"/>
            <w:shd w:val="clear" w:color="auto" w:fill="CFF0FC"/>
          </w:tcPr>
          <w:p>
            <w:pPr>
              <w:spacing w:after="0"/>
              <w:rPr>
                <w:sz w:val="18"/>
                <w:szCs w:val="18"/>
                <w:color w:val="auto"/>
              </w:rPr>
            </w:pPr>
          </w:p>
        </w:tc>
        <w:tc>
          <w:tcPr>
            <w:tcW w:w="9780" w:type="dxa"/>
            <w:vAlign w:val="bottom"/>
            <w:gridSpan w:val="1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101.LAB #</w:t>
            </w:r>
          </w:p>
        </w:tc>
        <w:tc>
          <w:tcPr>
            <w:tcW w:w="100" w:type="dxa"/>
            <w:vAlign w:val="bottom"/>
          </w:tcPr>
          <w:p>
            <w:pPr>
              <w:spacing w:after="0"/>
              <w:rPr>
                <w:sz w:val="18"/>
                <w:szCs w:val="18"/>
                <w:color w:val="auto"/>
              </w:rPr>
            </w:pPr>
          </w:p>
        </w:tc>
        <w:tc>
          <w:tcPr>
            <w:tcW w:w="978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101.PRE #</w:t>
            </w:r>
          </w:p>
        </w:tc>
        <w:tc>
          <w:tcPr>
            <w:tcW w:w="100" w:type="dxa"/>
            <w:vAlign w:val="bottom"/>
            <w:shd w:val="clear" w:color="auto" w:fill="CFF0FC"/>
          </w:tcPr>
          <w:p>
            <w:pPr>
              <w:spacing w:after="0"/>
              <w:rPr>
                <w:sz w:val="18"/>
                <w:szCs w:val="18"/>
                <w:color w:val="auto"/>
              </w:rPr>
            </w:pPr>
          </w:p>
        </w:tc>
        <w:tc>
          <w:tcPr>
            <w:tcW w:w="9780" w:type="dxa"/>
            <w:vAlign w:val="bottom"/>
            <w:gridSpan w:val="1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101.DEF #</w:t>
            </w:r>
          </w:p>
        </w:tc>
        <w:tc>
          <w:tcPr>
            <w:tcW w:w="100" w:type="dxa"/>
            <w:vAlign w:val="bottom"/>
          </w:tcPr>
          <w:p>
            <w:pPr>
              <w:spacing w:after="0"/>
              <w:rPr>
                <w:sz w:val="20"/>
                <w:szCs w:val="20"/>
                <w:color w:val="auto"/>
              </w:rPr>
            </w:pPr>
          </w:p>
        </w:tc>
        <w:tc>
          <w:tcPr>
            <w:tcW w:w="978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171"/>
        </w:trPr>
        <w:tc>
          <w:tcPr>
            <w:tcW w:w="13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1360" w:type="dxa"/>
            <w:vAlign w:val="bottom"/>
            <w:gridSpan w:val="2"/>
            <w:shd w:val="clear" w:color="auto" w:fill="CFF0FC"/>
          </w:tcPr>
          <w:p>
            <w:pPr>
              <w:ind w:left="120"/>
              <w:spacing w:after="0" w:line="170" w:lineRule="exact"/>
              <w:rPr>
                <w:sz w:val="20"/>
                <w:szCs w:val="20"/>
                <w:color w:val="auto"/>
              </w:rPr>
            </w:pPr>
            <w:r>
              <w:rPr>
                <w:rFonts w:ascii="Times New Roman" w:cs="Times New Roman" w:eastAsia="Times New Roman" w:hAnsi="Times New Roman"/>
                <w:sz w:val="18"/>
                <w:szCs w:val="18"/>
                <w:color w:val="auto"/>
              </w:rPr>
              <w:t>104 #</w:t>
            </w:r>
          </w:p>
        </w:tc>
        <w:tc>
          <w:tcPr>
            <w:tcW w:w="100" w:type="dxa"/>
            <w:vAlign w:val="bottom"/>
            <w:shd w:val="clear" w:color="auto" w:fill="CFF0FC"/>
          </w:tcPr>
          <w:p>
            <w:pPr>
              <w:spacing w:after="0"/>
              <w:rPr>
                <w:sz w:val="14"/>
                <w:szCs w:val="14"/>
                <w:color w:val="auto"/>
              </w:rPr>
            </w:pPr>
          </w:p>
        </w:tc>
        <w:tc>
          <w:tcPr>
            <w:tcW w:w="9780" w:type="dxa"/>
            <w:vAlign w:val="bottom"/>
            <w:gridSpan w:val="14"/>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w:t>
            </w:r>
          </w:p>
        </w:tc>
      </w:tr>
      <w:tr>
        <w:trPr>
          <w:trHeight w:val="234"/>
        </w:trPr>
        <w:tc>
          <w:tcPr>
            <w:tcW w:w="4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9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1912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04" w:lineRule="exact"/>
        <w:rPr>
          <w:sz w:val="20"/>
          <w:szCs w:val="20"/>
          <w:color w:val="auto"/>
        </w:rPr>
      </w:pPr>
    </w:p>
    <w:p>
      <w:pPr>
        <w:ind w:left="140" w:hanging="132"/>
        <w:spacing w:after="0"/>
        <w:tabs>
          <w:tab w:leader="none" w:pos="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117" w:lineRule="exact"/>
        <w:rPr>
          <w:rFonts w:ascii="Times New Roman" w:cs="Times New Roman" w:eastAsia="Times New Roman" w:hAnsi="Times New Roman"/>
          <w:sz w:val="18"/>
          <w:szCs w:val="18"/>
          <w:color w:val="auto"/>
        </w:rPr>
      </w:pPr>
    </w:p>
    <w:p>
      <w:pPr>
        <w:ind w:left="160" w:right="100" w:hanging="15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accordance with Item 601(b)(2)(ii) of Regulation S-K, certain information (indicated by “[**]”) has been excluded from this exhibit because it is both not material and would likely cause competitive harm to the Company if publicly disclosed.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3" w:name="page44"/>
    <w:bookmarkEnd w:id="43"/>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ALKERMES PLC</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tbl>
      <w:tblPr>
        <w:tblLayout w:type="fixed"/>
        <w:tblInd w:w="34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 Richard F. Pops</w:t>
            </w:r>
          </w:p>
        </w:tc>
      </w:tr>
      <w:tr>
        <w:trPr>
          <w:trHeight w:val="191"/>
        </w:trPr>
        <w:tc>
          <w:tcPr>
            <w:tcW w:w="440" w:type="dxa"/>
            <w:vAlign w:val="bottom"/>
          </w:tcPr>
          <w:p>
            <w:pPr>
              <w:spacing w:after="0"/>
              <w:rPr>
                <w:sz w:val="16"/>
                <w:szCs w:val="16"/>
                <w:color w:val="auto"/>
              </w:rPr>
            </w:pPr>
          </w:p>
        </w:tc>
        <w:tc>
          <w:tcPr>
            <w:tcW w:w="492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Richard F. Pops</w:t>
            </w:r>
          </w:p>
        </w:tc>
      </w:tr>
      <w:tr>
        <w:trPr>
          <w:trHeight w:val="216"/>
        </w:trPr>
        <w:tc>
          <w:tcPr>
            <w:tcW w:w="44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40" w:type="dxa"/>
            <w:vAlign w:val="bottom"/>
          </w:tcPr>
          <w:p>
            <w:pPr>
              <w:spacing w:after="0"/>
              <w:rPr>
                <w:sz w:val="20"/>
                <w:szCs w:val="20"/>
                <w:color w:val="auto"/>
              </w:rPr>
            </w:pPr>
          </w:p>
        </w:tc>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 Iain M. Brown</w:t>
            </w:r>
          </w:p>
        </w:tc>
      </w:tr>
      <w:tr>
        <w:trPr>
          <w:trHeight w:val="191"/>
        </w:trPr>
        <w:tc>
          <w:tcPr>
            <w:tcW w:w="440" w:type="dxa"/>
            <w:vAlign w:val="bottom"/>
          </w:tcPr>
          <w:p>
            <w:pPr>
              <w:spacing w:after="0"/>
              <w:rPr>
                <w:sz w:val="16"/>
                <w:szCs w:val="16"/>
                <w:color w:val="auto"/>
              </w:rPr>
            </w:pPr>
          </w:p>
        </w:tc>
        <w:tc>
          <w:tcPr>
            <w:tcW w:w="492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Iain M. Brown</w:t>
            </w:r>
          </w:p>
        </w:tc>
      </w:tr>
      <w:tr>
        <w:trPr>
          <w:trHeight w:val="216"/>
        </w:trPr>
        <w:tc>
          <w:tcPr>
            <w:tcW w:w="44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4"/>
        </w:trPr>
        <w:tc>
          <w:tcPr>
            <w:tcW w:w="440" w:type="dxa"/>
            <w:vAlign w:val="bottom"/>
          </w:tcPr>
          <w:p>
            <w:pPr>
              <w:spacing w:after="0"/>
              <w:rPr>
                <w:sz w:val="20"/>
                <w:szCs w:val="20"/>
                <w:color w:val="auto"/>
              </w:rPr>
            </w:pPr>
          </w:p>
        </w:tc>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19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Date: November 2, 2022</w:t>
      </w: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320" w:right="919" w:bottom="1440" w:gutter="0" w:footer="0" w:header="0"/>
        </w:sectPr>
      </w:pPr>
    </w:p>
    <w:bookmarkStart w:id="44" w:name="page45"/>
    <w:bookmarkEnd w:id="44"/>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19" w:lineRule="exact"/>
        <w:rPr>
          <w:sz w:val="20"/>
          <w:szCs w:val="20"/>
          <w:color w:val="auto"/>
        </w:rPr>
      </w:pPr>
    </w:p>
    <w:p>
      <w:pPr>
        <w:ind w:left="700" w:right="320" w:hanging="427"/>
        <w:spacing w:after="0" w:line="285" w:lineRule="auto"/>
        <w:rPr>
          <w:sz w:val="20"/>
          <w:szCs w:val="20"/>
          <w:color w:val="auto"/>
        </w:rPr>
      </w:pPr>
      <w:r>
        <w:rPr>
          <w:rFonts w:ascii="Times New Roman" w:cs="Times New Roman" w:eastAsia="Times New Roman" w:hAnsi="Times New Roman"/>
          <w:sz w:val="19"/>
          <w:szCs w:val="19"/>
          <w:b w:val="1"/>
          <w:bCs w:val="1"/>
          <w:color w:val="auto"/>
        </w:rPr>
        <w:t>In accordance with Item 601(b)(2)(ii) of Regulation S-K, certain information (indicated by “[**]”) has been excluded from this exhibit because it is both not material and would likely cause competitive harm to the registrant if publicly disclosed.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FOURTH AMENDMENT TO LICENSE AND COLLABORATION AGREEMENT</w:t>
      </w:r>
    </w:p>
    <w:p>
      <w:pPr>
        <w:spacing w:after="0" w:line="202" w:lineRule="exact"/>
        <w:rPr>
          <w:sz w:val="20"/>
          <w:szCs w:val="20"/>
          <w:color w:val="auto"/>
        </w:rPr>
      </w:pPr>
    </w:p>
    <w:p>
      <w:pPr>
        <w:ind w:right="380" w:firstLine="562"/>
        <w:spacing w:after="0" w:line="266" w:lineRule="auto"/>
        <w:rPr>
          <w:sz w:val="20"/>
          <w:szCs w:val="20"/>
          <w:color w:val="auto"/>
        </w:rPr>
      </w:pPr>
      <w:r>
        <w:rPr>
          <w:rFonts w:ascii="Times New Roman" w:cs="Times New Roman" w:eastAsia="Times New Roman" w:hAnsi="Times New Roman"/>
          <w:sz w:val="19"/>
          <w:szCs w:val="19"/>
          <w:color w:val="auto"/>
        </w:rPr>
        <w:t>THIS FOURTH AMENDMENT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is made and entered into as of August 25, 2022 (the “</w:t>
      </w:r>
      <w:r>
        <w:rPr>
          <w:rFonts w:ascii="Times New Roman" w:cs="Times New Roman" w:eastAsia="Times New Roman" w:hAnsi="Times New Roman"/>
          <w:sz w:val="19"/>
          <w:szCs w:val="19"/>
          <w:u w:val="single" w:color="auto"/>
          <w:color w:val="auto"/>
        </w:rPr>
        <w:t>Amendment Effective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 to amend that certain License and Collaboration Agreement dated November 27, 2017, as amended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by and between ALKERMES PHARMA IRELAND LIMITED (“</w:t>
      </w:r>
      <w:r>
        <w:rPr>
          <w:rFonts w:ascii="Times New Roman" w:cs="Times New Roman" w:eastAsia="Times New Roman" w:hAnsi="Times New Roman"/>
          <w:sz w:val="19"/>
          <w:szCs w:val="19"/>
          <w:u w:val="single" w:color="auto"/>
          <w:color w:val="auto"/>
        </w:rPr>
        <w:t>Alkermes</w:t>
      </w:r>
      <w:r>
        <w:rPr>
          <w:rFonts w:ascii="Times New Roman" w:cs="Times New Roman" w:eastAsia="Times New Roman" w:hAnsi="Times New Roman"/>
          <w:sz w:val="19"/>
          <w:szCs w:val="19"/>
          <w:color w:val="auto"/>
        </w:rPr>
        <w:t>”) and BIOGEN SWISS MANUFACTURING GMBH (“</w:t>
      </w:r>
      <w:r>
        <w:rPr>
          <w:rFonts w:ascii="Times New Roman" w:cs="Times New Roman" w:eastAsia="Times New Roman" w:hAnsi="Times New Roman"/>
          <w:sz w:val="19"/>
          <w:szCs w:val="19"/>
          <w:u w:val="single" w:color="auto"/>
          <w:color w:val="auto"/>
        </w:rPr>
        <w:t>Biogen</w:t>
      </w:r>
      <w:r>
        <w:rPr>
          <w:rFonts w:ascii="Times New Roman" w:cs="Times New Roman" w:eastAsia="Times New Roman" w:hAnsi="Times New Roman"/>
          <w:sz w:val="19"/>
          <w:szCs w:val="19"/>
          <w:color w:val="auto"/>
        </w:rPr>
        <w:t>”). Unless noted otherwise, capitalized terms used but not defined herein shall have the meanings set forth in the Agreement.</w:t>
      </w:r>
    </w:p>
    <w:p>
      <w:pPr>
        <w:spacing w:after="0" w:line="1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RECITALS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Alkermes and Biogen have entered into the Agreement;</w:t>
      </w:r>
    </w:p>
    <w:p>
      <w:pPr>
        <w:spacing w:after="0" w:line="18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20"/>
          <w:szCs w:val="20"/>
          <w:color w:val="auto"/>
        </w:rPr>
        <w:t>WHEREAS, Alkermes and Biogen now wish to amend the Agreement to add, among other things, detail in respect of an additional royalty payment to be paid to Alkermes on certain Commercial Supplies of the Alkermes 8700 Product;</w:t>
      </w:r>
    </w:p>
    <w:p>
      <w:pPr>
        <w:spacing w:after="0" w:line="146"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20"/>
          <w:szCs w:val="20"/>
          <w:color w:val="auto"/>
        </w:rPr>
        <w:t>NOW, THEREFORE, in consideration of the mutual promises contained herein and other good and valuable consideration, the receipt and sufficiency of which is hereby acknowledged, the Parties agree as follows:</w:t>
      </w:r>
    </w:p>
    <w:p>
      <w:pPr>
        <w:spacing w:after="0" w:line="159"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1.1 of the Agreement is hereby amended to add the following new defined terms:</w:t>
      </w:r>
    </w:p>
    <w:p>
      <w:pPr>
        <w:spacing w:after="0" w:line="184" w:lineRule="exact"/>
        <w:rPr>
          <w:rFonts w:ascii="Times New Roman" w:cs="Times New Roman" w:eastAsia="Times New Roman" w:hAnsi="Times New Roman"/>
          <w:sz w:val="20"/>
          <w:szCs w:val="20"/>
          <w:color w:val="auto"/>
        </w:rPr>
      </w:pPr>
    </w:p>
    <w:p>
      <w:pPr>
        <w:jc w:val="both"/>
        <w:ind w:left="76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Bulk Form Only Product</w:t>
      </w:r>
      <w:r>
        <w:rPr>
          <w:rFonts w:ascii="Times New Roman" w:cs="Times New Roman" w:eastAsia="Times New Roman" w:hAnsi="Times New Roman"/>
          <w:sz w:val="20"/>
          <w:szCs w:val="20"/>
          <w:color w:val="auto"/>
        </w:rPr>
        <w:t>” shall mean Alkermes 8700 Product Commercial Supplies (as that term is defined in the Commercial Supply Agreement) to be Delivered (as that term is defined in the Commercial Supply Agreement) in Bulk Form (as that term is defined in the Commercial Supply Agreement) and for which finished form to be derived therefrom is to be Manufactured (including Packaged) by Biogen or a Third Party in lieu of Alkermes.</w:t>
      </w:r>
    </w:p>
    <w:p>
      <w:pPr>
        <w:spacing w:after="0" w:line="176" w:lineRule="exact"/>
        <w:rPr>
          <w:sz w:val="20"/>
          <w:szCs w:val="20"/>
          <w:color w:val="auto"/>
        </w:rPr>
      </w:pPr>
    </w:p>
    <w:p>
      <w:pPr>
        <w:ind w:left="760" w:firstLine="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Packaging</w:t>
      </w:r>
      <w:r>
        <w:rPr>
          <w:rFonts w:ascii="Times New Roman" w:cs="Times New Roman" w:eastAsia="Times New Roman" w:hAnsi="Times New Roman"/>
          <w:sz w:val="20"/>
          <w:szCs w:val="20"/>
          <w:color w:val="auto"/>
        </w:rPr>
        <w:t>” (and its cognate expressions) shall mean the filling into bottles, labelling, packaging and/or finishing of Commercial Supplies of Alkermes 8700 Product.</w:t>
      </w:r>
    </w:p>
    <w:p>
      <w:pPr>
        <w:spacing w:after="0" w:line="138" w:lineRule="exact"/>
        <w:rPr>
          <w:sz w:val="20"/>
          <w:szCs w:val="20"/>
          <w:color w:val="auto"/>
        </w:rPr>
      </w:pPr>
    </w:p>
    <w:p>
      <w:pPr>
        <w:jc w:val="both"/>
        <w:ind w:left="760" w:right="340"/>
        <w:spacing w:after="0" w:line="256" w:lineRule="auto"/>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Annual Net Selling Price</w:t>
      </w:r>
      <w:r>
        <w:rPr>
          <w:rFonts w:ascii="Times New Roman" w:cs="Times New Roman" w:eastAsia="Times New Roman" w:hAnsi="Times New Roman"/>
          <w:sz w:val="20"/>
          <w:szCs w:val="20"/>
          <w:color w:val="auto"/>
        </w:rPr>
        <w:t xml:space="preserve">” or “[**] </w:t>
      </w:r>
      <w:r>
        <w:rPr>
          <w:rFonts w:ascii="Times New Roman" w:cs="Times New Roman" w:eastAsia="Times New Roman" w:hAnsi="Times New Roman"/>
          <w:sz w:val="20"/>
          <w:szCs w:val="20"/>
          <w:b w:val="1"/>
          <w:bCs w:val="1"/>
          <w:i w:val="1"/>
          <w:iCs w:val="1"/>
          <w:color w:val="auto"/>
        </w:rPr>
        <w:t>ANSP</w:t>
      </w:r>
      <w:r>
        <w:rPr>
          <w:rFonts w:ascii="Times New Roman" w:cs="Times New Roman" w:eastAsia="Times New Roman" w:hAnsi="Times New Roman"/>
          <w:sz w:val="20"/>
          <w:szCs w:val="20"/>
          <w:color w:val="auto"/>
        </w:rPr>
        <w:t>” means the [**] net selling price (in U.S. Dollars) per capsule of the Alkermes 8700 Product as calculated on a Calendar Year basis based on [**] Alkermes 8700 Product sold [**] during such Calendar Year, excluding any samples or other forms of Alkermes 8700 Product that are provided free of charge. [**].</w:t>
      </w:r>
    </w:p>
    <w:p>
      <w:pPr>
        <w:spacing w:after="0" w:line="132"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5.1.2 of the Agreement is hereby deleted in its entirety and replaced with the following text:</w:t>
      </w:r>
    </w:p>
    <w:p>
      <w:pPr>
        <w:spacing w:after="0" w:line="171" w:lineRule="exact"/>
        <w:rPr>
          <w:rFonts w:ascii="Times New Roman" w:cs="Times New Roman" w:eastAsia="Times New Roman" w:hAnsi="Times New Roman"/>
          <w:sz w:val="20"/>
          <w:szCs w:val="20"/>
          <w:color w:val="auto"/>
        </w:rPr>
      </w:pPr>
    </w:p>
    <w:p>
      <w:pPr>
        <w:ind w:left="760" w:right="40"/>
        <w:spacing w:after="0" w:line="257"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u w:val="single" w:color="auto"/>
          <w:color w:val="auto"/>
        </w:rPr>
        <w:t>5.1.2 Commercial Supplies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Pursuant to this Agreement, Biogen has the right to Manufacture or have Manufactured Commercial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Supplies. Biogen has considered in good faith, and hereby appoints, Alkermes as the toll manufacturer for such Commercial Supplies for Commercialization in the Territory at a site outside of the United States, and Biogen and its Affiliates and Sublicensees will purchase Commercial Supplies exclusively from Alkermes;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(A) with respect to the Alkermes 8700 Product only and subject to the Manufacturing transition plan referenced in this Section 5.1.2, Biogen’s appointment of Alkermes as toll manufacturer, Alkermes’ obligation to Manufacture, and the obligations of Biogen and its Affiliates and Sublicensees to purchase Clinical Supplies and Commercial Supplies exclusively from Alkermes will each expire on the Exclusive Manufacturing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ind w:left="380" w:right="340"/>
        <w:spacing w:after="0" w:line="263" w:lineRule="auto"/>
        <w:rPr>
          <w:sz w:val="20"/>
          <w:szCs w:val="20"/>
          <w:color w:val="auto"/>
        </w:rPr>
      </w:pPr>
      <w:r>
        <w:rPr>
          <w:rFonts w:ascii="Times New Roman" w:cs="Times New Roman" w:eastAsia="Times New Roman" w:hAnsi="Times New Roman"/>
          <w:sz w:val="19"/>
          <w:szCs w:val="19"/>
          <w:color w:val="auto"/>
        </w:rPr>
        <w:t>Date, (B) with respect to Bulk Form Only Product, Biogen shall have the right to Manufacture or engage a Third Party to Manufacture the finished form to be derived from such Bulk Form; and (C) for Products other than the Alkermes 8700 Product, Biogen may qualify to Manufacture, or engage and qualify a Third Party to Manufacture, Commercial Supplies as a back-up manufacturer so long as such Third Party Manufacturer does not Manufacture more than [**] percent ([**]%) of Commercial Supplies in the aggregate in any Calendar Year, except in the event of a Force Majeure Delay or a Serious Failure to Supply.</w:t>
      </w:r>
    </w:p>
    <w:p>
      <w:pPr>
        <w:spacing w:after="0" w:line="126" w:lineRule="exact"/>
        <w:rPr>
          <w:sz w:val="20"/>
          <w:szCs w:val="20"/>
          <w:color w:val="auto"/>
        </w:rPr>
      </w:pPr>
    </w:p>
    <w:p>
      <w:pPr>
        <w:ind w:left="380" w:right="120"/>
        <w:spacing w:after="0" w:line="242" w:lineRule="auto"/>
        <w:rPr>
          <w:sz w:val="20"/>
          <w:szCs w:val="20"/>
          <w:color w:val="auto"/>
        </w:rPr>
      </w:pPr>
      <w:r>
        <w:rPr>
          <w:rFonts w:ascii="Times New Roman" w:cs="Times New Roman" w:eastAsia="Times New Roman" w:hAnsi="Times New Roman"/>
          <w:sz w:val="20"/>
          <w:szCs w:val="20"/>
          <w:color w:val="auto"/>
        </w:rPr>
        <w:t>Upon Biogen’s written request, Alkermes and Biogen shall work in good faith to (a) enter into a technology transfer plan pursuant to which Alkermes will undertake a Technology Transfer in accordance with Section 3.2.3(iv) of the Agreement, including the reimbursement provisions therein, as promptly as reasonably practicable and, in any event, to be completed no later than [**] after Biogen’s written request to transition manufacturing and enter into a technology transfer plan, and (b) enter into a Manufacturing transition plan ([**]) to ensure the orderly transition after the Exclusive Manufacturing End Date to Biogen or its designee of Manufacturing responsibility for Clinical Supplies and Commercial Supplies of the Alkermes 8700 Product in an effort to prevent any interruption in the supply of such product.</w:t>
      </w:r>
    </w:p>
    <w:p>
      <w:pPr>
        <w:spacing w:after="0" w:line="145" w:lineRule="exact"/>
        <w:rPr>
          <w:sz w:val="20"/>
          <w:szCs w:val="20"/>
          <w:color w:val="auto"/>
        </w:rPr>
      </w:pPr>
    </w:p>
    <w:p>
      <w:pPr>
        <w:ind w:left="380"/>
        <w:spacing w:after="0" w:line="241" w:lineRule="auto"/>
        <w:rPr>
          <w:sz w:val="20"/>
          <w:szCs w:val="20"/>
          <w:color w:val="auto"/>
        </w:rPr>
      </w:pPr>
      <w:r>
        <w:rPr>
          <w:rFonts w:ascii="Times New Roman" w:cs="Times New Roman" w:eastAsia="Times New Roman" w:hAnsi="Times New Roman"/>
          <w:sz w:val="20"/>
          <w:szCs w:val="20"/>
          <w:color w:val="auto"/>
        </w:rPr>
        <w:t>Notwithstanding anything to the contrary set forth in this Section 5.1.2, if (i) Alkermes foregoes its exclusive right to Manufacture or have Manufactured Commercial Supplies, (ii) Alkermes undergoes a Change of Control in which the acquirer is a competitor of Biogen set forth on Schedule 5.1 or a Third Party toll manufacturer that Manufactures a competing fumarate product or (iii) there is a Serious Failure to Supply, then in any case ((i)-(iii)), (a) Biogen and its Affiliates and Sublicensees will have no further obligation to exclusively purchase Commercial Supplies from Alkermes, (b) Biogen will have the exclusive right to Manufacture or have Manufactured Commercial Supplies and (c) Alkermes will promptly conduct a transfer (to the extent not already conducted pursuant to any Technology Transfer) of all necessary Manufacturing technology to Biogen or its designee to enable Biogen or such designee to Manufacture Commercial Supplies. In addition, in the event of a Force Majeure Delay (and for the duration thereof), until such time as Alkermes is able to resume sufficient Manufacturing to meet Biogen’s demand for Commercial Supplies, Biogen may Manufacture itself or have Manufactured by its back-up manufacturer, all Commercial Supplies for so long as Alkermes is unable to meet Biogen’s demand.</w:t>
      </w:r>
    </w:p>
    <w:p>
      <w:pPr>
        <w:spacing w:after="0" w:line="187" w:lineRule="exact"/>
        <w:rPr>
          <w:sz w:val="20"/>
          <w:szCs w:val="20"/>
          <w:color w:val="auto"/>
        </w:rPr>
      </w:pPr>
    </w:p>
    <w:p>
      <w:pPr>
        <w:ind w:left="380" w:hanging="378"/>
        <w:spacing w:after="0"/>
        <w:tabs>
          <w:tab w:leader="none" w:pos="3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new Section 9.5.1(i)(C) of the Agreement is hereby added with the following text:</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(C) Additional Royalty Percentage for Bulk Form Only Product.</w:t>
      </w:r>
    </w:p>
    <w:p>
      <w:pPr>
        <w:spacing w:after="0" w:line="179" w:lineRule="exact"/>
        <w:rPr>
          <w:sz w:val="20"/>
          <w:szCs w:val="20"/>
          <w:color w:val="auto"/>
        </w:rPr>
      </w:pPr>
    </w:p>
    <w:p>
      <w:pPr>
        <w:ind w:left="380" w:right="40" w:hanging="3"/>
        <w:spacing w:after="0" w:line="242" w:lineRule="auto"/>
        <w:tabs>
          <w:tab w:leader="none" w:pos="627"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further consideration for the performance of Alkermes’ obligations under this Agreement and under the Commercial Supply Agreement, Biogen will pay to Alkermes, in addition to the royalties otherwise owing pursuant to this Section 9.5, an additional royalty payment on each Batch (as that term is defined in the Commercial Supply Agreement) of Bulk Form Only Product supplied during a given Calendar Year at the rate of [**] percent ([**]%) of the [**] ANSP, multiplied by the number of capsules yielded from such Batch of Bulk Form Only Product (the “</w:t>
      </w:r>
      <w:r>
        <w:rPr>
          <w:rFonts w:ascii="Times New Roman" w:cs="Times New Roman" w:eastAsia="Times New Roman" w:hAnsi="Times New Roman"/>
          <w:sz w:val="20"/>
          <w:szCs w:val="20"/>
          <w:b w:val="1"/>
          <w:bCs w:val="1"/>
          <w:i w:val="1"/>
          <w:iCs w:val="1"/>
          <w:color w:val="auto"/>
        </w:rPr>
        <w:t>Bulk Form Only Product Additional Royalty</w:t>
      </w:r>
      <w:r>
        <w:rPr>
          <w:rFonts w:ascii="Times New Roman" w:cs="Times New Roman" w:eastAsia="Times New Roman" w:hAnsi="Times New Roman"/>
          <w:sz w:val="20"/>
          <w:szCs w:val="20"/>
          <w:color w:val="auto"/>
        </w:rPr>
        <w:t>”), subject to the exclusions set forth in (II) below and in accordance with the payment schedule set forth in (III) below.</w:t>
      </w:r>
    </w:p>
    <w:p>
      <w:pPr>
        <w:spacing w:after="0" w:line="161" w:lineRule="exact"/>
        <w:rPr>
          <w:sz w:val="20"/>
          <w:szCs w:val="20"/>
          <w:color w:val="auto"/>
        </w:rPr>
      </w:pPr>
    </w:p>
    <w:p>
      <w:pPr>
        <w:ind w:left="380" w:right="500" w:hanging="3"/>
        <w:spacing w:after="0" w:line="255" w:lineRule="auto"/>
        <w:tabs>
          <w:tab w:leader="none" w:pos="69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subsection (I) above, the Bulk Form Only Product Additional Royalty shall not apply to and shall not be payable for any Batch of Bulk Form Only Product Packaged by Biogen or its designee due to either:</w:t>
      </w:r>
    </w:p>
    <w:p>
      <w:pPr>
        <w:spacing w:after="0" w:line="348" w:lineRule="exact"/>
        <w:rPr>
          <w:sz w:val="20"/>
          <w:szCs w:val="20"/>
          <w:color w:val="auto"/>
        </w:rPr>
      </w:pPr>
    </w:p>
    <w:p>
      <w:pPr>
        <w:ind w:left="940" w:right="200" w:hanging="2"/>
        <w:spacing w:after="0" w:line="269" w:lineRule="auto"/>
        <w:tabs>
          <w:tab w:leader="none" w:pos="114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Batch being in excess of the agreed threshold number of Bulk Form Batches ([**]) to be Packaged by Alkermes in each Calendar Year (the “</w:t>
      </w:r>
      <w:r>
        <w:rPr>
          <w:rFonts w:ascii="Times New Roman" w:cs="Times New Roman" w:eastAsia="Times New Roman" w:hAnsi="Times New Roman"/>
          <w:sz w:val="20"/>
          <w:szCs w:val="20"/>
          <w:b w:val="1"/>
          <w:bCs w:val="1"/>
          <w:i w:val="1"/>
          <w:iCs w:val="1"/>
          <w:color w:val="auto"/>
        </w:rPr>
        <w:t>Agreed Packaging Core Capacity</w:t>
      </w:r>
      <w:r>
        <w:rPr>
          <w:rFonts w:ascii="Times New Roman" w:cs="Times New Roman" w:eastAsia="Times New Roman" w:hAnsi="Times New Roman"/>
          <w:sz w:val="20"/>
          <w:szCs w:val="20"/>
          <w:color w:val="auto"/>
        </w:rPr>
        <w:t>”); or</w:t>
      </w:r>
    </w:p>
    <w:p>
      <w:pPr>
        <w:spacing w:after="0" w:line="12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00" w:top="319" w:right="379" w:bottom="1440" w:gutter="0" w:footer="0" w:header="0"/>
        </w:sectPr>
      </w:pPr>
    </w:p>
    <w:bookmarkStart w:id="46" w:name="page47"/>
    <w:bookmarkEnd w:id="46"/>
    <w:p>
      <w:pPr>
        <w:ind w:left="940" w:right="60" w:hanging="2"/>
        <w:spacing w:after="0" w:line="242" w:lineRule="auto"/>
        <w:tabs>
          <w:tab w:leader="none" w:pos="1154"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packaging line at the Alkermes Facility (as that term is defined in the Commercial Supply Agreement) not being functional for [**] (excluding any scheduled shutdown) (such [**] period, a “</w:t>
      </w:r>
      <w:r>
        <w:rPr>
          <w:rFonts w:ascii="Times New Roman" w:cs="Times New Roman" w:eastAsia="Times New Roman" w:hAnsi="Times New Roman"/>
          <w:sz w:val="20"/>
          <w:szCs w:val="20"/>
          <w:b w:val="1"/>
          <w:bCs w:val="1"/>
          <w:i w:val="1"/>
          <w:iCs w:val="1"/>
          <w:color w:val="auto"/>
        </w:rPr>
        <w:t>Prolonged Shutdown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that the only</w:t>
      </w:r>
      <w:r>
        <w:rPr>
          <w:rFonts w:ascii="Times New Roman" w:cs="Times New Roman" w:eastAsia="Times New Roman" w:hAnsi="Times New Roman"/>
          <w:sz w:val="20"/>
          <w:szCs w:val="20"/>
          <w:color w:val="auto"/>
        </w:rPr>
        <w:t xml:space="preserve"> Batches subject to this exclusion are those Batches scheduled to be Packaged by Alkermes during the time period commencing </w:t>
      </w:r>
      <w:r>
        <w:rPr>
          <w:rFonts w:ascii="Times New Roman" w:cs="Times New Roman" w:eastAsia="Times New Roman" w:hAnsi="Times New Roman"/>
          <w:sz w:val="20"/>
          <w:szCs w:val="20"/>
          <w:i w:val="1"/>
          <w:iCs w:val="1"/>
          <w:color w:val="auto"/>
        </w:rPr>
        <w:t>after</w:t>
      </w:r>
      <w:r>
        <w:rPr>
          <w:rFonts w:ascii="Times New Roman" w:cs="Times New Roman" w:eastAsia="Times New Roman" w:hAnsi="Times New Roman"/>
          <w:sz w:val="20"/>
          <w:szCs w:val="20"/>
          <w:color w:val="auto"/>
        </w:rPr>
        <w:t xml:space="preserve"> such Prolonged Shutdown and continuing until such time as Alkermes deems its packaging line to be functional again. For clarity, any Batch diverted after a Prolonged Shutdown as set forth in this subsection (II)(b) shall nevertheless be deemed to have been Packaged by Alkermes for purposes of determining whether that Batch or any future Batch is within or in excess of the Agreed Packaging Core Capacity.</w:t>
      </w:r>
    </w:p>
    <w:p>
      <w:pPr>
        <w:spacing w:after="0" w:line="158" w:lineRule="exact"/>
        <w:rPr>
          <w:rFonts w:ascii="Times New Roman" w:cs="Times New Roman" w:eastAsia="Times New Roman" w:hAnsi="Times New Roman"/>
          <w:sz w:val="20"/>
          <w:szCs w:val="20"/>
          <w:color w:val="auto"/>
        </w:rPr>
      </w:pPr>
    </w:p>
    <w:p>
      <w:pPr>
        <w:ind w:left="380" w:right="480" w:hanging="3"/>
        <w:spacing w:after="0" w:line="255" w:lineRule="auto"/>
        <w:tabs>
          <w:tab w:leader="none" w:pos="808"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Bulk Form Only Product Additional Royalty shall be payable on an annual basis at the end of each Calendar Year as follows:</w:t>
      </w:r>
    </w:p>
    <w:p>
      <w:pPr>
        <w:spacing w:after="0" w:line="145" w:lineRule="exact"/>
        <w:rPr>
          <w:rFonts w:ascii="Times New Roman" w:cs="Times New Roman" w:eastAsia="Times New Roman" w:hAnsi="Times New Roman"/>
          <w:sz w:val="20"/>
          <w:szCs w:val="20"/>
          <w:color w:val="auto"/>
        </w:rPr>
      </w:pPr>
    </w:p>
    <w:p>
      <w:pPr>
        <w:ind w:left="380" w:right="20" w:firstLine="745"/>
        <w:spacing w:after="0" w:line="239" w:lineRule="auto"/>
        <w:tabs>
          <w:tab w:leader="none" w:pos="1398" w:val="left"/>
        </w:tabs>
        <w:numPr>
          <w:ilvl w:val="3"/>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end of each Calendar Year, a calculation will be performed to determine the number of Batches of Bulk Form Only Product supplied during such Calendar Year for which the Bulk Form Only Product Additional Royalty is payable (such number, the “</w:t>
      </w:r>
      <w:r>
        <w:rPr>
          <w:rFonts w:ascii="Times New Roman" w:cs="Times New Roman" w:eastAsia="Times New Roman" w:hAnsi="Times New Roman"/>
          <w:sz w:val="20"/>
          <w:szCs w:val="20"/>
          <w:b w:val="1"/>
          <w:bCs w:val="1"/>
          <w:color w:val="auto"/>
        </w:rPr>
        <w:t>Number of Additional Royalty Batches</w:t>
      </w:r>
      <w:r>
        <w:rPr>
          <w:rFonts w:ascii="Times New Roman" w:cs="Times New Roman" w:eastAsia="Times New Roman" w:hAnsi="Times New Roman"/>
          <w:sz w:val="20"/>
          <w:szCs w:val="20"/>
          <w:color w:val="auto"/>
        </w:rPr>
        <w:t>”). The Bulk Form Only Product Additional Royalty payable for such Calendar Year will be calculated in respect of the first Batches of Bulk Form Only Product supplied to Biogen during such Calendar Year up to the number of Batches equal to the Number of Additional Royalty Batches (such Batches, the “</w:t>
      </w:r>
      <w:r>
        <w:rPr>
          <w:rFonts w:ascii="Times New Roman" w:cs="Times New Roman" w:eastAsia="Times New Roman" w:hAnsi="Times New Roman"/>
          <w:sz w:val="20"/>
          <w:szCs w:val="20"/>
          <w:b w:val="1"/>
          <w:bCs w:val="1"/>
          <w:color w:val="auto"/>
        </w:rPr>
        <w:t>Additional Royalty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Batches</w:t>
      </w:r>
      <w:r>
        <w:rPr>
          <w:rFonts w:ascii="Times New Roman" w:cs="Times New Roman" w:eastAsia="Times New Roman" w:hAnsi="Times New Roman"/>
          <w:sz w:val="20"/>
          <w:szCs w:val="20"/>
          <w:color w:val="auto"/>
        </w:rPr>
        <w:t>”). For example, if it is determined that the Number of Additional Royalty Batches for a given Calendar Year is three, then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first three Batches of Bulk Form Only Product supplied during such Calendar Year shall be deemed the Additional Royalty Batches and all calculations and assessments relating to the Bulk Form Only Product Additional Royalty (e.g., number of capsules yielded, whether or not such Batch was Packaged, etc.) shall be determined based on those first specific three Batches.</w:t>
      </w:r>
    </w:p>
    <w:p>
      <w:pPr>
        <w:spacing w:after="0" w:line="152" w:lineRule="exact"/>
        <w:rPr>
          <w:rFonts w:ascii="Times New Roman" w:cs="Times New Roman" w:eastAsia="Times New Roman" w:hAnsi="Times New Roman"/>
          <w:sz w:val="20"/>
          <w:szCs w:val="20"/>
          <w:color w:val="auto"/>
        </w:rPr>
      </w:pPr>
    </w:p>
    <w:p>
      <w:pPr>
        <w:ind w:left="380" w:right="220" w:firstLine="745"/>
        <w:spacing w:after="0" w:line="244" w:lineRule="auto"/>
        <w:tabs>
          <w:tab w:leader="none" w:pos="1458" w:val="left"/>
        </w:tabs>
        <w:numPr>
          <w:ilvl w:val="3"/>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Additional Royalty Batch that is Packaged by Biogen or its designee (whether in whole or in part) in the same Calendar Year in which it is supplied by Alkermes to Biogen (regardless of the final use of such Additional Royalty Batch, whether for samples or otherwise), the Bulk Form Only Product Additional Royalty shall become payable in the Calendar Year in which such Additional Royalty Batch was supplied. For each Additional Royalty Batch that is not Packaged by Biogen or its designee in the same Calendar Year in which it is supplied by Alkermes, the Bulk Form Only Product Additional Royalty shall become payable in the Calendar Year immediately following the Calendar Year in which such Additional Royalty Batch was supplied, regardless of whether or when it is ultimately Packaged by Biogen or its designee.</w:t>
      </w:r>
    </w:p>
    <w:p>
      <w:pPr>
        <w:spacing w:after="0" w:line="172" w:lineRule="exact"/>
        <w:rPr>
          <w:rFonts w:ascii="Times New Roman" w:cs="Times New Roman" w:eastAsia="Times New Roman" w:hAnsi="Times New Roman"/>
          <w:sz w:val="20"/>
          <w:szCs w:val="20"/>
          <w:color w:val="auto"/>
        </w:rPr>
      </w:pPr>
    </w:p>
    <w:p>
      <w:pPr>
        <w:ind w:left="380" w:hanging="378"/>
        <w:spacing w:after="0"/>
        <w:tabs>
          <w:tab w:leader="none" w:pos="3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9.5.5 of the Agreement is hereby deleted in its entirety and replaced with the following text:</w:t>
      </w:r>
    </w:p>
    <w:p>
      <w:pPr>
        <w:spacing w:after="0" w:line="171" w:lineRule="exact"/>
        <w:rPr>
          <w:rFonts w:ascii="Times New Roman" w:cs="Times New Roman" w:eastAsia="Times New Roman" w:hAnsi="Times New Roman"/>
          <w:sz w:val="20"/>
          <w:szCs w:val="20"/>
          <w:color w:val="auto"/>
        </w:rPr>
      </w:pPr>
    </w:p>
    <w:p>
      <w:pPr>
        <w:ind w:left="38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9.5.5. No Valid Claim</w:t>
      </w:r>
      <w:r>
        <w:rPr>
          <w:rFonts w:ascii="Times New Roman" w:cs="Times New Roman" w:eastAsia="Times New Roman" w:hAnsi="Times New Roman"/>
          <w:sz w:val="20"/>
          <w:szCs w:val="20"/>
          <w:color w:val="auto"/>
        </w:rPr>
        <w:t>. On a country-by-country and Product-by-Product basis, in any country in which a Product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Commercialized and there are no remaining Valid Claims of the Licensed Patents that Cover the use or sale of such Product in such country, the royalties payable to Alkermes on Net Sales of such Product pursuant to (i) Section 9.5.1(i)(A) will be reduced to [**] percent ([**]%) of such Net Sales for the Alkermes 8700 Product; (ii) Section 9.5.1(i)(B) will be reduced to [**] percent ([**]%) of such Net Sales for the Alkermes 8700 Product and (iii) Section 9.5.2 will be reduced to [**] percent ([**]%) of the applicable royalty rate for any Product (other than the Alkermes 8700 Product). For clarity, the royalty due under Section 9.5.1(i)(B) is a combined royalty comprised of a portion ([**] percent ([**]%)) that is payable in consideration of the licenses contained herein and a portion ([**] percent ([**]%)) that is payable in consideration of the loss of Manufacturing-related fees, and only that portion payable in consideration of the licenses contained herein ([**] percent ([**]%)) shall be subject to reduction pursuant to this Section 9.5.5. For further clarity, the</w:t>
      </w:r>
    </w:p>
    <w:p>
      <w:pPr>
        <w:spacing w:after="0" w:line="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60325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19" w:right="339" w:bottom="1440" w:gutter="0" w:footer="0" w:header="0"/>
        </w:sectPr>
      </w:pPr>
    </w:p>
    <w:bookmarkStart w:id="47" w:name="page48"/>
    <w:bookmarkEnd w:id="47"/>
    <w:p>
      <w:pPr>
        <w:ind w:left="380" w:right="80"/>
        <w:spacing w:after="0" w:line="250" w:lineRule="auto"/>
        <w:rPr>
          <w:sz w:val="20"/>
          <w:szCs w:val="20"/>
          <w:color w:val="auto"/>
        </w:rPr>
      </w:pPr>
      <w:r>
        <w:rPr>
          <w:rFonts w:ascii="Times New Roman" w:cs="Times New Roman" w:eastAsia="Times New Roman" w:hAnsi="Times New Roman"/>
          <w:sz w:val="20"/>
          <w:szCs w:val="20"/>
          <w:color w:val="auto"/>
        </w:rPr>
        <w:t>royalties payable to Alkermes pursuant to Section 9.5.1(i)(C) are entirely in consideration of the loss of Manufacturing-related fees and are therefore not subject to reduction pursuant to this Section 9.5.5.</w:t>
      </w:r>
    </w:p>
    <w:p>
      <w:pPr>
        <w:spacing w:after="0" w:line="2" w:lineRule="exact"/>
        <w:rPr>
          <w:sz w:val="20"/>
          <w:szCs w:val="20"/>
          <w:color w:val="auto"/>
        </w:rPr>
      </w:pPr>
    </w:p>
    <w:p>
      <w:pPr>
        <w:ind w:left="380" w:hanging="378"/>
        <w:spacing w:after="0"/>
        <w:tabs>
          <w:tab w:leader="none" w:pos="3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9.6 of the Agreement is hereby deleted in its entirety and replaced with the following text:</w:t>
      </w:r>
    </w:p>
    <w:p>
      <w:pPr>
        <w:spacing w:after="0" w:line="149" w:lineRule="exact"/>
        <w:rPr>
          <w:rFonts w:ascii="Times New Roman" w:cs="Times New Roman" w:eastAsia="Times New Roman" w:hAnsi="Times New Roman"/>
          <w:sz w:val="20"/>
          <w:szCs w:val="20"/>
          <w:color w:val="auto"/>
        </w:rPr>
      </w:pPr>
    </w:p>
    <w:p>
      <w:pPr>
        <w:ind w:left="3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9.6. Reporting and Payments.</w:t>
      </w:r>
    </w:p>
    <w:p>
      <w:pPr>
        <w:spacing w:after="0" w:line="179" w:lineRule="exact"/>
        <w:rPr>
          <w:rFonts w:ascii="Times New Roman" w:cs="Times New Roman" w:eastAsia="Times New Roman" w:hAnsi="Times New Roman"/>
          <w:sz w:val="20"/>
          <w:szCs w:val="20"/>
          <w:color w:val="auto"/>
        </w:rPr>
      </w:pPr>
    </w:p>
    <w:p>
      <w:pPr>
        <w:ind w:left="1520" w:hanging="394"/>
        <w:spacing w:after="0"/>
        <w:tabs>
          <w:tab w:leader="none" w:pos="152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Calendar Quarter for which royalties are payable by Biogen to Alkermes pursuant to Section 9.5.1(i)(A) or</w:t>
      </w:r>
    </w:p>
    <w:p>
      <w:pPr>
        <w:spacing w:after="0" w:line="21" w:lineRule="exact"/>
        <w:rPr>
          <w:rFonts w:ascii="Times New Roman" w:cs="Times New Roman" w:eastAsia="Times New Roman" w:hAnsi="Times New Roman"/>
          <w:sz w:val="20"/>
          <w:szCs w:val="20"/>
          <w:color w:val="auto"/>
        </w:rPr>
      </w:pPr>
    </w:p>
    <w:p>
      <w:pPr>
        <w:ind w:left="18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9.5.1(i)(B) or Section 9.5.2, Biogen will:</w:t>
      </w:r>
    </w:p>
    <w:p>
      <w:pPr>
        <w:spacing w:after="0" w:line="153" w:lineRule="exact"/>
        <w:rPr>
          <w:rFonts w:ascii="Times New Roman" w:cs="Times New Roman" w:eastAsia="Times New Roman" w:hAnsi="Times New Roman"/>
          <w:sz w:val="20"/>
          <w:szCs w:val="20"/>
          <w:color w:val="auto"/>
        </w:rPr>
      </w:pPr>
    </w:p>
    <w:p>
      <w:pPr>
        <w:ind w:left="2620" w:right="720" w:hanging="696"/>
        <w:spacing w:after="0" w:line="269" w:lineRule="auto"/>
        <w:tabs>
          <w:tab w:leader="none" w:pos="2267" w:val="left"/>
        </w:tabs>
        <w:numPr>
          <w:ilvl w:val="3"/>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Alkermes, within five (5) days after the end of each such Calendar Quarter, a nonbinding estimated report prepared in good faith;</w:t>
      </w:r>
    </w:p>
    <w:p>
      <w:pPr>
        <w:spacing w:after="0" w:line="118" w:lineRule="exact"/>
        <w:rPr>
          <w:rFonts w:ascii="Times New Roman" w:cs="Times New Roman" w:eastAsia="Times New Roman" w:hAnsi="Times New Roman"/>
          <w:sz w:val="20"/>
          <w:szCs w:val="20"/>
          <w:color w:val="auto"/>
        </w:rPr>
      </w:pPr>
    </w:p>
    <w:p>
      <w:pPr>
        <w:ind w:left="2620" w:right="480" w:hanging="746"/>
        <w:spacing w:after="0" w:line="269" w:lineRule="auto"/>
        <w:tabs>
          <w:tab w:leader="none" w:pos="2267"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Alkermes, within forty-five (45) days after the end of each such Calendar Quarter a true and accurate report;</w:t>
      </w:r>
    </w:p>
    <w:p>
      <w:pPr>
        <w:spacing w:after="0" w:line="118" w:lineRule="exact"/>
        <w:rPr>
          <w:rFonts w:ascii="Times New Roman" w:cs="Times New Roman" w:eastAsia="Times New Roman" w:hAnsi="Times New Roman"/>
          <w:sz w:val="20"/>
          <w:szCs w:val="20"/>
          <w:color w:val="auto"/>
        </w:rPr>
      </w:pPr>
    </w:p>
    <w:p>
      <w:pPr>
        <w:ind w:left="2260" w:hanging="386"/>
        <w:spacing w:after="0"/>
        <w:tabs>
          <w:tab w:leader="none" w:pos="226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each case of (a) and (b), providing in reasonable detail:</w:t>
      </w:r>
    </w:p>
    <w:p>
      <w:pPr>
        <w:spacing w:after="0" w:line="189" w:lineRule="exact"/>
        <w:rPr>
          <w:sz w:val="20"/>
          <w:szCs w:val="20"/>
          <w:color w:val="auto"/>
        </w:rPr>
      </w:pPr>
    </w:p>
    <w:p>
      <w:pPr>
        <w:ind w:left="3380" w:right="60" w:hanging="757"/>
        <w:spacing w:after="0" w:line="247" w:lineRule="auto"/>
        <w:tabs>
          <w:tab w:leader="none" w:pos="33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accounting of all Net Sales made on a country-by-country and Product-by-Product basis in the Territory during such Calendar Quarter, including the amount of gross sales of Products and the aggregate allowable deductions therefrom,</w:t>
      </w:r>
    </w:p>
    <w:p>
      <w:pPr>
        <w:spacing w:after="0" w:line="140" w:lineRule="exact"/>
        <w:rPr>
          <w:sz w:val="20"/>
          <w:szCs w:val="20"/>
          <w:color w:val="auto"/>
        </w:rPr>
      </w:pPr>
    </w:p>
    <w:p>
      <w:pPr>
        <w:ind w:left="3380" w:hanging="757"/>
        <w:spacing w:after="0"/>
        <w:tabs>
          <w:tab w:leader="none" w:pos="33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units of Products sold,</w:t>
      </w:r>
    </w:p>
    <w:p>
      <w:pPr>
        <w:spacing w:after="0" w:line="189" w:lineRule="exact"/>
        <w:rPr>
          <w:sz w:val="20"/>
          <w:szCs w:val="20"/>
          <w:color w:val="auto"/>
        </w:rPr>
      </w:pPr>
    </w:p>
    <w:p>
      <w:pPr>
        <w:ind w:left="3380" w:hanging="757"/>
        <w:spacing w:after="0"/>
        <w:tabs>
          <w:tab w:leader="none" w:pos="3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currency conversion rates used,</w:t>
      </w:r>
    </w:p>
    <w:p>
      <w:pPr>
        <w:spacing w:after="0" w:line="175" w:lineRule="exact"/>
        <w:rPr>
          <w:sz w:val="20"/>
          <w:szCs w:val="20"/>
          <w:color w:val="auto"/>
        </w:rPr>
      </w:pPr>
    </w:p>
    <w:p>
      <w:pPr>
        <w:ind w:left="2620"/>
        <w:spacing w:after="0"/>
        <w:tabs>
          <w:tab w:leader="none" w:pos="3360" w:val="left"/>
        </w:tabs>
        <w:rPr>
          <w:sz w:val="20"/>
          <w:szCs w:val="20"/>
          <w:color w:val="auto"/>
        </w:rPr>
      </w:pPr>
      <w:r>
        <w:rPr>
          <w:rFonts w:ascii="Times New Roman" w:cs="Times New Roman" w:eastAsia="Times New Roman" w:hAnsi="Times New Roman"/>
          <w:sz w:val="20"/>
          <w:szCs w:val="20"/>
          <w:color w:val="auto"/>
        </w:rPr>
        <w:t>(IV)</w:t>
      </w:r>
      <w:r>
        <w:rPr>
          <w:sz w:val="20"/>
          <w:szCs w:val="20"/>
          <w:color w:val="auto"/>
        </w:rPr>
        <w:tab/>
      </w:r>
      <w:r>
        <w:rPr>
          <w:rFonts w:ascii="Times New Roman" w:cs="Times New Roman" w:eastAsia="Times New Roman" w:hAnsi="Times New Roman"/>
          <w:sz w:val="20"/>
          <w:szCs w:val="20"/>
          <w:color w:val="auto"/>
        </w:rPr>
        <w:t>the U.S. Dollar-equivalent of such Net Sales during such Calendar Quarter and</w:t>
      </w:r>
    </w:p>
    <w:p>
      <w:pPr>
        <w:spacing w:after="0" w:line="175" w:lineRule="exact"/>
        <w:rPr>
          <w:sz w:val="20"/>
          <w:szCs w:val="20"/>
          <w:color w:val="auto"/>
        </w:rPr>
      </w:pPr>
    </w:p>
    <w:p>
      <w:pPr>
        <w:ind w:left="3380" w:hanging="757"/>
        <w:spacing w:after="0"/>
        <w:tabs>
          <w:tab w:leader="none" w:pos="3380" w:val="left"/>
        </w:tabs>
        <w:numPr>
          <w:ilvl w:val="2"/>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calculation of the amount of royalty payment due on such Net Sales;</w:t>
      </w:r>
    </w:p>
    <w:p>
      <w:pPr>
        <w:spacing w:after="0" w:line="175" w:lineRule="exact"/>
        <w:rPr>
          <w:rFonts w:ascii="Times New Roman" w:cs="Times New Roman" w:eastAsia="Times New Roman" w:hAnsi="Times New Roman"/>
          <w:sz w:val="20"/>
          <w:szCs w:val="20"/>
          <w:color w:val="auto"/>
        </w:rPr>
      </w:pPr>
    </w:p>
    <w:p>
      <w:pPr>
        <w:ind w:left="2620" w:hanging="746"/>
        <w:spacing w:after="0" w:line="241" w:lineRule="auto"/>
        <w:tabs>
          <w:tab w:leader="none" w:pos="2267"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forty-five (45) days after the end of each such Calendar Quarter, pay Alkermes the royalties due under Sections 9.5.1(i)(A) and 9.5.1(i)(B) and Section 9.5.2 with respect to such Calendar Quarter as provided for in the report delivered under (b) above. Each of the reports set forth in this Section 9.6(i) will be organized to distinguish whether the Alkermes 8700 Product was Manufactured by Alkermes or Biogen or their respective designees and, in the case of the report set forth in (b), the amount of Alkermes 8700 Product in inventory as of the end of the Calendar Quarter to which the report relates. In addition, within forty-five (45) days after the end of the first Calendar Quarter following each twelve (12)-month period during the Minimum Annual Payment Term, Biogen shall pay Alkermes any amount due under Section 9.5.l(ii) for such twelve (12)-month period; and</w:t>
      </w:r>
    </w:p>
    <w:p>
      <w:pPr>
        <w:spacing w:after="0" w:line="149" w:lineRule="exact"/>
        <w:rPr>
          <w:rFonts w:ascii="Times New Roman" w:cs="Times New Roman" w:eastAsia="Times New Roman" w:hAnsi="Times New Roman"/>
          <w:sz w:val="20"/>
          <w:szCs w:val="20"/>
          <w:color w:val="auto"/>
        </w:rPr>
      </w:pPr>
    </w:p>
    <w:p>
      <w:pPr>
        <w:ind w:left="2280" w:hanging="406"/>
        <w:spacing w:after="0"/>
        <w:tabs>
          <w:tab w:leader="none" w:pos="228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payments due under this Agreement for less than a full Calendar Quarter will be prorated.</w:t>
      </w:r>
    </w:p>
    <w:p>
      <w:pPr>
        <w:spacing w:after="0" w:line="175" w:lineRule="exact"/>
        <w:rPr>
          <w:rFonts w:ascii="Times New Roman" w:cs="Times New Roman" w:eastAsia="Times New Roman" w:hAnsi="Times New Roman"/>
          <w:sz w:val="20"/>
          <w:szCs w:val="20"/>
          <w:color w:val="auto"/>
        </w:rPr>
      </w:pPr>
    </w:p>
    <w:p>
      <w:pPr>
        <w:ind w:left="1880" w:right="40" w:hanging="754"/>
        <w:spacing w:after="0" w:line="295" w:lineRule="auto"/>
        <w:tabs>
          <w:tab w:leader="none" w:pos="1527"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each Calendar Year for which Bulk Form Only Product is supplied to Biogen or during which any Bulk Form Only Product Additional Royalty is payable by Biogen to Alkermes pursuant to Section 9.5.1(i)(C), Biogen will:</w:t>
      </w:r>
    </w:p>
    <w:p>
      <w:pPr>
        <w:spacing w:after="0" w:line="10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319" w:right="359" w:bottom="1440" w:gutter="0" w:footer="0" w:header="0"/>
        </w:sectPr>
      </w:pPr>
    </w:p>
    <w:bookmarkStart w:id="48" w:name="page49"/>
    <w:bookmarkEnd w:id="48"/>
    <w:p>
      <w:pPr>
        <w:ind w:left="1880" w:right="180" w:hanging="746"/>
        <w:spacing w:after="0" w:line="269" w:lineRule="auto"/>
        <w:tabs>
          <w:tab w:leader="none" w:pos="152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Alkermes, within five (5) days after the end of each such Calendar Year, a nonbinding estimated report prepared in good faith;</w:t>
      </w:r>
    </w:p>
    <w:p>
      <w:pPr>
        <w:spacing w:after="0" w:line="118" w:lineRule="exact"/>
        <w:rPr>
          <w:rFonts w:ascii="Times New Roman" w:cs="Times New Roman" w:eastAsia="Times New Roman" w:hAnsi="Times New Roman"/>
          <w:sz w:val="20"/>
          <w:szCs w:val="20"/>
          <w:color w:val="auto"/>
        </w:rPr>
      </w:pPr>
    </w:p>
    <w:p>
      <w:pPr>
        <w:ind w:left="1880" w:right="20" w:hanging="696"/>
        <w:spacing w:after="0" w:line="269" w:lineRule="auto"/>
        <w:tabs>
          <w:tab w:leader="none" w:pos="1527"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Alkermes, within forty-five (45) days after the end of each such Calendar Year a true and accurate report;</w:t>
      </w:r>
    </w:p>
    <w:p>
      <w:pPr>
        <w:spacing w:after="0" w:line="118" w:lineRule="exact"/>
        <w:rPr>
          <w:rFonts w:ascii="Times New Roman" w:cs="Times New Roman" w:eastAsia="Times New Roman" w:hAnsi="Times New Roman"/>
          <w:sz w:val="20"/>
          <w:szCs w:val="20"/>
          <w:color w:val="auto"/>
        </w:rPr>
      </w:pPr>
    </w:p>
    <w:p>
      <w:pPr>
        <w:ind w:left="1540" w:hanging="406"/>
        <w:spacing w:after="0"/>
        <w:tabs>
          <w:tab w:leader="none" w:pos="15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each case of (a) and (b), providing in reasonable detail:</w:t>
      </w:r>
    </w:p>
    <w:p>
      <w:pPr>
        <w:spacing w:after="0" w:line="189" w:lineRule="exact"/>
        <w:rPr>
          <w:sz w:val="20"/>
          <w:szCs w:val="20"/>
          <w:color w:val="auto"/>
        </w:rPr>
      </w:pPr>
    </w:p>
    <w:p>
      <w:pPr>
        <w:ind w:left="2640" w:hanging="757"/>
        <w:spacing w:after="0"/>
        <w:tabs>
          <w:tab w:leader="none" w:pos="2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number of Batches of Bulk Form Only Product supplied during such Calendar Year,</w:t>
      </w:r>
    </w:p>
    <w:p>
      <w:pPr>
        <w:spacing w:after="0" w:line="175" w:lineRule="exact"/>
        <w:rPr>
          <w:sz w:val="20"/>
          <w:szCs w:val="20"/>
          <w:color w:val="auto"/>
        </w:rPr>
      </w:pPr>
    </w:p>
    <w:p>
      <w:pPr>
        <w:ind w:left="2640" w:hanging="757"/>
        <w:spacing w:after="0"/>
        <w:tabs>
          <w:tab w:leader="none" w:pos="26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 ANSP of all Alkermes 8700 Product sold in the Territory during such Calendar Year,</w:t>
      </w:r>
    </w:p>
    <w:p>
      <w:pPr>
        <w:spacing w:after="0" w:line="227" w:lineRule="exact"/>
        <w:rPr>
          <w:sz w:val="20"/>
          <w:szCs w:val="20"/>
          <w:color w:val="auto"/>
        </w:rPr>
      </w:pPr>
    </w:p>
    <w:p>
      <w:pPr>
        <w:ind w:left="2640" w:right="40" w:hanging="757"/>
        <w:spacing w:after="0" w:line="281" w:lineRule="auto"/>
        <w:tabs>
          <w:tab w:leader="none" w:pos="264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total number of Batches of Bulk Form Only Product ordered pursuant to Firm POs (as that term is defined in the Commercial Supply Agreement) for Delivery in such Calendar Year,</w:t>
      </w:r>
    </w:p>
    <w:p>
      <w:pPr>
        <w:sectPr>
          <w:pgSz w:w="11900" w:h="16838" w:orient="portrait"/>
          <w:cols w:equalWidth="0" w:num="1">
            <w:col w:w="10120"/>
          </w:cols>
          <w:pgMar w:left="1440" w:top="319" w:right="339" w:bottom="1440" w:gutter="0" w:footer="0" w:header="0"/>
        </w:sectPr>
      </w:pPr>
    </w:p>
    <w:p>
      <w:pPr>
        <w:spacing w:after="0" w:line="15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(IV)</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the total number of Batches of Bulk Form Only Product supplied during such Calendar Year for which the Bulk Form Only Product Additional Royalty is not payable due to the exclusions set forth in Sections 9.5.1(i)(C)(II)(a) and (b),</w:t>
      </w:r>
    </w:p>
    <w:p>
      <w:pPr>
        <w:spacing w:after="0" w:line="174" w:lineRule="exact"/>
        <w:rPr>
          <w:sz w:val="20"/>
          <w:szCs w:val="20"/>
          <w:color w:val="auto"/>
        </w:rPr>
      </w:pPr>
    </w:p>
    <w:p>
      <w:pPr>
        <w:sectPr>
          <w:pgSz w:w="11900" w:h="16838" w:orient="portrait"/>
          <w:cols w:equalWidth="0" w:num="2">
            <w:col w:w="2220" w:space="420"/>
            <w:col w:w="7480"/>
          </w:cols>
          <w:pgMar w:left="1440" w:top="319" w:right="339" w:bottom="1440" w:gutter="0" w:footer="0" w:header="0"/>
          <w:type w:val="continuous"/>
        </w:sectPr>
      </w:pPr>
    </w:p>
    <w:p>
      <w:pPr>
        <w:ind w:left="2640" w:hanging="757"/>
        <w:spacing w:after="0"/>
        <w:tabs>
          <w:tab w:leader="none" w:pos="264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Additional Royalty Batches for such Calendar Year,</w:t>
      </w:r>
    </w:p>
    <w:p>
      <w:pPr>
        <w:sectPr>
          <w:pgSz w:w="11900" w:h="16838" w:orient="portrait"/>
          <w:cols w:equalWidth="0" w:num="1">
            <w:col w:w="10120"/>
          </w:cols>
          <w:pgMar w:left="1440" w:top="319" w:right="339" w:bottom="1440" w:gutter="0" w:footer="0" w:header="0"/>
          <w:type w:val="continuous"/>
        </w:sectPr>
      </w:pPr>
    </w:p>
    <w:p>
      <w:pPr>
        <w:spacing w:after="0" w:line="2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(VI)</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identification (by Batch number) of the specific Additional Royalty Batches for such Calendar Year and the number of Bulk Form capsules yielded from each such Additional Royalty Batch,</w:t>
      </w:r>
    </w:p>
    <w:p>
      <w:pPr>
        <w:spacing w:after="0" w:line="140" w:lineRule="exact"/>
        <w:rPr>
          <w:sz w:val="20"/>
          <w:szCs w:val="20"/>
          <w:color w:val="auto"/>
        </w:rPr>
      </w:pPr>
    </w:p>
    <w:p>
      <w:pPr>
        <w:sectPr>
          <w:pgSz w:w="11900" w:h="16838" w:orient="portrait"/>
          <w:cols w:equalWidth="0" w:num="2">
            <w:col w:w="2220" w:space="420"/>
            <w:col w:w="7480"/>
          </w:cols>
          <w:pgMar w:left="1440" w:top="319" w:right="3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9"/>
          <w:szCs w:val="19"/>
          <w:color w:val="auto"/>
        </w:rPr>
        <w:t>(VII)</w:t>
      </w:r>
    </w:p>
    <w:p>
      <w:pPr>
        <w:spacing w:after="0" w:line="20" w:lineRule="exact"/>
        <w:rPr>
          <w:sz w:val="20"/>
          <w:szCs w:val="20"/>
          <w:color w:val="auto"/>
        </w:rPr>
      </w:pPr>
      <w:r>
        <w:rPr>
          <w:sz w:val="20"/>
          <w:szCs w:val="20"/>
          <w:color w:val="auto"/>
        </w:rPr>
        <w:br w:type="column"/>
      </w:r>
    </w:p>
    <w:p>
      <w:pPr>
        <w:ind w:right="140"/>
        <w:spacing w:after="0" w:line="249" w:lineRule="auto"/>
        <w:rPr>
          <w:sz w:val="20"/>
          <w:szCs w:val="20"/>
          <w:color w:val="auto"/>
        </w:rPr>
      </w:pPr>
      <w:r>
        <w:rPr>
          <w:rFonts w:ascii="Times New Roman" w:cs="Times New Roman" w:eastAsia="Times New Roman" w:hAnsi="Times New Roman"/>
          <w:sz w:val="20"/>
          <w:szCs w:val="20"/>
          <w:color w:val="auto"/>
        </w:rPr>
        <w:t>the total number of Additional Royalty Batches supplied by Alkermes during such Calendar Year that were Packaged by or on behalf of Biogen in such Calendar Year and the total number of Additional Royalty Batches supplied by Alkermes during such Calendar Year that were not Packaged by or on behalf of Biogen in such Calendar Year,</w:t>
      </w:r>
    </w:p>
    <w:p>
      <w:pPr>
        <w:spacing w:after="0" w:line="139" w:lineRule="exact"/>
        <w:rPr>
          <w:sz w:val="20"/>
          <w:szCs w:val="20"/>
          <w:color w:val="auto"/>
        </w:rPr>
      </w:pPr>
    </w:p>
    <w:p>
      <w:pPr>
        <w:sectPr>
          <w:pgSz w:w="11900" w:h="16838" w:orient="portrait"/>
          <w:cols w:equalWidth="0" w:num="2">
            <w:col w:w="2280" w:space="360"/>
            <w:col w:w="7480"/>
          </w:cols>
          <w:pgMar w:left="1440" w:top="319" w:right="3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20"/>
          <w:szCs w:val="20"/>
          <w:color w:val="auto"/>
        </w:rPr>
        <w:t>(VIII)</w:t>
      </w:r>
    </w:p>
    <w:p>
      <w:pPr>
        <w:spacing w:after="0" w:line="20" w:lineRule="exact"/>
        <w:rPr>
          <w:sz w:val="20"/>
          <w:szCs w:val="20"/>
          <w:color w:val="auto"/>
        </w:rPr>
      </w:pPr>
      <w:r>
        <w:rPr>
          <w:sz w:val="20"/>
          <w:szCs w:val="20"/>
          <w:color w:val="auto"/>
        </w:rPr>
        <w:br w:type="column"/>
      </w:r>
    </w:p>
    <w:p>
      <w:pPr>
        <w:ind w:right="40"/>
        <w:spacing w:after="0" w:line="249" w:lineRule="auto"/>
        <w:rPr>
          <w:sz w:val="20"/>
          <w:szCs w:val="20"/>
          <w:color w:val="auto"/>
        </w:rPr>
      </w:pPr>
      <w:r>
        <w:rPr>
          <w:rFonts w:ascii="Times New Roman" w:cs="Times New Roman" w:eastAsia="Times New Roman" w:hAnsi="Times New Roman"/>
          <w:sz w:val="20"/>
          <w:szCs w:val="20"/>
          <w:color w:val="auto"/>
        </w:rPr>
        <w:t>the total number of Additional Royalty Batches supplied by Alkermes during the previous Calendar Year that were not Packaged by or on behalf of Biogen during the previous Calendar Year (and therefore not included in the calculation of the Bulk Form Only Product Additional Royalty for the previous Calendar Year),</w:t>
      </w:r>
    </w:p>
    <w:p>
      <w:pPr>
        <w:spacing w:after="0" w:line="139" w:lineRule="exact"/>
        <w:rPr>
          <w:sz w:val="20"/>
          <w:szCs w:val="20"/>
          <w:color w:val="auto"/>
        </w:rPr>
      </w:pPr>
    </w:p>
    <w:p>
      <w:pPr>
        <w:sectPr>
          <w:pgSz w:w="11900" w:h="16838" w:orient="portrait"/>
          <w:cols w:equalWidth="0" w:num="2">
            <w:col w:w="2360" w:space="280"/>
            <w:col w:w="7480"/>
          </w:cols>
          <w:pgMar w:left="1440" w:top="319" w:right="3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9"/>
          <w:szCs w:val="19"/>
          <w:color w:val="auto"/>
        </w:rPr>
        <w:t>(IX)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the currency conversion rates used for calculating the [**] ANSP,</w:t>
      </w:r>
    </w:p>
    <w:p>
      <w:pPr>
        <w:spacing w:after="0" w:line="187" w:lineRule="exact"/>
        <w:rPr>
          <w:sz w:val="20"/>
          <w:szCs w:val="20"/>
          <w:color w:val="auto"/>
        </w:rPr>
      </w:pPr>
    </w:p>
    <w:p>
      <w:pPr>
        <w:sectPr>
          <w:pgSz w:w="11900" w:h="16838" w:orient="portrait"/>
          <w:cols w:equalWidth="0" w:num="2">
            <w:col w:w="2220" w:space="420"/>
            <w:col w:w="7480"/>
          </w:cols>
          <w:pgMar w:left="1440" w:top="319" w:right="339" w:bottom="1440" w:gutter="0" w:footer="0" w:header="0"/>
          <w:type w:val="continuous"/>
        </w:sectPr>
      </w:pPr>
    </w:p>
    <w:p>
      <w:pPr>
        <w:ind w:left="2640" w:hanging="757"/>
        <w:spacing w:after="0" w:line="269" w:lineRule="auto"/>
        <w:tabs>
          <w:tab w:leader="none" w:pos="264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calculation of the total amount of Bulk Form Only Product Additional Royalty payment due; and</w:t>
      </w:r>
    </w:p>
    <w:p>
      <w:pPr>
        <w:spacing w:after="0" w:line="118" w:lineRule="exact"/>
        <w:rPr>
          <w:rFonts w:ascii="Times New Roman" w:cs="Times New Roman" w:eastAsia="Times New Roman" w:hAnsi="Times New Roman"/>
          <w:sz w:val="20"/>
          <w:szCs w:val="20"/>
          <w:color w:val="auto"/>
        </w:rPr>
      </w:pPr>
    </w:p>
    <w:p>
      <w:pPr>
        <w:ind w:left="1880" w:right="120" w:hanging="746"/>
        <w:spacing w:after="0" w:line="254" w:lineRule="auto"/>
        <w:tabs>
          <w:tab w:leader="none" w:pos="1527"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forty-five (45) days after the end of each such Calendar Year, pay Alkermes the royalties due under Section 9.5.1(i)(C) with respect to such Calendar Year as provided for in the report delivered under (b) above.</w:t>
      </w:r>
    </w:p>
    <w:p>
      <w:pPr>
        <w:spacing w:after="0" w:line="13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64770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19" w:right="339" w:bottom="1440" w:gutter="0" w:footer="0" w:header="0"/>
          <w:type w:val="continuous"/>
        </w:sectPr>
      </w:pPr>
    </w:p>
    <w:bookmarkStart w:id="49" w:name="page50"/>
    <w:bookmarkEnd w:id="49"/>
    <w:p>
      <w:pPr>
        <w:ind w:left="1880" w:right="20" w:hanging="755"/>
        <w:spacing w:after="0" w:line="269" w:lineRule="auto"/>
        <w:tabs>
          <w:tab w:leader="none" w:pos="188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report delivered hereunder shall be considered Confidential Information of Biogen, subject to the terms and conditions of Article 8.</w:t>
      </w:r>
    </w:p>
    <w:p>
      <w:pPr>
        <w:spacing w:after="0" w:line="118" w:lineRule="exact"/>
        <w:rPr>
          <w:rFonts w:ascii="Times New Roman" w:cs="Times New Roman" w:eastAsia="Times New Roman" w:hAnsi="Times New Roman"/>
          <w:sz w:val="20"/>
          <w:szCs w:val="20"/>
          <w:color w:val="auto"/>
        </w:rPr>
      </w:pPr>
    </w:p>
    <w:p>
      <w:pPr>
        <w:ind w:left="1880" w:right="240" w:hanging="755"/>
        <w:spacing w:after="0" w:line="249" w:lineRule="auto"/>
        <w:tabs>
          <w:tab w:leader="none" w:pos="188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Biogen and Alkermes shall conduct no fewer than four quarterly meetings per Calendar Year to review and discuss the calculation of the Bulk Form Only Product Additional Royalty. The final meeting of each year will occur no later than the first week in December to allow for the preparation of the final reconciliation and Bulk Form Only Product Additional Royalty report for such Calendar Year.</w:t>
      </w:r>
    </w:p>
    <w:p>
      <w:pPr>
        <w:spacing w:after="0" w:line="139" w:lineRule="exact"/>
        <w:rPr>
          <w:rFonts w:ascii="Times New Roman" w:cs="Times New Roman" w:eastAsia="Times New Roman" w:hAnsi="Times New Roman"/>
          <w:sz w:val="20"/>
          <w:szCs w:val="20"/>
          <w:color w:val="auto"/>
        </w:rPr>
      </w:pPr>
    </w:p>
    <w:p>
      <w:pPr>
        <w:ind w:left="380" w:right="80" w:hanging="378"/>
        <w:spacing w:after="0" w:line="249" w:lineRule="auto"/>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clarity, nothing in this Amendment shall modify or be deemed to have modified Section 9.5.1(i)(B) of the Agreement and Alkermes and Biogen acknowledge and agree that all Batches Manufactured in Bulk Form by Biogen or its designee(s) will also be Manufactured (or deemed to have been Manufactured) in finished form by Biogen or its designee(s) and subject to the royalty rate set forth in Section 9.5.1(i)(B).</w:t>
      </w:r>
    </w:p>
    <w:p>
      <w:pPr>
        <w:spacing w:after="0" w:line="139" w:lineRule="exact"/>
        <w:rPr>
          <w:rFonts w:ascii="Times New Roman" w:cs="Times New Roman" w:eastAsia="Times New Roman" w:hAnsi="Times New Roman"/>
          <w:sz w:val="20"/>
          <w:szCs w:val="20"/>
          <w:color w:val="auto"/>
        </w:rPr>
      </w:pPr>
    </w:p>
    <w:p>
      <w:pPr>
        <w:ind w:left="380" w:right="680" w:hanging="378"/>
        <w:spacing w:after="0" w:line="269" w:lineRule="auto"/>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clarity, this Amendment does not constitute a waiver of Alkermes exclusive right to Manufacture or have Manufactured Commercial Supplies under Section 5.1.2 of the Agreement, except as specifically set forth therein.</w:t>
      </w:r>
    </w:p>
    <w:p>
      <w:pPr>
        <w:spacing w:after="0" w:line="118" w:lineRule="exact"/>
        <w:rPr>
          <w:rFonts w:ascii="Times New Roman" w:cs="Times New Roman" w:eastAsia="Times New Roman" w:hAnsi="Times New Roman"/>
          <w:sz w:val="20"/>
          <w:szCs w:val="20"/>
          <w:color w:val="auto"/>
        </w:rPr>
      </w:pPr>
    </w:p>
    <w:p>
      <w:pPr>
        <w:ind w:left="380" w:right="340" w:hanging="378"/>
        <w:spacing w:after="0" w:line="269" w:lineRule="auto"/>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be governed by and construed in accordance with the laws of the State of New York without regard to its conflict of law provisions.</w:t>
      </w:r>
    </w:p>
    <w:p>
      <w:pPr>
        <w:spacing w:after="0" w:line="118" w:lineRule="exact"/>
        <w:rPr>
          <w:rFonts w:ascii="Times New Roman" w:cs="Times New Roman" w:eastAsia="Times New Roman" w:hAnsi="Times New Roman"/>
          <w:sz w:val="20"/>
          <w:szCs w:val="20"/>
          <w:color w:val="auto"/>
        </w:rPr>
      </w:pPr>
    </w:p>
    <w:p>
      <w:pPr>
        <w:ind w:left="380" w:hanging="378"/>
        <w:spacing w:after="0" w:line="243" w:lineRule="auto"/>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in this Amendment, all other terms, conditions and provisions of the Agreement shall continue in full force and effect as provided therein. The Agreement (as amended by this Amendment), this Amendment and the Commercial Supply Agreement (as amended) constitute the entire agreement between the Parties relating to the subject matter hereof and thereof and supersede all prior and contemporaneous negotiations, agreements, representations, understandings and commitments with respect thereto.</w:t>
      </w:r>
    </w:p>
    <w:p>
      <w:pPr>
        <w:spacing w:after="0" w:line="145" w:lineRule="exact"/>
        <w:rPr>
          <w:rFonts w:ascii="Times New Roman" w:cs="Times New Roman" w:eastAsia="Times New Roman" w:hAnsi="Times New Roman"/>
          <w:sz w:val="20"/>
          <w:szCs w:val="20"/>
          <w:color w:val="auto"/>
        </w:rPr>
      </w:pPr>
    </w:p>
    <w:p>
      <w:pPr>
        <w:ind w:left="380" w:right="400" w:hanging="378"/>
        <w:spacing w:after="0" w:line="235" w:lineRule="auto"/>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may be executed in any number of counterparts, each of which shall be deemed an original, and all of which together shall constitute one and the same instrument. Signatures provided by facsimile transmission or in Adobe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PDF sent by electronic mail shall be deemed to be original signatures.</w:t>
      </w:r>
    </w:p>
    <w:p>
      <w:pPr>
        <w:spacing w:after="0" w:line="200" w:lineRule="exact"/>
        <w:rPr>
          <w:sz w:val="20"/>
          <w:szCs w:val="20"/>
          <w:color w:val="auto"/>
        </w:rPr>
      </w:pPr>
    </w:p>
    <w:p>
      <w:pPr>
        <w:spacing w:after="0" w:line="37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19" w:right="339" w:bottom="1440" w:gutter="0" w:footer="0" w:header="0"/>
        </w:sectPr>
      </w:pPr>
    </w:p>
    <w:bookmarkStart w:id="50" w:name="page51"/>
    <w:bookmarkEnd w:id="50"/>
    <w:p>
      <w:pPr>
        <w:ind w:firstLine="749"/>
        <w:spacing w:after="0" w:line="311" w:lineRule="auto"/>
        <w:rPr>
          <w:sz w:val="20"/>
          <w:szCs w:val="20"/>
          <w:color w:val="auto"/>
        </w:rPr>
      </w:pPr>
      <w:r>
        <w:rPr>
          <w:rFonts w:ascii="Times New Roman" w:cs="Times New Roman" w:eastAsia="Times New Roman" w:hAnsi="Times New Roman"/>
          <w:sz w:val="20"/>
          <w:szCs w:val="20"/>
          <w:color w:val="auto"/>
        </w:rPr>
        <w:t>IN WITNESS WHEREOF, Alkermes and Biogen have executed and delivered this Amendment effective as of the Amendment Effective Date.</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BIOGEN SWISS MANUFACTURING GMBH</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252"/>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Maja Pedersen</w:t>
            </w:r>
          </w:p>
        </w:tc>
      </w:tr>
      <w:tr>
        <w:trPr>
          <w:trHeight w:val="412"/>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Maja Pedersen</w:t>
            </w:r>
          </w:p>
        </w:tc>
      </w:tr>
      <w:tr>
        <w:trPr>
          <w:trHeight w:val="425"/>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VP Global External Manufacturing</w:t>
            </w:r>
          </w:p>
        </w:tc>
      </w:tr>
      <w:tr>
        <w:trPr>
          <w:trHeight w:val="648"/>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ALKERMES PHARMA IRELAND LIMITED</w:t>
            </w:r>
          </w:p>
        </w:tc>
      </w:tr>
      <w:tr>
        <w:trPr>
          <w:trHeight w:val="426"/>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Declan O’Connor</w:t>
            </w:r>
          </w:p>
        </w:tc>
      </w:tr>
      <w:tr>
        <w:trPr>
          <w:trHeight w:val="426"/>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Declan O’Connor</w:t>
            </w:r>
          </w:p>
        </w:tc>
      </w:tr>
      <w:tr>
        <w:trPr>
          <w:trHeight w:val="425"/>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SVP, Operations, Mfg Operations</w:t>
            </w:r>
          </w:p>
        </w:tc>
      </w:tr>
    </w:tbl>
    <w:p>
      <w:pPr>
        <w:spacing w:after="0" w:line="40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33" w:right="7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Pops, certify that:</w:t>
      </w:r>
    </w:p>
    <w:p>
      <w:pPr>
        <w:spacing w:after="0" w:line="212" w:lineRule="exact"/>
        <w:rPr>
          <w:sz w:val="20"/>
          <w:szCs w:val="20"/>
          <w:color w:val="auto"/>
        </w:rPr>
      </w:pPr>
    </w:p>
    <w:p>
      <w:pPr>
        <w:ind w:left="900" w:hanging="518"/>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Alkermes plc;</w:t>
      </w:r>
    </w:p>
    <w:p>
      <w:pPr>
        <w:spacing w:after="0" w:line="211" w:lineRule="exact"/>
        <w:rPr>
          <w:rFonts w:ascii="Times New Roman" w:cs="Times New Roman" w:eastAsia="Times New Roman" w:hAnsi="Times New Roman"/>
          <w:sz w:val="18"/>
          <w:szCs w:val="18"/>
          <w:color w:val="auto"/>
        </w:rPr>
      </w:pPr>
    </w:p>
    <w:p>
      <w:pPr>
        <w:jc w:val="both"/>
        <w:ind w:left="900" w:right="140" w:hanging="518"/>
        <w:spacing w:after="0" w:line="258"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900" w:right="100" w:hanging="51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jc w:val="both"/>
        <w:ind w:left="900" w:right="60" w:hanging="518"/>
        <w:spacing w:after="0" w:line="260" w:lineRule="auto"/>
        <w:tabs>
          <w:tab w:leader="none" w:pos="9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5" w:lineRule="exact"/>
        <w:rPr>
          <w:rFonts w:ascii="Times New Roman" w:cs="Times New Roman" w:eastAsia="Times New Roman" w:hAnsi="Times New Roman"/>
          <w:sz w:val="17"/>
          <w:szCs w:val="17"/>
          <w:color w:val="auto"/>
        </w:rPr>
      </w:pPr>
    </w:p>
    <w:p>
      <w:pPr>
        <w:ind w:left="1500" w:right="140" w:hanging="369"/>
        <w:spacing w:after="0" w:line="250" w:lineRule="auto"/>
        <w:tabs>
          <w:tab w:leader="none" w:pos="15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500" w:right="200" w:hanging="369"/>
        <w:spacing w:after="0" w:line="250" w:lineRule="auto"/>
        <w:tabs>
          <w:tab w:leader="none" w:pos="15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500" w:right="40" w:hanging="369"/>
        <w:spacing w:after="0" w:line="258" w:lineRule="auto"/>
        <w:tabs>
          <w:tab w:leader="none" w:pos="15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900" w:right="40" w:hanging="518"/>
        <w:spacing w:after="0" w:line="312" w:lineRule="auto"/>
        <w:tabs>
          <w:tab w:leader="none" w:pos="9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6" w:lineRule="exact"/>
        <w:rPr>
          <w:rFonts w:ascii="Times New Roman" w:cs="Times New Roman" w:eastAsia="Times New Roman" w:hAnsi="Times New Roman"/>
          <w:sz w:val="17"/>
          <w:szCs w:val="17"/>
          <w:color w:val="auto"/>
        </w:rPr>
      </w:pPr>
    </w:p>
    <w:p>
      <w:pPr>
        <w:ind w:left="1500" w:right="260" w:hanging="369"/>
        <w:spacing w:after="0" w:line="266" w:lineRule="auto"/>
        <w:tabs>
          <w:tab w:leader="none" w:pos="15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500"/>
        <w:spacing w:after="0"/>
        <w:tabs>
          <w:tab w:leader="none" w:pos="1080" w:val="left"/>
          <w:tab w:leader="none" w:pos="5660" w:val="left"/>
        </w:tabs>
        <w:rPr>
          <w:sz w:val="20"/>
          <w:szCs w:val="20"/>
          <w:color w:val="auto"/>
        </w:rPr>
      </w:pPr>
      <w:r>
        <w:rPr>
          <w:rFonts w:ascii="Times New Roman" w:cs="Times New Roman" w:eastAsia="Times New Roman" w:hAnsi="Times New Roman"/>
          <w:sz w:val="18"/>
          <w:szCs w:val="18"/>
          <w:color w:val="auto"/>
        </w:rPr>
        <w:t>Date:</w:t>
        <w:tab/>
        <w:t>November 2, 2022</w:t>
      </w:r>
      <w:r>
        <w:rPr>
          <w:sz w:val="20"/>
          <w:szCs w:val="20"/>
          <w:color w:val="auto"/>
        </w:rPr>
        <w:tab/>
      </w:r>
      <w:r>
        <w:rPr>
          <w:rFonts w:ascii="Times New Roman" w:cs="Times New Roman" w:eastAsia="Times New Roman" w:hAnsi="Times New Roman"/>
          <w:sz w:val="17"/>
          <w:szCs w:val="17"/>
          <w:color w:val="auto"/>
        </w:rPr>
        <w:t>/s/ 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401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Richard F. Pops</w:t>
      </w:r>
    </w:p>
    <w:p>
      <w:pPr>
        <w:spacing w:after="0" w:line="22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Iain M. Brown, certify that:</w:t>
      </w:r>
    </w:p>
    <w:p>
      <w:pPr>
        <w:spacing w:after="0" w:line="212"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Alkermes plc;</w:t>
      </w:r>
    </w:p>
    <w:p>
      <w:pPr>
        <w:spacing w:after="0" w:line="211" w:lineRule="exact"/>
        <w:rPr>
          <w:rFonts w:ascii="Times New Roman" w:cs="Times New Roman" w:eastAsia="Times New Roman" w:hAnsi="Times New Roman"/>
          <w:sz w:val="18"/>
          <w:szCs w:val="18"/>
          <w:color w:val="auto"/>
        </w:rPr>
      </w:pPr>
    </w:p>
    <w:p>
      <w:pPr>
        <w:jc w:val="both"/>
        <w:ind w:left="760" w:right="20" w:hanging="378"/>
        <w:spacing w:after="0" w:line="258"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jc w:val="both"/>
        <w:ind w:left="760" w:right="20" w:hanging="378"/>
        <w:spacing w:after="0" w:line="250"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500" w:right="140" w:hanging="369"/>
        <w:spacing w:after="0" w:line="250" w:lineRule="auto"/>
        <w:tabs>
          <w:tab w:leader="none" w:pos="15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500" w:right="200" w:hanging="369"/>
        <w:spacing w:after="0" w:line="250" w:lineRule="auto"/>
        <w:tabs>
          <w:tab w:leader="none" w:pos="15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500" w:right="40" w:hanging="369"/>
        <w:spacing w:after="0" w:line="258" w:lineRule="auto"/>
        <w:tabs>
          <w:tab w:leader="none" w:pos="15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760" w:right="180" w:hanging="378"/>
        <w:spacing w:after="0" w:line="312" w:lineRule="auto"/>
        <w:tabs>
          <w:tab w:leader="none" w:pos="7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6" w:lineRule="exact"/>
        <w:rPr>
          <w:rFonts w:ascii="Times New Roman" w:cs="Times New Roman" w:eastAsia="Times New Roman" w:hAnsi="Times New Roman"/>
          <w:sz w:val="17"/>
          <w:szCs w:val="17"/>
          <w:color w:val="auto"/>
        </w:rPr>
      </w:pPr>
    </w:p>
    <w:p>
      <w:pPr>
        <w:ind w:left="1500" w:right="260" w:hanging="369"/>
        <w:spacing w:after="0" w:line="266" w:lineRule="auto"/>
        <w:tabs>
          <w:tab w:leader="none" w:pos="15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500"/>
        <w:spacing w:after="0"/>
        <w:tabs>
          <w:tab w:leader="none" w:pos="1080" w:val="left"/>
          <w:tab w:leader="none" w:pos="5660" w:val="left"/>
        </w:tabs>
        <w:rPr>
          <w:sz w:val="20"/>
          <w:szCs w:val="20"/>
          <w:color w:val="auto"/>
        </w:rPr>
      </w:pPr>
      <w:r>
        <w:rPr>
          <w:rFonts w:ascii="Times New Roman" w:cs="Times New Roman" w:eastAsia="Times New Roman" w:hAnsi="Times New Roman"/>
          <w:sz w:val="18"/>
          <w:szCs w:val="18"/>
          <w:color w:val="auto"/>
        </w:rPr>
        <w:t>Date:</w:t>
        <w:tab/>
        <w:t>November 2, 2022</w:t>
      </w:r>
      <w:r>
        <w:rPr>
          <w:sz w:val="20"/>
          <w:szCs w:val="20"/>
          <w:color w:val="auto"/>
        </w:rPr>
        <w:tab/>
      </w:r>
      <w:r>
        <w:rPr>
          <w:rFonts w:ascii="Times New Roman" w:cs="Times New Roman" w:eastAsia="Times New Roman" w:hAnsi="Times New Roman"/>
          <w:sz w:val="17"/>
          <w:szCs w:val="17"/>
          <w:color w:val="auto"/>
        </w:rPr>
        <w:t>/s/ Iain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Iain M. Brown</w:t>
      </w:r>
    </w:p>
    <w:p>
      <w:pPr>
        <w:spacing w:after="0" w:line="27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7"/>
          <w:szCs w:val="17"/>
          <w:color w:val="auto"/>
        </w:rPr>
        <w:t>In connection with the Quarterly Report on Form 10-Q of Alkermes plc (the “Company”) for the period ended September 30, 2022 as filed with the Securities and Exchange Commission on the date hereof (the “Report”), we, Richard F. Pops, Chairman and Chief Executive Officer of the Company, and Iain M. Brown, Senior Vice President, Chief Financial Officer of the Company, certify, pursuant to 18 U.S.C. Section 1350, as adopted pursuant to Section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906 of the Sarbanes-Oxley Act of 2002, that to our knowledge:</w:t>
      </w:r>
    </w:p>
    <w:p>
      <w:pPr>
        <w:spacing w:after="0" w:line="85"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500"/>
        <w:spacing w:after="0"/>
        <w:tabs>
          <w:tab w:leader="none" w:pos="1080" w:val="left"/>
          <w:tab w:leader="none" w:pos="5660" w:val="left"/>
        </w:tabs>
        <w:rPr>
          <w:sz w:val="20"/>
          <w:szCs w:val="20"/>
          <w:color w:val="auto"/>
        </w:rPr>
      </w:pPr>
      <w:r>
        <w:rPr>
          <w:rFonts w:ascii="Times New Roman" w:cs="Times New Roman" w:eastAsia="Times New Roman" w:hAnsi="Times New Roman"/>
          <w:sz w:val="18"/>
          <w:szCs w:val="18"/>
          <w:color w:val="auto"/>
        </w:rPr>
        <w:t>Date:</w:t>
        <w:tab/>
        <w:t>November 2, 2022</w:t>
      </w:r>
      <w:r>
        <w:rPr>
          <w:sz w:val="20"/>
          <w:szCs w:val="20"/>
          <w:color w:val="auto"/>
        </w:rPr>
        <w:tab/>
      </w:r>
      <w:r>
        <w:rPr>
          <w:rFonts w:ascii="Times New Roman" w:cs="Times New Roman" w:eastAsia="Times New Roman" w:hAnsi="Times New Roman"/>
          <w:sz w:val="17"/>
          <w:szCs w:val="17"/>
          <w:color w:val="auto"/>
        </w:rPr>
        <w:t>/s/ 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4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Richard F. Pops</w:t>
      </w:r>
    </w:p>
    <w:p>
      <w:pPr>
        <w:spacing w:after="0" w:line="3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63" w:lineRule="exact"/>
        <w:rPr>
          <w:sz w:val="20"/>
          <w:szCs w:val="20"/>
          <w:color w:val="auto"/>
        </w:rPr>
      </w:pPr>
    </w:p>
    <w:p>
      <w:pPr>
        <w:ind w:left="500"/>
        <w:spacing w:after="0"/>
        <w:tabs>
          <w:tab w:leader="none" w:pos="1080" w:val="left"/>
          <w:tab w:leader="none" w:pos="5660" w:val="left"/>
        </w:tabs>
        <w:rPr>
          <w:sz w:val="20"/>
          <w:szCs w:val="20"/>
          <w:color w:val="auto"/>
        </w:rPr>
      </w:pPr>
      <w:r>
        <w:rPr>
          <w:rFonts w:ascii="Times New Roman" w:cs="Times New Roman" w:eastAsia="Times New Roman" w:hAnsi="Times New Roman"/>
          <w:sz w:val="18"/>
          <w:szCs w:val="18"/>
          <w:color w:val="auto"/>
        </w:rPr>
        <w:t>Date:</w:t>
        <w:tab/>
        <w:t>November 2, 2022</w:t>
      </w:r>
      <w:r>
        <w:rPr>
          <w:sz w:val="20"/>
          <w:szCs w:val="20"/>
          <w:color w:val="auto"/>
        </w:rPr>
        <w:tab/>
      </w:r>
      <w:r>
        <w:rPr>
          <w:rFonts w:ascii="Times New Roman" w:cs="Times New Roman" w:eastAsia="Times New Roman" w:hAnsi="Times New Roman"/>
          <w:sz w:val="17"/>
          <w:szCs w:val="17"/>
          <w:color w:val="auto"/>
        </w:rPr>
        <w:t>/s/ Iain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4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Iain M. Brown</w:t>
      </w:r>
    </w:p>
    <w:p>
      <w:pPr>
        <w:spacing w:after="0" w:line="3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3"/>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1"/>
    </w:lvl>
    <w:lvl w:ilvl="1">
      <w:lvlJc w:val="left"/>
      <w:lvlText w:val="(%2)"/>
      <w:numFmt w:val="decimal"/>
      <w:start w:val="1"/>
    </w:lvl>
  </w:abstractNum>
  <w:abstractNum w:abstractNumId="7">
    <w:nsid w:val="8EDBDAB"/>
    <w:multiLevelType w:val="hybridMultilevel"/>
    <w:lvl w:ilvl="0">
      <w:lvlJc w:val="left"/>
      <w:lvlText w:val="%1."/>
      <w:numFmt w:val="decimal"/>
      <w:start w:val="7"/>
    </w:lvl>
    <w:lvl w:ilvl="1">
      <w:lvlJc w:val="left"/>
      <w:lvlText w:val="%2"/>
      <w:numFmt w:val="decimal"/>
      <w:start w:val="1"/>
    </w:lvl>
  </w:abstractNum>
  <w:abstractNum w:abstractNumId="8">
    <w:nsid w:val="79838CB2"/>
    <w:multiLevelType w:val="hybridMultilevel"/>
    <w:lvl w:ilvl="0">
      <w:lvlJc w:val="left"/>
      <w:lvlText w:val="%1."/>
      <w:numFmt w:val="decimal"/>
      <w:start w:val="10"/>
    </w:lvl>
  </w:abstractNum>
  <w:abstractNum w:abstractNumId="9">
    <w:nsid w:val="4353D0CD"/>
    <w:multiLevelType w:val="hybridMultilevel"/>
    <w:lvl w:ilvl="0">
      <w:lvlJc w:val="left"/>
      <w:lvlText w:val="%1."/>
      <w:numFmt w:val="decimal"/>
      <w:start w:val="15"/>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lvl w:ilvl="1">
      <w:lvlJc w:val="left"/>
      <w:lvlText w:val="*"/>
      <w:numFmt w:val="bullet"/>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2"/>
    </w:lvl>
  </w:abstractNum>
  <w:abstractNum w:abstractNumId="15">
    <w:nsid w:val="836C40E"/>
    <w:multiLevelType w:val="hybridMultilevel"/>
    <w:lvl w:ilvl="0">
      <w:lvlJc w:val="left"/>
      <w:lvlText w:val="%1."/>
      <w:numFmt w:val="decimal"/>
      <w:start w:val="3"/>
    </w:lvl>
  </w:abstractNum>
  <w:abstractNum w:abstractNumId="16">
    <w:nsid w:val="2901D82"/>
    <w:multiLevelType w:val="hybridMultilevel"/>
    <w:lvl w:ilvl="0">
      <w:lvlJc w:val="left"/>
      <w:lvlText w:val="(%1)"/>
      <w:numFmt w:val="upperLetter"/>
      <w:start w:val="9"/>
    </w:lvl>
  </w:abstractNum>
  <w:abstractNum w:abstractNumId="17">
    <w:nsid w:val="3A95F874"/>
    <w:multiLevelType w:val="hybridMultilevel"/>
    <w:lvl w:ilvl="0">
      <w:lvlJc w:val="left"/>
      <w:lvlText w:val="(%1)"/>
      <w:numFmt w:val="upperLetter"/>
      <w:start w:val="35"/>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2"/>
    </w:lvl>
    <w:lvl w:ilvl="3">
      <w:lvlJc w:val="left"/>
      <w:lvlText w:val="%4"/>
      <w:numFmt w:val="lowerLetter"/>
      <w:start w:val="1"/>
    </w:lvl>
  </w:abstractNum>
  <w:abstractNum w:abstractNumId="20">
    <w:nsid w:val="7C3DBD3D"/>
    <w:multiLevelType w:val="hybridMultilevel"/>
    <w:lvl w:ilvl="0">
      <w:lvlJc w:val="left"/>
      <w:lvlText w:val="%1"/>
      <w:numFmt w:val="decimal"/>
      <w:start w:val="1"/>
    </w:lvl>
    <w:lvl w:ilvl="1">
      <w:lvlJc w:val="left"/>
      <w:lvlText w:val="(%2)"/>
      <w:numFmt w:val="upperLetter"/>
      <w:start w:val="61"/>
    </w:lvl>
    <w:lvl w:ilvl="2">
      <w:lvlJc w:val="left"/>
      <w:lvlText w:val="%3"/>
      <w:numFmt w:val="lowerLetter"/>
      <w:start w:val="1"/>
    </w:lvl>
    <w:lvl w:ilvl="3">
      <w:lvlJc w:val="left"/>
      <w:lvlText w:val="(%4)"/>
      <w:numFmt w:val="lowerLetter"/>
      <w:start w:val="1"/>
    </w:lvl>
  </w:abstractNum>
  <w:abstractNum w:abstractNumId="21">
    <w:nsid w:val="737B8DDC"/>
    <w:multiLevelType w:val="hybridMultilevel"/>
    <w:lvl w:ilvl="0">
      <w:lvlJc w:val="left"/>
      <w:lvlText w:val="%1."/>
      <w:numFmt w:val="decimal"/>
      <w:start w:val="4"/>
    </w:lvl>
    <w:lvl w:ilvl="1">
      <w:lvlJc w:val="left"/>
      <w:lvlText w:val="%2"/>
      <w:numFmt w:val="upperLetter"/>
      <w:start w:val="1"/>
    </w:lvl>
    <w:lvl w:ilvl="2">
      <w:lvlJc w:val="left"/>
      <w:lvlText w:val="%3"/>
      <w:numFmt w:val="lowerLetter"/>
      <w:start w:val="1"/>
    </w:lvl>
    <w:lvl w:ilvl="3">
      <w:lvlJc w:val="left"/>
      <w:lvlText w:val="%4"/>
      <w:numFmt w:val="lowerLetter"/>
      <w:start w:val="1"/>
    </w:lvl>
  </w:abstractNum>
  <w:abstractNum w:abstractNumId="22">
    <w:nsid w:val="6CEAF087"/>
    <w:multiLevelType w:val="hybridMultilevel"/>
    <w:lvl w:ilvl="0">
      <w:lvlJc w:val="left"/>
      <w:lvlText w:val="%1."/>
      <w:numFmt w:val="decimal"/>
      <w:start w:val="5"/>
    </w:lvl>
    <w:lvl w:ilvl="1">
      <w:lvlJc w:val="left"/>
      <w:lvlText w:val="(%2)"/>
      <w:numFmt w:val="lowerLetter"/>
      <w:start w:val="9"/>
    </w:lvl>
    <w:lvl w:ilvl="2">
      <w:lvlJc w:val="left"/>
      <w:lvlText w:val="(%3)"/>
      <w:numFmt w:val="lowerLetter"/>
      <w:start w:val="1"/>
    </w:lvl>
    <w:lvl w:ilvl="3">
      <w:lvlJc w:val="left"/>
      <w:lvlText w:val="(%4)"/>
      <w:numFmt w:val="lowerLetter"/>
      <w:start w:val="1"/>
    </w:lvl>
  </w:abstractNum>
  <w:abstractNum w:abstractNumId="23">
    <w:nsid w:val="22221A70"/>
    <w:multiLevelType w:val="hybridMultilevel"/>
    <w:lvl w:ilvl="0">
      <w:lvlJc w:val="left"/>
      <w:lvlText w:val="(%1)"/>
      <w:numFmt w:val="upperLetter"/>
      <w:start w:val="9"/>
    </w:lvl>
  </w:abstractNum>
  <w:abstractNum w:abstractNumId="24">
    <w:nsid w:val="4516DDE9"/>
    <w:multiLevelType w:val="hybridMultilevel"/>
    <w:lvl w:ilvl="0">
      <w:lvlJc w:val="left"/>
      <w:lvlText w:val="(%1)"/>
      <w:numFmt w:val="upperLetter"/>
      <w:start w:val="35"/>
    </w:lvl>
  </w:abstractNum>
  <w:abstractNum w:abstractNumId="25">
    <w:nsid w:val="3006C83E"/>
    <w:multiLevelType w:val="hybridMultilevel"/>
    <w:lvl w:ilvl="0">
      <w:lvlJc w:val="left"/>
      <w:lvlText w:val="(%1)"/>
      <w:numFmt w:val="upperLetter"/>
      <w:start w:val="61"/>
    </w:lvl>
  </w:abstractNum>
  <w:abstractNum w:abstractNumId="26">
    <w:nsid w:val="614FD4A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2"/>
    </w:lvl>
  </w:abstractNum>
  <w:abstractNum w:abstractNumId="27">
    <w:nsid w:val="419AC241"/>
    <w:multiLevelType w:val="hybridMultilevel"/>
    <w:lvl w:ilvl="0">
      <w:lvlJc w:val="left"/>
      <w:lvlText w:val="%1"/>
      <w:numFmt w:val="lowerLetter"/>
      <w:start w:val="1"/>
    </w:lvl>
    <w:lvl w:ilvl="1">
      <w:lvlJc w:val="left"/>
      <w:lvlText w:val="(%2)"/>
      <w:numFmt w:val="lowerLetter"/>
      <w:start w:val="4"/>
    </w:lvl>
    <w:lvl w:ilvl="2">
      <w:lvlJc w:val="left"/>
      <w:lvlText w:val="%3"/>
      <w:numFmt w:val="upperLetter"/>
      <w:start w:val="1"/>
    </w:lvl>
  </w:abstractNum>
  <w:abstractNum w:abstractNumId="28">
    <w:nsid w:val="5577F8E1"/>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29">
    <w:nsid w:val="440BADF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abstractNum w:abstractNumId="30">
    <w:nsid w:val="5072367"/>
    <w:multiLevelType w:val="hybridMultilevel"/>
    <w:lvl w:ilvl="0">
      <w:lvlJc w:val="left"/>
      <w:lvlText w:val="(%1)"/>
      <w:numFmt w:val="upperLetter"/>
      <w:start w:val="9"/>
    </w:lvl>
  </w:abstractNum>
  <w:abstractNum w:abstractNumId="31">
    <w:nsid w:val="3804823E"/>
    <w:multiLevelType w:val="hybridMultilevel"/>
    <w:lvl w:ilvl="0">
      <w:lvlJc w:val="left"/>
      <w:lvlText w:val="(%1)"/>
      <w:numFmt w:val="upperLetter"/>
      <w:start w:val="35"/>
    </w:lvl>
  </w:abstractNum>
  <w:abstractNum w:abstractNumId="32">
    <w:nsid w:val="77465F01"/>
    <w:multiLevelType w:val="hybridMultilevel"/>
    <w:lvl w:ilvl="0">
      <w:lvlJc w:val="left"/>
      <w:lvlText w:val="(%1)"/>
      <w:numFmt w:val="upperLetter"/>
      <w:start w:val="61"/>
    </w:lvl>
  </w:abstractNum>
  <w:abstractNum w:abstractNumId="33">
    <w:nsid w:val="7724C67E"/>
    <w:multiLevelType w:val="hybridMultilevel"/>
    <w:lvl w:ilvl="0">
      <w:lvlJc w:val="left"/>
      <w:lvlText w:val="(%1)"/>
      <w:numFmt w:val="upperLetter"/>
      <w:start w:val="22"/>
    </w:lvl>
  </w:abstractNum>
  <w:abstractNum w:abstractNumId="34">
    <w:nsid w:val="5C482A97"/>
    <w:multiLevelType w:val="hybridMultilevel"/>
    <w:lvl w:ilvl="0">
      <w:lvlJc w:val="left"/>
      <w:lvlText w:val="%1"/>
      <w:numFmt w:val="lowerLetter"/>
      <w:start w:val="1"/>
    </w:lvl>
    <w:lvl w:ilvl="1">
      <w:lvlJc w:val="left"/>
      <w:lvlText w:val="(%2)"/>
      <w:numFmt w:val="upperLetter"/>
      <w:start w:val="24"/>
    </w:lvl>
  </w:abstractNum>
  <w:abstractNum w:abstractNumId="35">
    <w:nsid w:val="2463B9EA"/>
    <w:multiLevelType w:val="hybridMultilevel"/>
    <w:lvl w:ilvl="0">
      <w:lvlJc w:val="left"/>
      <w:lvlText w:val="(%1)"/>
      <w:numFmt w:val="lowerLetter"/>
      <w:start w:val="4"/>
    </w:lvl>
    <w:lvl w:ilvl="1">
      <w:lvlJc w:val="left"/>
      <w:lvlText w:val="%2"/>
      <w:numFmt w:val="upperLetter"/>
      <w:start w:val="1"/>
    </w:lvl>
  </w:abstractNum>
  <w:abstractNum w:abstractNumId="36">
    <w:nsid w:val="5E884ADC"/>
    <w:multiLevelType w:val="hybridMultilevel"/>
    <w:lvl w:ilvl="0">
      <w:lvlJc w:val="left"/>
      <w:lvlText w:val="%1"/>
      <w:numFmt w:val="decimal"/>
      <w:start w:val="1"/>
    </w:lvl>
    <w:lvl w:ilvl="1">
      <w:lvlJc w:val="left"/>
      <w:lvlText w:val="(%2)"/>
      <w:numFmt w:val="lowerRoman"/>
      <w:start w:val="3"/>
    </w:lvl>
  </w:abstractNum>
  <w:abstractNum w:abstractNumId="37">
    <w:nsid w:val="51EAD36B"/>
    <w:multiLevelType w:val="hybridMultilevel"/>
    <w:lvl w:ilvl="0">
      <w:lvlJc w:val="left"/>
      <w:lvlText w:val="%1."/>
      <w:numFmt w:val="decimal"/>
      <w:start w:val="6"/>
    </w:lvl>
    <w:lvl w:ilvl="1">
      <w:lvlJc w:val="left"/>
      <w:lvlText w:val="%2"/>
      <w:numFmt w:val="lowerRoman"/>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10" Type="http://schemas.openxmlformats.org/officeDocument/2006/relationships/hyperlink" Target="https://www.sec.gov/Archives/edgar/data/1520262/000156459022025465/alks-ex101_15.htm" TargetMode="External"/><Relationship Id="rId311" Type="http://schemas.openxmlformats.org/officeDocument/2006/relationships/hyperlink" Target="https://www.sec.gov/Archives/edgar/data/1520262/000156459022026586/alks-ex1011_141.htm" TargetMode="External"/><Relationship Id="rId312" Type="http://schemas.openxmlformats.org/officeDocument/2006/relationships/hyperlink" Target="https://www.sec.gov/Archives/edgar/data/1520262/000156459022026586/alks-ex1012_14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2022-11-02T08:24:29Z</dcterms:created>
  <dcterms:modified xsi:type="dcterms:W3CDTF">2022-11-02T08:24:29Z</dcterms:modified>
</cp:coreProperties>
</file>