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93446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934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291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BLOOM FLOYD E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Alkermes plc.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ALKS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TREASURY BUILDING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09/16/2011</w:t>
            </w: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LOWER GRAND CANAL STREET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291" w:gutter="0" w:footer="0" w:header="0"/>
          <w:type w:val="continuous"/>
        </w:sectPr>
      </w:pP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DUBLIN 2</w:t>
      </w:r>
    </w:p>
    <w:p>
      <w:pPr>
        <w:spacing w:after="0" w:line="349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340" w:hanging="340"/>
        <w:spacing w:after="0"/>
        <w:tabs>
          <w:tab w:leader="none" w:pos="340" w:val="left"/>
        </w:tabs>
        <w:numPr>
          <w:ilvl w:val="0"/>
          <w:numId w:val="1"/>
        </w:numPr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7"/>
          <w:szCs w:val="17"/>
          <w:color w:val="0000FF"/>
        </w:rPr>
      </w:pPr>
    </w:p>
    <w:p>
      <w:pPr>
        <w:ind w:left="340" w:right="600"/>
        <w:spacing w:after="0" w:line="255" w:lineRule="auto"/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 Person</w:t>
      </w:r>
    </w:p>
    <w:p>
      <w:pPr>
        <w:spacing w:after="0" w:line="46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3260"/>
          </w:cols>
          <w:pgMar w:left="240" w:top="225" w:right="139" w:bottom="291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09/16/2011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90,281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90,281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Floyd 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09/16/2011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9,028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9,028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Charitable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Remainder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Jody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Corey-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09/16/2011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21,066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21,066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Charitable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Remainder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5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7.19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09/16/2011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09/18/2012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5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13.44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09/16/2011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09/09/2013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5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11.84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09/16/2011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09/23/2014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5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16.77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09/16/2011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09/23/2015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5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291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144145</wp:posOffset>
            </wp:positionH>
            <wp:positionV relativeFrom="page">
              <wp:posOffset>88900</wp:posOffset>
            </wp:positionV>
            <wp:extent cx="7323455" cy="4960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60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1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14.04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09/21/2016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83"/>
        </w:trPr>
        <w:tc>
          <w:tcPr>
            <w:tcW w:w="720" w:type="dxa"/>
            <w:vAlign w:val="bottom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1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18.29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10/09/2017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83"/>
        </w:trPr>
        <w:tc>
          <w:tcPr>
            <w:tcW w:w="720" w:type="dxa"/>
            <w:vAlign w:val="bottom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1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11.44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10/07/2018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83"/>
        </w:trPr>
        <w:tc>
          <w:tcPr>
            <w:tcW w:w="720" w:type="dxa"/>
            <w:vAlign w:val="bottom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9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8.98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10/06/2019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97"/>
        </w:trPr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1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14.92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10/05/2020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95"/>
        </w:trPr>
        <w:tc>
          <w:tcPr>
            <w:tcW w:w="72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</w:tbl>
    <w:p>
      <w:pPr>
        <w:ind w:left="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20" w:right="300" w:firstLine="8"/>
        <w:spacing w:after="0" w:line="272" w:lineRule="auto"/>
        <w:tabs>
          <w:tab w:leader="none" w:pos="15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Received in exchange for shares of Alkermes, Inc. common stock in connection with the merger of Alkermes, Inc. and the global drug delivery technologies business of Elan (the "Merger"). On 9/16/11, the effective date of the Merger, the closing price of ALKS was $16.57 per share.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2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options are fully vested in accordance with their terms.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2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Received in exchange for, and having substantially the same terms as, stock options of Alkermes, Inc. common stock in connection with the Merger.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Jennifer Baptiste, attorney-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09/20/2011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in-fact for Floyd Bloom</w:t>
            </w:r>
          </w:p>
        </w:tc>
        <w:tc>
          <w:tcPr>
            <w:tcW w:w="4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20" w:right="3740" w:firstLine="8"/>
        <w:spacing w:after="0" w:line="321" w:lineRule="auto"/>
        <w:tabs>
          <w:tab w:leader="none" w:pos="16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60" w:top="188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36440" TargetMode="External"/><Relationship Id="rId13" Type="http://schemas.openxmlformats.org/officeDocument/2006/relationships/hyperlink" Target="http://www.sec.gov/cgi-bin/browse-edgar?action=getcompany&amp;CIK=00015202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2019-12-17T00:14:50Z</dcterms:created>
  <dcterms:modified xsi:type="dcterms:W3CDTF">2019-12-17T00:14:50Z</dcterms:modified>
</cp:coreProperties>
</file>