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974090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ALKERMES PUBLIC LIMITED COMPANY</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98"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1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001-35299</w:t>
      </w:r>
    </w:p>
    <w:p>
      <w:pPr>
        <w:spacing w:after="0" w:line="30"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color w:val="auto"/>
        </w:rPr>
        <w:t>(Commission</w:t>
      </w:r>
    </w:p>
    <w:p>
      <w:pPr>
        <w:spacing w:after="0" w:line="1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98-1007018</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(IRS Employer</w:t>
      </w:r>
    </w:p>
    <w:p>
      <w:pPr>
        <w:spacing w:after="0" w:line="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3120" w:space="720"/>
            <w:col w:w="2340"/>
          </w:cols>
          <w:pgMar w:left="320" w:top="1440"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Connaught House, 1 Burlington Road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Dublin 4, Ireland D04 C5Y6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+ 353-1-772-8000</w:t>
      </w:r>
    </w:p>
    <w:p>
      <w:pPr>
        <w:sectPr>
          <w:pgSz w:w="11900" w:h="16838" w:orient="portrait"/>
          <w:cols w:equalWidth="0" w:num="1">
            <w:col w:w="11240"/>
          </w:cols>
          <w:pgMar w:left="320" w:top="1440" w:right="339" w:bottom="1440" w:gutter="0" w:footer="0" w:header="0"/>
          <w:type w:val="continuous"/>
        </w:sectPr>
      </w:pPr>
    </w:p>
    <w:p>
      <w:pPr>
        <w:spacing w:after="0" w:line="130"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8"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8"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8"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8"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42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Ordinary shares, $0.01 par value</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ALKS</w:t>
            </w:r>
          </w:p>
        </w:tc>
        <w:tc>
          <w:tcPr>
            <w:tcW w:w="30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c>
          <w:tcPr>
            <w:tcW w:w="0" w:type="dxa"/>
            <w:vAlign w:val="bottom"/>
          </w:tcPr>
          <w:p>
            <w:pPr>
              <w:spacing w:after="0"/>
              <w:rPr>
                <w:sz w:val="1"/>
                <w:szCs w:val="1"/>
                <w:color w:val="auto"/>
              </w:rPr>
            </w:pPr>
          </w:p>
        </w:tc>
      </w:tr>
    </w:tbl>
    <w:p>
      <w:pPr>
        <w:spacing w:after="0" w:line="244" w:lineRule="exact"/>
        <w:rPr>
          <w:sz w:val="24"/>
          <w:szCs w:val="24"/>
          <w:color w:val="auto"/>
        </w:rPr>
      </w:pPr>
    </w:p>
    <w:p>
      <w:pPr>
        <w:ind w:right="58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9" w:lineRule="exact"/>
        <w:rPr>
          <w:sz w:val="24"/>
          <w:szCs w:val="24"/>
          <w:color w:val="auto"/>
        </w:rPr>
      </w:pPr>
    </w:p>
    <w:p>
      <w:pPr>
        <w:ind w:right="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1162050</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On June 15, 2026, Alkermes plc (the “Company”) issued a press release announcing the grant of orphan drug designations to alixorexton, as described in Item 8.01 of this Current Report on Form 8-K. A copy of the related press release is furnished herewith as Exhibit 99.1 and is incorporated herein by reference.</w:t>
      </w:r>
    </w:p>
    <w:p>
      <w:pPr>
        <w:spacing w:after="0" w:line="17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The information in this Item 7.01, and in Exhibit 99.1 furnished herewith,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6"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17"/>
          <w:szCs w:val="17"/>
          <w:color w:val="auto"/>
        </w:rPr>
        <w:t>On June 15, 2026, the Company announced that the U.S. Food and Drug Administration has granted orphan drug designation to alixorexton for the treatment of idiopathic hypersomnia, and the European Commission has granted orphan drug designation to alixorexton for the treatment of narcolepsy.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2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9"/>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Alkermes plc dated June 15, 2026.</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Borders>
              <w:right w:val="single" w:sz="8" w:color="0000EE"/>
            </w:tcBorders>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8" w:lineRule="exact"/>
        <w:rPr>
          <w:sz w:val="20"/>
          <w:szCs w:val="20"/>
          <w:color w:val="auto"/>
        </w:rPr>
      </w:pPr>
    </w:p>
    <w:p>
      <w:pPr>
        <w:ind w:left="1420" w:hanging="1413"/>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p>
        </w:tc>
        <w:tc>
          <w:tcPr>
            <w:tcW w:w="76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ALKERMES PLC</w:t>
            </w:r>
          </w:p>
        </w:tc>
      </w:tr>
      <w:tr>
        <w:trPr>
          <w:trHeight w:val="4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Gaffin</w:t>
            </w:r>
          </w:p>
        </w:tc>
      </w:tr>
      <w:tr>
        <w:trPr>
          <w:trHeight w:val="190"/>
        </w:trPr>
        <w:tc>
          <w:tcPr>
            <w:tcW w:w="3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David J. Gaffin</w:t>
            </w:r>
          </w:p>
        </w:tc>
      </w:tr>
      <w:tr>
        <w:trPr>
          <w:trHeight w:val="233"/>
        </w:trPr>
        <w:tc>
          <w:tcPr>
            <w:tcW w:w="3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u w:val="single" w:color="auto"/>
          <w:color w:val="auto"/>
        </w:rPr>
        <w:t>Alkermes Contacts:</w:t>
      </w:r>
    </w:p>
    <w:p>
      <w:pPr>
        <w:jc w:val="right"/>
        <w:ind w:right="1280"/>
        <w:spacing w:after="0"/>
        <w:tabs>
          <w:tab w:leader="none" w:pos="4040" w:val="left"/>
          <w:tab w:leader="none" w:pos="2600" w:val="left"/>
        </w:tabs>
        <w:rPr>
          <w:sz w:val="20"/>
          <w:szCs w:val="20"/>
          <w:color w:val="auto"/>
        </w:rPr>
      </w:pPr>
      <w:r>
        <w:rPr>
          <w:rFonts w:ascii="Times New Roman" w:cs="Times New Roman" w:eastAsia="Times New Roman" w:hAnsi="Times New Roman"/>
          <w:sz w:val="20"/>
          <w:szCs w:val="20"/>
          <w:color w:val="auto"/>
        </w:rPr>
        <w:t>For Investors:</w:t>
        <w:tab/>
        <w:t>Sandy Coombs,</w:t>
      </w:r>
      <w:r>
        <w:rPr>
          <w:sz w:val="20"/>
          <w:szCs w:val="20"/>
          <w:color w:val="auto"/>
        </w:rPr>
        <w:tab/>
      </w:r>
      <w:r>
        <w:rPr>
          <w:rFonts w:ascii="Times New Roman" w:cs="Times New Roman" w:eastAsia="Times New Roman" w:hAnsi="Times New Roman"/>
          <w:sz w:val="19"/>
          <w:szCs w:val="19"/>
          <w:color w:val="auto"/>
        </w:rPr>
        <w:t>+1 781 609 6377</w:t>
      </w:r>
    </w:p>
    <w:p>
      <w:pPr>
        <w:spacing w:after="0" w:line="1" w:lineRule="exact"/>
        <w:rPr>
          <w:sz w:val="20"/>
          <w:szCs w:val="20"/>
          <w:color w:val="auto"/>
        </w:rPr>
      </w:pPr>
    </w:p>
    <w:p>
      <w:pPr>
        <w:jc w:val="right"/>
        <w:ind w:right="1260"/>
        <w:spacing w:after="0"/>
        <w:tabs>
          <w:tab w:leader="none" w:pos="4040" w:val="left"/>
        </w:tabs>
        <w:rPr>
          <w:sz w:val="20"/>
          <w:szCs w:val="20"/>
          <w:color w:val="auto"/>
        </w:rPr>
      </w:pPr>
      <w:r>
        <w:rPr>
          <w:rFonts w:ascii="Times New Roman" w:cs="Times New Roman" w:eastAsia="Times New Roman" w:hAnsi="Times New Roman"/>
          <w:sz w:val="20"/>
          <w:szCs w:val="20"/>
          <w:color w:val="auto"/>
        </w:rPr>
        <w:t>For Media:</w:t>
      </w:r>
      <w:r>
        <w:rPr>
          <w:sz w:val="20"/>
          <w:szCs w:val="20"/>
          <w:color w:val="auto"/>
        </w:rPr>
        <w:tab/>
      </w:r>
      <w:r>
        <w:rPr>
          <w:rFonts w:ascii="Times New Roman" w:cs="Times New Roman" w:eastAsia="Times New Roman" w:hAnsi="Times New Roman"/>
          <w:sz w:val="19"/>
          <w:szCs w:val="19"/>
          <w:color w:val="auto"/>
        </w:rPr>
        <w:t>Gretchen Murphy,+1 781 609 6419</w:t>
      </w: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Alkermes Announces Orphan Drug Designations for Alixorexton in the U.S. and Europe</w:t>
      </w:r>
    </w:p>
    <w:p>
      <w:pPr>
        <w:spacing w:after="0" w:line="24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DUBLIN, June 15, 2026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Alkermes plc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(Nasdaq: ALKS) today announced that alixorexton, a novel, investigational, oral,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selective orexin 2 receptor (OX2R) agonist in development for the treatment of narcolepsy type 1 (NT1), narcolepsy type 2 (NT2) and idiopathic hypersomnia (IH), was recently granted orphan drug designations (ODD) from leading regulatory bodies in the U.S. and Europe. The U.S. Food and Drug Administration (FDA) has granted ODD to alixorexton for the treatment of IH, and the European Commission has granted ODD to alixorexton for the treatment of narcolepsy.</w:t>
      </w:r>
    </w:p>
    <w:p>
      <w:pPr>
        <w:spacing w:after="0" w:line="19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1"/>
          <w:szCs w:val="21"/>
          <w:color w:val="auto"/>
        </w:rPr>
        <w:t>“Narcolepsy and idiopathic hypersomnia are rare, chronic neurological conditions for which significant unmet need remains. These orphan drug designations represent important milestones for the alixorexton program and underscore its potential, if approved, to advance care for the narcolepsy and idiopathic hypersomnia patient communities,” said Craig Hopkinson, M.D., (MBChB), Chief Medical Officer and Executive Vice President, Research &amp; Development at Alkermes. “Alixorexton’s phase 2 clinical trial results in narcolepsy type 1 and type 2 underscore its potential to become a differentiated treatment option. We look forward to continuing our momentum in the alixorexton development program as we enroll the phase 3 Brilliance Studies and work to complete the Vibrance-3 phase 2 study in IH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1015365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4" w:name="page5"/>
    <w:bookmarkEnd w:id="4"/>
    <w:p>
      <w:pPr>
        <w:spacing w:after="0" w:line="249" w:lineRule="auto"/>
        <w:rPr>
          <w:sz w:val="20"/>
          <w:szCs w:val="20"/>
          <w:color w:val="auto"/>
        </w:rPr>
      </w:pPr>
      <w:r>
        <w:rPr>
          <w:rFonts w:ascii="Times New Roman" w:cs="Times New Roman" w:eastAsia="Times New Roman" w:hAnsi="Times New Roman"/>
          <w:sz w:val="21"/>
          <w:szCs w:val="21"/>
          <w:color w:val="auto"/>
        </w:rPr>
        <w:t>Orphan drug designation supports the development of medicines intended to treat rare diseases. In the United States, orphan drug designation qualifies the drug developer for a variety of development incentives, including tax credits for qualified clinical testing, exemptions from certain FDA application fees, and seven years of market exclusivity, if approved. In the European Union, orphan designation provides incentives that may include protocol assistance, reduced regulatory fees, and up to 10 years of market exclusivity, if approved.</w:t>
      </w:r>
    </w:p>
    <w:p>
      <w:pPr>
        <w:spacing w:after="0" w:line="19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1"/>
          <w:szCs w:val="21"/>
          <w:color w:val="auto"/>
        </w:rPr>
        <w:t>Alixorexton previously received Breakthrough Therapy designation for the treatment of NT1 from the FDA. Alixorexton is currently being evaluated in the phase 3 Brilliance Studies in adults with NT1 and NT2, and in the phase 2 Vibrance-3 study in adults with IH (Brilliance NT1 – Study 302: NCT07455383; Brilliance NT2 – Study 303: NCT07502443; Brilliance NT1 – Study 304: NCT07540897; Vibrance-3: NCT06843590).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Narcolepsy</w:t>
      </w:r>
    </w:p>
    <w:p>
      <w:pPr>
        <w:spacing w:after="0" w:line="28"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21"/>
          <w:szCs w:val="21"/>
          <w:color w:val="auto"/>
        </w:rPr>
        <w:t>Narcolepsy is a rare, chronic, neurological disorder that affects the brain’s ability to regulate the sleep/wake cycle. Excessive daytime sleepiness is the hallmark symptom of narcolepsy; additional symptoms can include sleep paralysis, sleep-related hallucinations and disturbed nighttime sleep.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1"/>
          <w:szCs w:val="21"/>
          <w:color w:val="auto"/>
        </w:rPr>
        <w:t xml:space="preserve"> There are two types of narcolepsy: narcolepsy type 1 is characterized by the loss of orexin-producing neurons, and is also associated with cataplexy, a sudden loss of muscle control while a person is awake, often triggered by strong emotions.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1"/>
          <w:szCs w:val="21"/>
          <w:color w:val="auto"/>
        </w:rPr>
        <w:t xml:space="preserve"> The underlying neuropathology of narcolepsy type 2 remains to be fully elucidated; however the orexin pathway may play an important role.</w:t>
      </w:r>
      <w:r>
        <w:rPr>
          <w:rFonts w:ascii="Times New Roman" w:cs="Times New Roman" w:eastAsia="Times New Roman" w:hAnsi="Times New Roman"/>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957580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b w:val="1"/>
          <w:bCs w:val="1"/>
          <w:color w:val="auto"/>
        </w:rPr>
        <w:t>About Idiopathic Hypersomnia</w:t>
      </w:r>
    </w:p>
    <w:p>
      <w:pPr>
        <w:spacing w:after="0" w:line="28"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21"/>
          <w:szCs w:val="21"/>
          <w:color w:val="auto"/>
        </w:rPr>
        <w:t>Idiopathic hypersomnia (IH) is a rare, chronic, neurological sleep disorder characterized by excessive daytime sleepiness despite normal sleep durations.</w:t>
      </w:r>
      <w:r>
        <w:rPr>
          <w:rFonts w:ascii="Times New Roman" w:cs="Times New Roman" w:eastAsia="Times New Roman" w:hAnsi="Times New Roman"/>
          <w:sz w:val="28"/>
          <w:szCs w:val="28"/>
          <w:color w:val="auto"/>
          <w:vertAlign w:val="superscript"/>
        </w:rPr>
        <w:t>4,5</w:t>
      </w:r>
      <w:r>
        <w:rPr>
          <w:rFonts w:ascii="Times New Roman" w:cs="Times New Roman" w:eastAsia="Times New Roman" w:hAnsi="Times New Roman"/>
          <w:sz w:val="21"/>
          <w:szCs w:val="21"/>
          <w:color w:val="auto"/>
        </w:rPr>
        <w:t xml:space="preserve"> Additional common symptoms can include severe sleep inertia (individuals may feel groggy or disoriented for prolonged periods after waking up), unrefreshing naps, fatigue and cognitive dysfunction.</w:t>
      </w:r>
      <w:r>
        <w:rPr>
          <w:rFonts w:ascii="Times New Roman" w:cs="Times New Roman" w:eastAsia="Times New Roman" w:hAnsi="Times New Roman"/>
          <w:sz w:val="28"/>
          <w:szCs w:val="28"/>
          <w:color w:val="auto"/>
          <w:vertAlign w:val="superscript"/>
        </w:rPr>
        <w:t>6,7</w:t>
      </w:r>
      <w:r>
        <w:rPr>
          <w:rFonts w:ascii="Times New Roman" w:cs="Times New Roman" w:eastAsia="Times New Roman" w:hAnsi="Times New Roman"/>
          <w:sz w:val="21"/>
          <w:szCs w:val="21"/>
          <w:color w:val="auto"/>
        </w:rPr>
        <w:t xml:space="preserve"> The underlying neuropathology of idiopathic hypersomnia is unknown.</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1"/>
          <w:szCs w:val="21"/>
          <w:color w:val="auto"/>
        </w:rPr>
        <w:t xml:space="preserve"> IH affects an estimated 40,000 people in the U.S.</w:t>
      </w:r>
      <w:r>
        <w:rPr>
          <w:rFonts w:ascii="Times New Roman" w:cs="Times New Roman" w:eastAsia="Times New Roman" w:hAnsi="Times New Roman"/>
          <w:sz w:val="28"/>
          <w:szCs w:val="28"/>
          <w:color w:val="auto"/>
          <w:vertAlign w:val="superscript"/>
        </w:rPr>
        <w:t>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Alixorexton</w:t>
      </w:r>
    </w:p>
    <w:p>
      <w:pPr>
        <w:spacing w:after="0" w:line="2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1"/>
          <w:szCs w:val="21"/>
          <w:color w:val="auto"/>
        </w:rPr>
        <w:t>Alixorexton (formerly referred to as ALKS 2680) is a novel, investigational, oral, selective orexin 2 receptor (OX2R) agonist in development for the treatment of narcolepsy type 1 (NT1), narcolepsy type 2 (NT2) and idiopathic hypersomnia (IH). Orexin, a neuropeptide produced in the lateral hypothalamus, is considered to be the master regulator of wakefulness due to its activation of multiple, downstream wake-promoting pathways that project widely throughout the brain.</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1"/>
          <w:szCs w:val="21"/>
          <w:color w:val="auto"/>
        </w:rPr>
        <w:t xml:space="preserve"> Targeting the orexin system may address excessive daytime sleepiness across hypersomnolence disorders, whether or not deficient orexin signaling is the underlying cause of disease.</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21"/>
          <w:szCs w:val="21"/>
          <w:color w:val="auto"/>
        </w:rPr>
        <w:t xml:space="preserve"> Alixorexton is currently being evaluated in the phase 3 Brilliance Studies in patients with NT1 and NT2, and in the phase 2 Vibrance-3 study in patients with IH. The U.S. Food and Drug Administration (FDA) has granted alixorexton Breakthrough Therapy designation for the treatment of NT1 and Orphan Drug Designation (ODD) for the treatment of IH. The European Commission has granted ODD to alixorexton for the treatment of narcolepsy.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1175385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b w:val="1"/>
          <w:bCs w:val="1"/>
          <w:color w:val="auto"/>
        </w:rPr>
        <w:t>About Alkermes plc</w:t>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 xml:space="preserve">Alkermes plc (Nasdaq: ALKS), a mid-cap growth and value equity,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t>
      </w:r>
      <w:r>
        <w:rPr>
          <w:rFonts w:ascii="Times New Roman" w:cs="Times New Roman" w:eastAsia="Times New Roman" w:hAnsi="Times New Roman"/>
          <w:sz w:val="21"/>
          <w:szCs w:val="21"/>
          <w:u w:val="single" w:color="auto"/>
          <w:color w:val="467886"/>
        </w:rPr>
        <w:t>www.alkermes.com</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Regarding Forward-Looking Statements</w:t>
      </w:r>
    </w:p>
    <w:p>
      <w:pPr>
        <w:spacing w:after="0" w:line="2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1"/>
          <w:szCs w:val="21"/>
          <w:color w:val="auto"/>
        </w:rPr>
        <w:t>Certain statements set forth in this press release constitute “forward-looking statements” within the meaning of the Private Securities Litigation Reform Act of 1995, as amended, including, but not limited to, statements concerning: the potential therapeutic and commercial value of alixorexton, its potential regulatory approval, and timelines for its continued clinical development. The company cautions that forward-looking statements are inherently uncertain. Although the company believes that such statements are based on reasonable assumptions within the bounds of its knowledge of its business and operations, the forward-looking statements are neither promises nor guarantees and they are necessarily subject to a high degree of uncertainty and risk. Actual performance and results may differ materially from those expressed or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864870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395" w:right="439" w:bottom="1440" w:gutter="0" w:footer="0" w:header="0"/>
        </w:sectPr>
      </w:pPr>
    </w:p>
    <w:bookmarkStart w:id="7" w:name="page8"/>
    <w:bookmarkEnd w:id="7"/>
    <w:p>
      <w:pPr>
        <w:ind w:right="60"/>
        <w:spacing w:after="0" w:line="243" w:lineRule="auto"/>
        <w:rPr>
          <w:sz w:val="20"/>
          <w:szCs w:val="20"/>
          <w:color w:val="auto"/>
        </w:rPr>
      </w:pPr>
      <w:r>
        <w:rPr>
          <w:rFonts w:ascii="Times New Roman" w:cs="Times New Roman" w:eastAsia="Times New Roman" w:hAnsi="Times New Roman"/>
          <w:sz w:val="21"/>
          <w:szCs w:val="21"/>
          <w:color w:val="auto"/>
        </w:rPr>
        <w:t xml:space="preserve">in the forward-looking statements due to various risks and uncertainties. These risks and uncertainties include, among others: initial clinical results for alixorexton may not be predictive of results of future stages of ongoing clinical studies, future clinical studies or real-world results; ongoing or future clinical studies for alixorexton may not be initiated or completed on expected timelines or at all; alixorexton may be shown to be ineffective or unsafe; the FDA may not agree with the company’s regulatory strategies or components of its development program for alixorexton, including clinical trial designs, conduct and methodologies; potential changes in the cost, scope and duration of the alixorexton development program; and those risks and uncertainties described under the heading “Risk Factors” in the company’s Annual Report on Form 10-K for the year ended Dec. 31, 2025 and in subsequent filings made by the company with the U.S. Securities and Exchange Commission (SEC), which are available on the SEC’s website at </w:t>
      </w:r>
      <w:r>
        <w:rPr>
          <w:rFonts w:ascii="Times New Roman" w:cs="Times New Roman" w:eastAsia="Times New Roman" w:hAnsi="Times New Roman"/>
          <w:sz w:val="21"/>
          <w:szCs w:val="21"/>
          <w:u w:val="single" w:color="auto"/>
          <w:color w:val="467886"/>
        </w:rPr>
        <w:t>www.sec.gov</w:t>
      </w:r>
      <w:r>
        <w:rPr>
          <w:rFonts w:ascii="Times New Roman" w:cs="Times New Roman" w:eastAsia="Times New Roman" w:hAnsi="Times New Roman"/>
          <w:sz w:val="21"/>
          <w:szCs w:val="21"/>
          <w:color w:val="auto"/>
        </w:rPr>
        <w:t>.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press release.</w:t>
      </w:r>
    </w:p>
    <w:p>
      <w:pPr>
        <w:spacing w:after="0" w:line="240" w:lineRule="exact"/>
        <w:rPr>
          <w:sz w:val="20"/>
          <w:szCs w:val="20"/>
          <w:color w:val="auto"/>
        </w:rPr>
      </w:pPr>
    </w:p>
    <w:p>
      <w:pPr>
        <w:ind w:firstLine="7"/>
        <w:spacing w:after="0" w:line="223" w:lineRule="auto"/>
        <w:tabs>
          <w:tab w:leader="none" w:pos="104"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Ruoff C, Rye D. The ICSD-3 and DSM-5 guidelines for diagnosing narcolepsy: clinical relevance and practicality. </w:t>
      </w:r>
      <w:r>
        <w:rPr>
          <w:rFonts w:ascii="Times New Roman" w:cs="Times New Roman" w:eastAsia="Times New Roman" w:hAnsi="Times New Roman"/>
          <w:sz w:val="18"/>
          <w:szCs w:val="18"/>
          <w:i w:val="1"/>
          <w:iCs w:val="1"/>
          <w:color w:val="auto"/>
        </w:rPr>
        <w:t>Curr Med Res Opin</w:t>
      </w:r>
      <w:r>
        <w:rPr>
          <w:rFonts w:ascii="Times New Roman" w:cs="Times New Roman" w:eastAsia="Times New Roman" w:hAnsi="Times New Roman"/>
          <w:sz w:val="18"/>
          <w:szCs w:val="18"/>
          <w:color w:val="auto"/>
        </w:rPr>
        <w:t>. 2016;32(10):1611-1622. doi:10.1080/03007995.2016.1208643</w:t>
      </w:r>
    </w:p>
    <w:p>
      <w:pPr>
        <w:ind w:right="360"/>
        <w:spacing w:after="0" w:line="22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Dauvilliers Y, Siegel JM, Lopez R, Torontali ZA, Peever JH. Cataplexy--clinical aspects, pathophysiology and management strategy. </w:t>
      </w:r>
      <w:r>
        <w:rPr>
          <w:rFonts w:ascii="Times New Roman" w:cs="Times New Roman" w:eastAsia="Times New Roman" w:hAnsi="Times New Roman"/>
          <w:sz w:val="18"/>
          <w:szCs w:val="18"/>
          <w:i w:val="1"/>
          <w:iCs w:val="1"/>
          <w:color w:val="auto"/>
        </w:rPr>
        <w:t>Nat Rev Neurol</w:t>
      </w:r>
      <w:r>
        <w:rPr>
          <w:rFonts w:ascii="Times New Roman" w:cs="Times New Roman" w:eastAsia="Times New Roman" w:hAnsi="Times New Roman"/>
          <w:sz w:val="18"/>
          <w:szCs w:val="18"/>
          <w:color w:val="auto"/>
        </w:rPr>
        <w:t>. 2014;10(7):386-395. doi:10.1038/nrneurol.2014.97</w:t>
      </w:r>
    </w:p>
    <w:p>
      <w:pPr>
        <w:ind w:right="660"/>
        <w:spacing w:after="0" w:line="22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Bassetti CLA, Adamantidis A, Burdakov D, et al. Narcolepsy - clinical spectrum, aetiopathophysiology, diagnosis and treatment. </w:t>
      </w:r>
      <w:r>
        <w:rPr>
          <w:rFonts w:ascii="Times New Roman" w:cs="Times New Roman" w:eastAsia="Times New Roman" w:hAnsi="Times New Roman"/>
          <w:sz w:val="18"/>
          <w:szCs w:val="18"/>
          <w:i w:val="1"/>
          <w:iCs w:val="1"/>
          <w:color w:val="auto"/>
        </w:rPr>
        <w:t>Nat Rev Neurol</w:t>
      </w:r>
      <w:r>
        <w:rPr>
          <w:rFonts w:ascii="Times New Roman" w:cs="Times New Roman" w:eastAsia="Times New Roman" w:hAnsi="Times New Roman"/>
          <w:sz w:val="18"/>
          <w:szCs w:val="18"/>
          <w:color w:val="auto"/>
        </w:rPr>
        <w:t>. 2019;15(9):519-539. doi:10.1038/s41582-019-0226-9</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Trotti LM, Arnulf I. Idiopathic Hypersomnia and Other Hypersomnia Syndromes. Neurotherapeutics. 2021;18(1):20-31. doi:10.1007/s13311-020-00919-1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856615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8" w:name="page9"/>
    <w:bookmarkEnd w:id="8"/>
    <w:p>
      <w:pPr>
        <w:ind w:left="120" w:hanging="113"/>
        <w:spacing w:after="0"/>
        <w:tabs>
          <w:tab w:leader="none" w:pos="1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American Academy of Sleep Medicine. The International Classification of Sleep Disorders. Third Edition (ICSD-3). 2014.</w:t>
      </w:r>
    </w:p>
    <w:p>
      <w:pPr>
        <w:spacing w:after="0" w:line="14" w:lineRule="exact"/>
        <w:rPr>
          <w:rFonts w:ascii="Times New Roman" w:cs="Times New Roman" w:eastAsia="Times New Roman" w:hAnsi="Times New Roman"/>
          <w:sz w:val="24"/>
          <w:szCs w:val="24"/>
          <w:color w:val="auto"/>
          <w:vertAlign w:val="superscript"/>
        </w:rPr>
      </w:pPr>
    </w:p>
    <w:p>
      <w:pPr>
        <w:spacing w:after="0" w:line="206"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Trotti LM. Waking up is the hardest thing I do all day: Sleep inertia and sleep drunkenness. Sleep Med Rev 2016.</w:t>
      </w:r>
    </w:p>
    <w:p>
      <w:pPr>
        <w:ind w:right="800"/>
        <w:spacing w:after="0" w:line="217"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Vernet C, Leu-Semenescu S, Buzare MA, Arnulf I. Subjective symptoms in idiopathic hypersomnia: beyond excessive sleepiness. J Sleep Res. 2010;19:525–534.</w:t>
      </w:r>
    </w:p>
    <w:p>
      <w:pPr>
        <w:spacing w:after="0" w:line="1" w:lineRule="exact"/>
        <w:rPr>
          <w:rFonts w:ascii="Times New Roman" w:cs="Times New Roman" w:eastAsia="Times New Roman" w:hAnsi="Times New Roman"/>
          <w:sz w:val="24"/>
          <w:szCs w:val="24"/>
          <w:color w:val="auto"/>
          <w:vertAlign w:val="superscript"/>
        </w:rPr>
      </w:pPr>
    </w:p>
    <w:p>
      <w:pPr>
        <w:spacing w:after="0" w:line="22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Acquavella et al. Prevalence of narcolepsy and other sleep disorders and frequency of diagnostic tests from 2013-2016 in insured patients actively seeking care. J Clin Sleep Med. 16:1255 (2020).</w:t>
      </w:r>
    </w:p>
    <w:p>
      <w:pPr>
        <w:spacing w:after="0" w:line="22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Buysse, D. Diagnosis and assessment of sleep and circadian rhythm disorders. </w:t>
      </w:r>
      <w:r>
        <w:rPr>
          <w:rFonts w:ascii="Times New Roman" w:cs="Times New Roman" w:eastAsia="Times New Roman" w:hAnsi="Times New Roman"/>
          <w:sz w:val="18"/>
          <w:szCs w:val="18"/>
          <w:i w:val="1"/>
          <w:iCs w:val="1"/>
          <w:color w:val="auto"/>
        </w:rPr>
        <w:t>Journal of Psychiatric Practice</w:t>
      </w:r>
      <w:r>
        <w:rPr>
          <w:rFonts w:ascii="Times New Roman" w:cs="Times New Roman" w:eastAsia="Times New Roman" w:hAnsi="Times New Roman"/>
          <w:sz w:val="18"/>
          <w:szCs w:val="18"/>
          <w:color w:val="auto"/>
        </w:rPr>
        <w:t>. 2005; 11(2):102-115</w:t>
      </w:r>
    </w:p>
    <w:p>
      <w:pPr>
        <w:ind w:right="20"/>
        <w:spacing w:after="0" w:line="217"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Ten-Blanco M, Flores A, Cristino L, Pereda-Perez I. Targeting the orexin/hypocretin system for the treatment of neuropsychiatric and neurodegenerative diseases: From animal to clinical studies. Frontiers in Neuroendocrinology.</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2023;69(101066). https://www.sciencedirect.com/science/article/pii/S0091302223000146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876935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379" w:right="4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2026-06-15T06:12:09Z</dcterms:created>
  <dcterms:modified xsi:type="dcterms:W3CDTF">2026-06-15T06:12:09Z</dcterms:modified>
</cp:coreProperties>
</file>