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4" w:lineRule="exact"/>
        <w:rPr>
          <w:sz w:val="24"/>
          <w:szCs w:val="24"/>
          <w:color w:val="auto"/>
        </w:rPr>
      </w:pPr>
    </w:p>
    <w:p>
      <w:pPr>
        <w:ind w:left="3660" w:right="1480" w:hanging="3265"/>
        <w:spacing w:after="0" w:line="443" w:lineRule="auto"/>
        <w:tabs>
          <w:tab w:leader="none" w:pos="616"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89" w:lineRule="exact"/>
        <w:rPr>
          <w:sz w:val="24"/>
          <w:szCs w:val="24"/>
          <w:color w:val="auto"/>
        </w:rPr>
      </w:pPr>
    </w:p>
    <w:p>
      <w:pPr>
        <w:ind w:left="4220" w:right="1480" w:hanging="3825"/>
        <w:spacing w:after="0" w:line="443" w:lineRule="auto"/>
        <w:tabs>
          <w:tab w:leader="none" w:pos="6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-110490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ALKERMES PUBLIC LIMITED COMPANY</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98-1007018</w:t>
            </w:r>
          </w:p>
        </w:tc>
      </w:tr>
      <w:tr>
        <w:trPr>
          <w:trHeight w:val="243"/>
        </w:trPr>
        <w:tc>
          <w:tcPr>
            <w:tcW w:w="7060" w:type="dxa"/>
            <w:vAlign w:val="bottom"/>
            <w:gridSpan w:val="5"/>
          </w:tcPr>
          <w:p>
            <w:pPr>
              <w:jc w:val="center"/>
              <w:ind w:right="16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180" w:type="dxa"/>
            <w:vAlign w:val="bottom"/>
          </w:tcPr>
          <w:p>
            <w:pPr>
              <w:jc w:val="center"/>
              <w:ind w:right="11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42"/>
        </w:trPr>
        <w:tc>
          <w:tcPr>
            <w:tcW w:w="3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Connaught House</w:t>
            </w:r>
          </w:p>
        </w:tc>
        <w:tc>
          <w:tcPr>
            <w:tcW w:w="4180" w:type="dxa"/>
            <w:vAlign w:val="bottom"/>
          </w:tcPr>
          <w:p>
            <w:pPr>
              <w:spacing w:after="0"/>
              <w:rPr>
                <w:sz w:val="24"/>
                <w:szCs w:val="24"/>
                <w:color w:val="auto"/>
              </w:rPr>
            </w:pPr>
          </w:p>
        </w:tc>
      </w:tr>
      <w:tr>
        <w:trPr>
          <w:trHeight w:val="216"/>
        </w:trPr>
        <w:tc>
          <w:tcPr>
            <w:tcW w:w="3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1 Burlington Road</w:t>
            </w:r>
          </w:p>
        </w:tc>
        <w:tc>
          <w:tcPr>
            <w:tcW w:w="4180" w:type="dxa"/>
            <w:vAlign w:val="bottom"/>
          </w:tcPr>
          <w:p>
            <w:pPr>
              <w:spacing w:after="0"/>
              <w:rPr>
                <w:sz w:val="18"/>
                <w:szCs w:val="18"/>
                <w:color w:val="auto"/>
              </w:rPr>
            </w:pPr>
          </w:p>
        </w:tc>
      </w:tr>
      <w:tr>
        <w:trPr>
          <w:trHeight w:val="220"/>
        </w:trPr>
        <w:tc>
          <w:tcPr>
            <w:tcW w:w="3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Dublin 4, Ireland, D04 C5Y6</w:t>
            </w:r>
          </w:p>
        </w:tc>
        <w:tc>
          <w:tcPr>
            <w:tcW w:w="4180" w:type="dxa"/>
            <w:vAlign w:val="bottom"/>
          </w:tcPr>
          <w:p>
            <w:pPr>
              <w:spacing w:after="0"/>
              <w:rPr>
                <w:sz w:val="19"/>
                <w:szCs w:val="19"/>
                <w:color w:val="auto"/>
              </w:rPr>
            </w:pPr>
          </w:p>
        </w:tc>
      </w:tr>
      <w:tr>
        <w:trPr>
          <w:trHeight w:val="234"/>
        </w:trPr>
        <w:tc>
          <w:tcPr>
            <w:tcW w:w="3420" w:type="dxa"/>
            <w:vAlign w:val="bottom"/>
          </w:tcPr>
          <w:p>
            <w:pPr>
              <w:spacing w:after="0"/>
              <w:rPr>
                <w:sz w:val="20"/>
                <w:szCs w:val="20"/>
                <w:color w:val="auto"/>
              </w:rPr>
            </w:pPr>
          </w:p>
        </w:tc>
        <w:tc>
          <w:tcPr>
            <w:tcW w:w="364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180" w:type="dxa"/>
            <w:vAlign w:val="bottom"/>
          </w:tcPr>
          <w:p>
            <w:pPr>
              <w:spacing w:after="0"/>
              <w:rPr>
                <w:sz w:val="20"/>
                <w:szCs w:val="20"/>
                <w:color w:val="auto"/>
              </w:rPr>
            </w:pPr>
          </w:p>
        </w:tc>
      </w:tr>
      <w:tr>
        <w:trPr>
          <w:trHeight w:val="333"/>
        </w:trPr>
        <w:tc>
          <w:tcPr>
            <w:tcW w:w="3420" w:type="dxa"/>
            <w:vAlign w:val="bottom"/>
          </w:tcPr>
          <w:p>
            <w:pPr>
              <w:spacing w:after="0"/>
              <w:rPr>
                <w:sz w:val="24"/>
                <w:szCs w:val="24"/>
                <w:color w:val="auto"/>
              </w:rPr>
            </w:pPr>
          </w:p>
        </w:tc>
        <w:tc>
          <w:tcPr>
            <w:tcW w:w="342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+ 353-1-772-8000</w:t>
            </w:r>
          </w:p>
        </w:tc>
        <w:tc>
          <w:tcPr>
            <w:tcW w:w="2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34"/>
        </w:trPr>
        <w:tc>
          <w:tcPr>
            <w:tcW w:w="3420" w:type="dxa"/>
            <w:vAlign w:val="bottom"/>
          </w:tcPr>
          <w:p>
            <w:pPr>
              <w:spacing w:after="0"/>
              <w:rPr>
                <w:sz w:val="20"/>
                <w:szCs w:val="20"/>
                <w:color w:val="auto"/>
              </w:rPr>
            </w:pPr>
          </w:p>
        </w:tc>
        <w:tc>
          <w:tcPr>
            <w:tcW w:w="7820" w:type="dxa"/>
            <w:vAlign w:val="bottom"/>
            <w:gridSpan w:val="5"/>
          </w:tcPr>
          <w:p>
            <w:pPr>
              <w:jc w:val="center"/>
              <w:ind w:right="33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51"/>
        </w:trPr>
        <w:tc>
          <w:tcPr>
            <w:tcW w:w="3420" w:type="dxa"/>
            <w:vAlign w:val="bottom"/>
          </w:tcPr>
          <w:p>
            <w:pPr>
              <w:spacing w:after="0"/>
              <w:rPr>
                <w:sz w:val="24"/>
                <w:szCs w:val="24"/>
                <w:color w:val="auto"/>
              </w:rPr>
            </w:pPr>
          </w:p>
        </w:tc>
        <w:tc>
          <w:tcPr>
            <w:tcW w:w="7820" w:type="dxa"/>
            <w:vAlign w:val="bottom"/>
            <w:gridSpan w:val="5"/>
          </w:tcPr>
          <w:p>
            <w:pPr>
              <w:jc w:val="center"/>
              <w:ind w:right="33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358"/>
        </w:trPr>
        <w:tc>
          <w:tcPr>
            <w:tcW w:w="34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42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w w:val="99"/>
              </w:rPr>
              <w:t>Ordinary shares, $0.01 par value</w:t>
            </w: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ALKS</w:t>
            </w:r>
          </w:p>
        </w:tc>
        <w:tc>
          <w:tcPr>
            <w:tcW w:w="22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2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3" w:right="339" w:bottom="1440" w:gutter="0" w:footer="0" w:header="0"/>
        </w:sectPr>
      </w:pPr>
    </w:p>
    <w:p>
      <w:pPr>
        <w:spacing w:after="0" w:line="311" w:lineRule="exact"/>
        <w:rPr>
          <w:sz w:val="24"/>
          <w:szCs w:val="24"/>
          <w:color w:val="auto"/>
        </w:rPr>
      </w:pPr>
    </w:p>
    <w:p>
      <w:pPr>
        <w:ind w:left="186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9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180" w:space="720"/>
            <w:col w:w="3340"/>
          </w:cols>
          <w:pgMar w:left="320" w:top="1253" w:right="339" w:bottom="1440" w:gutter="0" w:footer="0" w:header="0"/>
          <w:type w:val="continuous"/>
        </w:sectPr>
      </w:pPr>
    </w:p>
    <w:p>
      <w:pPr>
        <w:ind w:left="190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sectPr>
          <w:pgSz w:w="11900" w:h="16838" w:orient="portrait"/>
          <w:cols w:equalWidth="0" w:num="2">
            <w:col w:w="6800" w:space="720"/>
            <w:col w:w="3720"/>
          </w:cols>
          <w:pgMar w:left="320" w:top="1253"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202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the registrant’s ordinary shares, $0.01 par value, outstanding as of October 18, 2024 was 161,802,508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83"/>
        </w:trPr>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780" w:type="dxa"/>
            <w:vAlign w:val="bottom"/>
            <w:gridSpan w:val="13"/>
            <w:shd w:val="clear" w:color="auto" w:fill="CCEEFF"/>
          </w:tcPr>
          <w:p>
            <w:pPr>
              <w:jc w:val="center"/>
              <w:ind w:right="3760"/>
              <w:spacing w:after="0" w:line="182" w:lineRule="exact"/>
              <w:rPr>
                <w:sz w:val="20"/>
                <w:szCs w:val="20"/>
                <w:color w:val="auto"/>
              </w:rPr>
            </w:pPr>
            <w:r>
              <w:rPr>
                <w:rFonts w:ascii="Times New Roman" w:cs="Times New Roman" w:eastAsia="Times New Roman" w:hAnsi="Times New Roman"/>
                <w:sz w:val="18"/>
                <w:szCs w:val="18"/>
                <w:b w:val="1"/>
                <w:bCs w:val="1"/>
                <w:i w:val="1"/>
                <w:iCs w:val="1"/>
                <w:color w:val="0000FF"/>
                <w:w w:val="98"/>
              </w:rPr>
              <w:t>PART I - FINANCIAL INFORMATION</w:t>
            </w:r>
          </w:p>
        </w:tc>
        <w:tc>
          <w:tcPr>
            <w:tcW w:w="700" w:type="dxa"/>
            <w:vAlign w:val="bottom"/>
            <w:shd w:val="clear" w:color="auto" w:fill="CCEEFF"/>
          </w:tcPr>
          <w:p>
            <w:pPr>
              <w:spacing w:after="0"/>
              <w:rPr>
                <w:sz w:val="15"/>
                <w:szCs w:val="15"/>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6420" w:type="dxa"/>
            <w:vAlign w:val="bottom"/>
            <w:tcBorders>
              <w:bottom w:val="single" w:sz="8" w:color="0000FF"/>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 September 30, 2024 and December 31, 2023</w:t>
            </w:r>
          </w:p>
        </w:tc>
        <w:tc>
          <w:tcPr>
            <w:tcW w:w="2960" w:type="dxa"/>
            <w:vAlign w:val="bottom"/>
            <w:tcBorders>
              <w:bottom w:val="single" w:sz="8" w:color="CCEEFF"/>
            </w:tcBorders>
            <w:gridSpan w:val="5"/>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20" w:type="dxa"/>
            <w:vAlign w:val="bottom"/>
            <w:tcBorders>
              <w:bottom w:val="single" w:sz="8" w:color="0000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 For the Three and Nine Months Ended</w:t>
            </w:r>
          </w:p>
        </w:tc>
        <w:tc>
          <w:tcPr>
            <w:tcW w:w="560" w:type="dxa"/>
            <w:vAlign w:val="bottom"/>
            <w:gridSpan w:val="2"/>
          </w:tcPr>
          <w:p>
            <w:pPr>
              <w:spacing w:after="0"/>
              <w:rPr>
                <w:sz w:val="16"/>
                <w:szCs w:val="16"/>
                <w:color w:val="auto"/>
              </w:rPr>
            </w:pPr>
          </w:p>
        </w:tc>
        <w:tc>
          <w:tcPr>
            <w:tcW w:w="7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2024 and 2023</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0000FF"/>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 For the Nine Months Ended September 30, 2024 and 2023</w:t>
            </w:r>
          </w:p>
        </w:tc>
        <w:tc>
          <w:tcPr>
            <w:tcW w:w="1180" w:type="dxa"/>
            <w:vAlign w:val="bottom"/>
            <w:tcBorders>
              <w:bottom w:val="single" w:sz="8" w:color="CCEEFF"/>
            </w:tcBorders>
            <w:gridSpan w:val="3"/>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w:t>
            </w: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Shareholders’ Equity — For the Three and Nine Months Ended September 30, 2024 and</w:t>
            </w:r>
          </w:p>
        </w:tc>
        <w:tc>
          <w:tcPr>
            <w:tcW w:w="7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Borders>
              <w:top w:val="single" w:sz="8" w:color="0000FF"/>
            </w:tcBorders>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0000FF"/>
              </w:rPr>
              <w:t>2023</w:t>
            </w:r>
          </w:p>
        </w:tc>
        <w:tc>
          <w:tcPr>
            <w:tcW w:w="3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6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24</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tcBorders>
              <w:bottom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60" w:type="dxa"/>
            <w:vAlign w:val="bottom"/>
            <w:tcBorders>
              <w:bottom w:val="single" w:sz="8" w:color="CCEEFF"/>
            </w:tcBorders>
            <w:gridSpan w:val="9"/>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35</w:t>
            </w: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36</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40" w:type="dxa"/>
            <w:vAlign w:val="bottom"/>
            <w:gridSpan w:val="12"/>
          </w:tcPr>
          <w:p>
            <w:pPr>
              <w:jc w:val="center"/>
              <w:ind w:right="3880"/>
              <w:spacing w:after="0" w:line="189" w:lineRule="exact"/>
              <w:rPr>
                <w:sz w:val="20"/>
                <w:szCs w:val="20"/>
                <w:color w:val="auto"/>
              </w:rPr>
            </w:pPr>
            <w:r>
              <w:rPr>
                <w:rFonts w:ascii="Times New Roman" w:cs="Times New Roman" w:eastAsia="Times New Roman" w:hAnsi="Times New Roman"/>
                <w:sz w:val="18"/>
                <w:szCs w:val="18"/>
                <w:b w:val="1"/>
                <w:bCs w:val="1"/>
                <w:i w:val="1"/>
                <w:iCs w:val="1"/>
                <w:color w:val="0000FF"/>
                <w:w w:val="98"/>
              </w:rPr>
              <w:t>PART II - OTHER INFORMATION</w:t>
            </w:r>
          </w:p>
        </w:tc>
        <w:tc>
          <w:tcPr>
            <w:tcW w:w="7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189"/>
        </w:trPr>
        <w:tc>
          <w:tcPr>
            <w:tcW w:w="1160" w:type="dxa"/>
            <w:vAlign w:val="bottom"/>
            <w:tcBorders>
              <w:top w:val="single" w:sz="8" w:color="CCEEFF"/>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1340" w:type="dxa"/>
            <w:vAlign w:val="bottom"/>
            <w:tcBorders>
              <w:top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40" w:type="dxa"/>
            <w:vAlign w:val="bottom"/>
            <w:tcBorders>
              <w:top w:val="single" w:sz="8" w:color="CCEEFF"/>
            </w:tcBorders>
            <w:gridSpan w:val="16"/>
          </w:tcPr>
          <w:p>
            <w:pPr>
              <w:spacing w:after="0"/>
              <w:rPr>
                <w:sz w:val="16"/>
                <w:szCs w:val="16"/>
                <w:color w:val="auto"/>
              </w:rPr>
            </w:pPr>
          </w:p>
        </w:tc>
        <w:tc>
          <w:tcPr>
            <w:tcW w:w="70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tcBorders>
              <w:bottom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20" w:type="dxa"/>
            <w:vAlign w:val="bottom"/>
            <w:tcBorders>
              <w:bottom w:val="single" w:sz="8" w:color="CCEEFF"/>
            </w:tcBorders>
            <w:gridSpan w:val="8"/>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189"/>
        </w:trPr>
        <w:tc>
          <w:tcPr>
            <w:tcW w:w="11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3"/>
        </w:trPr>
        <w:tc>
          <w:tcPr>
            <w:tcW w:w="11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38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38</w:t>
            </w:r>
          </w:p>
        </w:tc>
      </w:tr>
      <w:tr>
        <w:trPr>
          <w:trHeight w:val="189"/>
        </w:trPr>
        <w:tc>
          <w:tcPr>
            <w:tcW w:w="1160" w:type="dxa"/>
            <w:vAlign w:val="bottom"/>
            <w:tcBorders>
              <w:top w:val="single" w:sz="8" w:color="CCEEFF"/>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Borders>
              <w:top w:val="single" w:sz="8" w:color="0000FF"/>
            </w:tcBorders>
          </w:tcPr>
          <w:p>
            <w:pPr>
              <w:spacing w:after="0"/>
              <w:rPr>
                <w:sz w:val="16"/>
                <w:szCs w:val="16"/>
                <w:color w:val="auto"/>
              </w:rPr>
            </w:pPr>
          </w:p>
        </w:tc>
        <w:tc>
          <w:tcPr>
            <w:tcW w:w="3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74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w:t>
            </w:r>
          </w:p>
        </w:tc>
      </w:tr>
      <w:tr>
        <w:trPr>
          <w:trHeight w:val="750"/>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5480" w:type="dxa"/>
            <w:vAlign w:val="bottom"/>
            <w:gridSpan w:val="15"/>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62"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Quarterly Report on Form 10-Q (this “Form 10-Q”) may include, without limitation, statements regarding:</w:t>
      </w:r>
    </w:p>
    <w:p>
      <w:pPr>
        <w:spacing w:after="0" w:line="79" w:lineRule="exact"/>
        <w:rPr>
          <w:sz w:val="20"/>
          <w:szCs w:val="20"/>
          <w:color w:val="auto"/>
        </w:rPr>
      </w:pPr>
    </w:p>
    <w:p>
      <w:pPr>
        <w:ind w:left="760" w:right="8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income taxes and profitability;</w:t>
      </w:r>
    </w:p>
    <w:p>
      <w:pPr>
        <w:spacing w:after="0" w:line="53"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117"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53" w:lineRule="exact"/>
        <w:rPr>
          <w:rFonts w:ascii="Times New Roman" w:cs="Times New Roman" w:eastAsia="Times New Roman" w:hAnsi="Times New Roman"/>
          <w:sz w:val="18"/>
          <w:szCs w:val="18"/>
          <w:color w:val="auto"/>
        </w:rPr>
      </w:pPr>
    </w:p>
    <w:p>
      <w:pPr>
        <w:ind w:left="760" w:right="4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new legislation, rules and regulations, the adoption of new accounting pronouncements, potential government shutdowns, or other global, political or economic instability or disruptions;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near-term changes in the nature of our market risk exposures or in our management’s objectives and strategies with respect to managing such exposures;</w:t>
      </w:r>
    </w:p>
    <w:p>
      <w:pPr>
        <w:spacing w:after="0" w:line="53"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comply with restrictive covenants of our indebtedness and our ability to fund our debt service obligations;</w:t>
      </w:r>
    </w:p>
    <w:p>
      <w:pPr>
        <w:spacing w:after="0" w:line="53"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tax treatment and other anticipated benefits of the separation of our oncology business;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Form 10-Q.</w:t>
      </w:r>
    </w:p>
    <w:p>
      <w:pPr>
        <w:spacing w:after="0" w:line="185"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“Part I, Item 1A— Risk Factors” in our Annual Report on Form 10-K for the year ended December 31, 2023, filed with the United States (“U.S.”) Securities and Exchange Commission (the “SEC”) on February 21, 2024 (our “Annual Report”).</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 w:name="page4"/>
    <w:bookmarkEnd w:id="3"/>
    <w:p>
      <w:pPr>
        <w:spacing w:after="0" w:line="5"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Form 10-Q are reliable, we have not independently verified any such data. This Form 10-Q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“Part I, Item 1A—Risk Factors” in our Annual Report. These and other factors could cause our results to differ materially from those expressed or implied in this Form 10-Q.</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and Product References</w:t>
      </w:r>
    </w:p>
    <w:p>
      <w:pPr>
        <w:spacing w:after="0" w:line="121" w:lineRule="exact"/>
        <w:rPr>
          <w:sz w:val="20"/>
          <w:szCs w:val="20"/>
          <w:color w:val="auto"/>
        </w:rPr>
      </w:pPr>
    </w:p>
    <w:p>
      <w:pPr>
        <w:ind w:firstLine="374"/>
        <w:spacing w:after="0" w:line="268" w:lineRule="auto"/>
        <w:rPr>
          <w:sz w:val="20"/>
          <w:szCs w:val="20"/>
          <w:color w:val="auto"/>
        </w:rPr>
      </w:pPr>
      <w:r>
        <w:rPr>
          <w:rFonts w:ascii="Times New Roman" w:cs="Times New Roman" w:eastAsia="Times New Roman" w:hAnsi="Times New Roman"/>
          <w:sz w:val="17"/>
          <w:szCs w:val="17"/>
          <w:color w:val="auto"/>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w:t>
      </w:r>
    </w:p>
    <w:p>
      <w:pPr>
        <w:spacing w:after="0" w:line="2" w:lineRule="exact"/>
        <w:rPr>
          <w:sz w:val="20"/>
          <w:szCs w:val="20"/>
          <w:color w:val="auto"/>
        </w:rPr>
      </w:pPr>
    </w:p>
    <w:p>
      <w:pPr>
        <w:ind w:right="3840"/>
        <w:spacing w:after="0" w:line="369" w:lineRule="auto"/>
        <w:rPr>
          <w:sz w:val="20"/>
          <w:szCs w:val="20"/>
          <w:color w:val="auto"/>
        </w:rPr>
      </w:pPr>
      <w:r>
        <w:rPr>
          <w:rFonts w:ascii="Times New Roman" w:cs="Times New Roman" w:eastAsia="Times New Roman" w:hAnsi="Times New Roman"/>
          <w:sz w:val="18"/>
          <w:szCs w:val="18"/>
          <w:color w:val="auto"/>
        </w:rPr>
        <w:t xml:space="preserve">(c) references to “licensees” in this Form 10-Q are used interchangeably with references to “partners.” </w:t>
      </w:r>
      <w:r>
        <w:rPr>
          <w:rFonts w:ascii="Times New Roman" w:cs="Times New Roman" w:eastAsia="Times New Roman" w:hAnsi="Times New Roman"/>
          <w:sz w:val="18"/>
          <w:szCs w:val="18"/>
          <w:b w:val="1"/>
          <w:bCs w:val="1"/>
          <w:color w:val="auto"/>
        </w:rPr>
        <w:t>Note Regarding Trademarks</w:t>
      </w:r>
    </w:p>
    <w:p>
      <w:pPr>
        <w:ind w:right="680" w:firstLine="374"/>
        <w:spacing w:after="0" w:line="237"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22" w:lineRule="exact"/>
        <w:rPr>
          <w:sz w:val="20"/>
          <w:szCs w:val="20"/>
          <w:color w:val="auto"/>
        </w:rPr>
      </w:pPr>
    </w:p>
    <w:p>
      <w:pPr>
        <w:ind w:right="40" w:firstLine="374"/>
        <w:spacing w:after="0" w:line="218"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—Johnson &amp; Johnson or its affiliated companies; and VUMERITY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may be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symbol, but such references should not be construed as any indicator that their respective owners will not assert, to the fullest extent under applicable law, their rights thereto.</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r>
      <w:tr>
        <w:trPr>
          <w:trHeight w:val="243"/>
        </w:trPr>
        <w:tc>
          <w:tcPr>
            <w:tcW w:w="748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396,293</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457,469</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367,211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332,477</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Investments—short-term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512,571</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316,022</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191,087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186,406</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94,047</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98,166</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w:t>
            </w:r>
          </w:p>
        </w:tc>
      </w:tr>
      <w:tr>
        <w:trPr>
          <w:trHeight w:val="24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94,260</w:t>
            </w:r>
          </w:p>
        </w:tc>
      </w:tr>
      <w:tr>
        <w:trPr>
          <w:trHeight w:val="236"/>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1,564,178</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1,485,506</w:t>
            </w:r>
          </w:p>
        </w:tc>
      </w:tr>
      <w:tr>
        <w:trPr>
          <w:trHeight w:val="23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225,422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226,943</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18,920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39,887</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86,076</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91,460</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83,931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85,018</w:t>
            </w:r>
          </w:p>
        </w:tc>
      </w:tr>
      <w:tr>
        <w:trPr>
          <w:trHeight w:val="24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159,960</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195,888</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16,804</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11,521</w:t>
            </w:r>
          </w:p>
        </w:tc>
      </w:tr>
      <w:tr>
        <w:trPr>
          <w:trHeight w:val="277"/>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2,155,291</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2,136,223</w:t>
            </w:r>
          </w:p>
        </w:tc>
      </w:tr>
      <w:tr>
        <w:trPr>
          <w:trHeight w:val="221"/>
        </w:trPr>
        <w:tc>
          <w:tcPr>
            <w:tcW w:w="7480" w:type="dxa"/>
            <w:vAlign w:val="bottom"/>
            <w:tcBorders>
              <w:top w:val="single" w:sz="8" w:color="CFF0FC"/>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r>
      <w:tr>
        <w:trPr>
          <w:trHeight w:val="245"/>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160,198</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240,561</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282,018</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263,641</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6,150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5,746</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liabilities—short-term</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2,339</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2,730</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3,000</w:t>
            </w:r>
          </w:p>
        </w:tc>
      </w:tr>
      <w:tr>
        <w:trPr>
          <w:trHeight w:val="247"/>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4,542</w:t>
            </w:r>
          </w:p>
        </w:tc>
      </w:tr>
      <w:tr>
        <w:trPr>
          <w:trHeight w:val="237"/>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453,705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520,220</w:t>
            </w: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285,823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287,730</w:t>
            </w: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71,030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75,709</w:t>
            </w: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52,627</w:t>
            </w:r>
          </w:p>
        </w:tc>
        <w:tc>
          <w:tcPr>
            <w:tcW w:w="16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49,878</w:t>
            </w:r>
          </w:p>
        </w:tc>
      </w:tr>
      <w:tr>
        <w:trPr>
          <w:trHeight w:val="241"/>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863,185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933,537</w:t>
            </w:r>
          </w:p>
        </w:tc>
      </w:tr>
      <w:tr>
        <w:trPr>
          <w:trHeight w:val="23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17)</w:t>
            </w:r>
          </w:p>
        </w:tc>
        <w:tc>
          <w:tcPr>
            <w:tcW w:w="18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23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5"/>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shares, par value, $0.01 per share; 50,000,000 shares authorized; and zero issued and</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4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2024 and December 31, 2023</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par value, $0.01 per share; 450,000,000 shares authorized; 176,258,170 and</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172,569,051 shares issued; and 161,776,205 and 166,979,833 shares outstanding at September 30,</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1"/>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1,726</w:t>
            </w:r>
          </w:p>
        </w:tc>
      </w:tr>
      <w:tr>
        <w:trPr>
          <w:trHeight w:val="21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at cost (14,481,965 and 5,589,218 shares at September 30, 2024 and December</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48"/>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2023, respectively)</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(418,911 )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(189,336 )</w:t>
            </w:r>
          </w:p>
        </w:tc>
      </w:tr>
      <w:tr>
        <w:trPr>
          <w:trHeight w:val="239"/>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20"/>
                <w:szCs w:val="20"/>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2,831,790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2,736,934</w:t>
            </w:r>
          </w:p>
        </w:tc>
      </w:tr>
      <w:tr>
        <w:trPr>
          <w:trHeight w:val="247"/>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(3,110 )</w:t>
            </w:r>
          </w:p>
        </w:tc>
      </w:tr>
      <w:tr>
        <w:trPr>
          <w:trHeight w:val="243"/>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(1,122,961 )</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(1,343,528 )</w:t>
            </w:r>
          </w:p>
        </w:tc>
      </w:tr>
      <w:tr>
        <w:trPr>
          <w:trHeight w:val="236"/>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1,292,106</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1,202,686</w:t>
            </w:r>
          </w:p>
        </w:tc>
      </w:tr>
      <w:tr>
        <w:trPr>
          <w:trHeight w:val="23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2,155,291</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2,136,223</w:t>
            </w:r>
          </w:p>
        </w:tc>
      </w:tr>
      <w:tr>
        <w:trPr>
          <w:trHeight w:val="20"/>
        </w:trPr>
        <w:tc>
          <w:tcPr>
            <w:tcW w:w="7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-5459730</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-4199890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-4182745</wp:posOffset>
            </wp:positionV>
            <wp:extent cx="102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-2939415</wp:posOffset>
            </wp:positionV>
            <wp:extent cx="102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-2317750</wp:posOffset>
            </wp:positionV>
            <wp:extent cx="12827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(In thousands, except</w:t>
            </w:r>
          </w:p>
        </w:tc>
        <w:tc>
          <w:tcPr>
            <w:tcW w:w="13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Product sales, net</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272,999</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231,822</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775,808</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678,026</w:t>
            </w:r>
          </w:p>
        </w:tc>
      </w:tr>
      <w:tr>
        <w:trPr>
          <w:trHeight w:val="23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Manufacturing and royalty revenues</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105,144</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149,113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351,835</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607,888</w:t>
            </w:r>
          </w:p>
        </w:tc>
      </w:tr>
      <w:tr>
        <w:trPr>
          <w:trHeight w:val="228"/>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 revenue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16</w:t>
            </w:r>
          </w:p>
        </w:tc>
      </w:tr>
      <w:tr>
        <w:trPr>
          <w:trHeight w:val="22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378,143</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380,938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1,127,646</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1,285,930</w:t>
            </w: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9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Cost of goods manufactured and sold (exclusive of amortization of acquired</w:t>
            </w: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r>
      <w:tr>
        <w:trPr>
          <w:trHeight w:val="238"/>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intangible assets shown below)</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63,099</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61,498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183,215</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182,911</w:t>
            </w: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59,892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64,878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187,152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196,873</w:t>
            </w:r>
          </w:p>
        </w:tc>
      </w:tr>
      <w:tr>
        <w:trPr>
          <w:trHeight w:val="23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150,382</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156,373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498,244</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519,962</w:t>
            </w:r>
          </w:p>
        </w:tc>
      </w:tr>
      <w:tr>
        <w:trPr>
          <w:trHeight w:val="226"/>
        </w:trPr>
        <w:tc>
          <w:tcPr>
            <w:tcW w:w="58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8,995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1,087</w:t>
            </w:r>
          </w:p>
        </w:tc>
        <w:tc>
          <w:tcPr>
            <w:tcW w:w="1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26,693</w:t>
            </w:r>
          </w:p>
        </w:tc>
      </w:tr>
      <w:tr>
        <w:trPr>
          <w:trHeight w:val="226"/>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expenses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273,387</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291,744</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869,698</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926,439</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 FROM CONTINUING OPERATIONS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104,756</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89,194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257,948</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359,491</w:t>
            </w:r>
          </w:p>
        </w:tc>
      </w:tr>
      <w:tr>
        <w:trPr>
          <w:trHeight w:val="22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10,916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9,370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31,050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21,105</w:t>
            </w:r>
          </w:p>
        </w:tc>
      </w:tr>
      <w:tr>
        <w:trPr>
          <w:trHeight w:val="23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(6,000 )</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(6,006 )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(17,930 )</w:t>
            </w:r>
          </w:p>
        </w:tc>
        <w:tc>
          <w:tcPr>
            <w:tcW w:w="1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(16,978 )</w:t>
            </w:r>
          </w:p>
        </w:tc>
      </w:tr>
      <w:tr>
        <w:trPr>
          <w:trHeight w:val="229"/>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558</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2,793</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(415 )</w:t>
            </w:r>
          </w:p>
        </w:tc>
      </w:tr>
      <w:tr>
        <w:trPr>
          <w:trHeight w:val="223"/>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5,474</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3,513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15,913</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3,712</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110,230</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92,707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273,861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363,203</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17,435</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1,153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47,460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4,598</w:t>
            </w: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FROM CONTINUING OPERATIONS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92,795</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91,554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226,401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358,605</w:t>
            </w:r>
          </w:p>
        </w:tc>
      </w:tr>
      <w:tr>
        <w:trPr>
          <w:trHeight w:val="22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(414 )</w:t>
            </w:r>
          </w:p>
        </w:tc>
        <w:tc>
          <w:tcPr>
            <w:tcW w:w="1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(43,796 )</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(5,834 )</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(115,627 )</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92,381</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47,758</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220,567</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242,978</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26"/>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ORDINARY SHARE: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from continuing operations - basic</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0.57</w:t>
            </w:r>
          </w:p>
        </w:tc>
        <w:tc>
          <w:tcPr>
            <w:tcW w:w="1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0.55</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1.36</w:t>
            </w: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2.16</w:t>
            </w: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per ordinary share from discontinued operations - basic</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(0.26 )</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 basic</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0.57</w:t>
            </w:r>
          </w:p>
        </w:tc>
        <w:tc>
          <w:tcPr>
            <w:tcW w:w="5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0.29</w:t>
            </w:r>
          </w:p>
        </w:tc>
        <w:tc>
          <w:tcPr>
            <w:tcW w:w="3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1.32</w:t>
            </w:r>
          </w:p>
        </w:tc>
        <w:tc>
          <w:tcPr>
            <w:tcW w:w="5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1.46</w:t>
            </w:r>
          </w:p>
        </w:tc>
      </w:tr>
      <w:tr>
        <w:trPr>
          <w:trHeight w:val="210"/>
        </w:trPr>
        <w:tc>
          <w:tcPr>
            <w:tcW w:w="58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69"/>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from continuing operations - diluted</w:t>
            </w: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0.56</w:t>
            </w:r>
          </w:p>
        </w:tc>
        <w:tc>
          <w:tcPr>
            <w:tcW w:w="1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0.53</w:t>
            </w:r>
          </w:p>
        </w:tc>
        <w:tc>
          <w:tcPr>
            <w:tcW w:w="1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2.10</w:t>
            </w: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Loss per ordinary share from discontinued operations - diluted</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(0.25 )</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(0.68 )</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per ordinary share - diluted</w:t>
            </w:r>
          </w:p>
        </w:tc>
        <w:tc>
          <w:tcPr>
            <w:tcW w:w="26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0.55</w:t>
            </w:r>
          </w:p>
        </w:tc>
        <w:tc>
          <w:tcPr>
            <w:tcW w:w="5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0.28</w:t>
            </w:r>
          </w:p>
        </w:tc>
        <w:tc>
          <w:tcPr>
            <w:tcW w:w="380" w:type="dxa"/>
            <w:vAlign w:val="bottom"/>
            <w:gridSpan w:val="2"/>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1.30</w:t>
            </w:r>
          </w:p>
        </w:tc>
        <w:tc>
          <w:tcPr>
            <w:tcW w:w="520" w:type="dxa"/>
            <w:vAlign w:val="bottom"/>
            <w:gridSpan w:val="2"/>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1.42</w:t>
            </w:r>
          </w:p>
        </w:tc>
      </w:tr>
      <w:tr>
        <w:trPr>
          <w:trHeight w:val="175"/>
        </w:trPr>
        <w:tc>
          <w:tcPr>
            <w:tcW w:w="5820" w:type="dxa"/>
            <w:vAlign w:val="bottom"/>
            <w:tcBorders>
              <w:top w:val="single" w:sz="8" w:color="CFF0FC"/>
            </w:tcBorders>
          </w:tcPr>
          <w:p>
            <w:pPr>
              <w:ind w:left="20"/>
              <w:spacing w:after="0" w:line="175" w:lineRule="exact"/>
              <w:rPr>
                <w:sz w:val="20"/>
                <w:szCs w:val="20"/>
                <w:color w:val="auto"/>
              </w:rPr>
            </w:pPr>
            <w:r>
              <w:rPr>
                <w:rFonts w:ascii="Times New Roman" w:cs="Times New Roman" w:eastAsia="Times New Roman" w:hAnsi="Times New Roman"/>
                <w:sz w:val="17"/>
                <w:szCs w:val="17"/>
                <w:color w:val="auto"/>
              </w:rPr>
              <w:t>WEIGHTED AVERAGE NUMBER OF ORDINARY SHARES</w:t>
            </w:r>
          </w:p>
        </w:tc>
        <w:tc>
          <w:tcPr>
            <w:tcW w:w="2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163,368</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166,607</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166,546</w:t>
            </w:r>
          </w:p>
        </w:tc>
        <w:tc>
          <w:tcPr>
            <w:tcW w:w="1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165,996</w:t>
            </w:r>
          </w:p>
        </w:tc>
      </w:tr>
      <w:tr>
        <w:trPr>
          <w:trHeight w:val="210"/>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167,025</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171,903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170,196</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170,981</w:t>
            </w: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r>
      <w:tr>
        <w:trPr>
          <w:trHeight w:val="226"/>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92,381</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47,758</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220,567</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242,978</w:t>
            </w:r>
          </w:p>
        </w:tc>
      </w:tr>
      <w:tr>
        <w:trPr>
          <w:trHeight w:val="232"/>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Holding gain, net of a tax provision of $376, $216, $293 and $803, respectively</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rPr>
              <w:t>4,015</w:t>
            </w: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1,363</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rPr>
              <w:t>3,535</w:t>
            </w:r>
          </w:p>
        </w:tc>
        <w:tc>
          <w:tcPr>
            <w:tcW w:w="1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rPr>
              <w:t>4,815</w:t>
            </w: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96,396</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49,121</w:t>
            </w:r>
          </w:p>
        </w:tc>
        <w:tc>
          <w:tcPr>
            <w:tcW w:w="38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224,102</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247,793</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-5417185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-5417185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-5417185</wp:posOffset>
            </wp:positionV>
            <wp:extent cx="94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-4563745</wp:posOffset>
            </wp:positionV>
            <wp:extent cx="111125"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-4563745</wp:posOffset>
            </wp:positionV>
            <wp:extent cx="111125"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-4563745</wp:posOffset>
            </wp:positionV>
            <wp:extent cx="120015"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-3496945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-3496945</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-3496945</wp:posOffset>
            </wp:positionV>
            <wp:extent cx="946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-3188335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-3188335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-3188335</wp:posOffset>
            </wp:positionV>
            <wp:extent cx="94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-2879725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-2879725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-2879725</wp:posOffset>
            </wp:positionV>
            <wp:extent cx="946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-2262505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-2245360</wp:posOffset>
            </wp:positionV>
            <wp:extent cx="85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-2262505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-2245360</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-2262505</wp:posOffset>
            </wp:positionV>
            <wp:extent cx="94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-2245360</wp:posOffset>
            </wp:positionV>
            <wp:extent cx="94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-1919605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-1902460</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-1919605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-1902460</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-1919605</wp:posOffset>
            </wp:positionV>
            <wp:extent cx="94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-1902460</wp:posOffset>
            </wp:positionV>
            <wp:extent cx="94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-1602105</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-1584960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-1602105</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-1584960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-1602105</wp:posOffset>
            </wp:positionV>
            <wp:extent cx="946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-1584960</wp:posOffset>
            </wp:positionV>
            <wp:extent cx="946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-1259205</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-1242060</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-1259205</wp:posOffset>
            </wp:positionV>
            <wp:extent cx="857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-1242060</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-1259205</wp:posOffset>
            </wp:positionV>
            <wp:extent cx="946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-1242060</wp:posOffset>
            </wp:positionV>
            <wp:extent cx="946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-813435</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-796290</wp:posOffset>
            </wp:positionV>
            <wp:extent cx="85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-813435</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-796290</wp:posOffset>
            </wp:positionV>
            <wp:extent cx="857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-813435</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-796290</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-179070</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-179070</wp:posOffset>
            </wp:positionV>
            <wp:extent cx="94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5"/>
                <w:szCs w:val="15"/>
                <w:color w:val="auto"/>
              </w:rPr>
            </w:pPr>
          </w:p>
        </w:tc>
      </w:tr>
      <w:tr>
        <w:trPr>
          <w:trHeight w:val="187"/>
        </w:trPr>
        <w:tc>
          <w:tcPr>
            <w:tcW w:w="8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69"/>
        </w:trPr>
        <w:tc>
          <w:tcPr>
            <w:tcW w:w="8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69"/>
        </w:trPr>
        <w:tc>
          <w:tcPr>
            <w:tcW w:w="8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4"/>
                <w:szCs w:val="14"/>
                <w:color w:val="auto"/>
              </w:rPr>
            </w:pPr>
          </w:p>
        </w:tc>
      </w:tr>
      <w:tr>
        <w:trPr>
          <w:trHeight w:val="24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220,567</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242,978</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cash flows from operating activities: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21,686</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56,386</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75,889</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75,062</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32,313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(47,385 )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on sale of the Athlone Facility</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non-cash charges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4,794</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1,394</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(34,734 )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(49,730 )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6,163</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1,892</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3,947</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5,384</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12,685</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(82,978 )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20,958</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18,377</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(13,649 )</w:t>
            </w: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(5,724 )</w:t>
            </w:r>
          </w:p>
        </w:tc>
      </w:tr>
      <w:tr>
        <w:trPr>
          <w:trHeight w:val="239"/>
        </w:trPr>
        <w:tc>
          <w:tcPr>
            <w:tcW w:w="81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(12,569 )</w:t>
            </w:r>
          </w:p>
        </w:tc>
      </w:tr>
      <w:tr>
        <w:trPr>
          <w:trHeight w:val="247"/>
        </w:trPr>
        <w:tc>
          <w:tcPr>
            <w:tcW w:w="8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5,342</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13,466</w:t>
            </w:r>
          </w:p>
        </w:tc>
      </w:tr>
      <w:tr>
        <w:trPr>
          <w:trHeight w:val="237"/>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248,727</w:t>
            </w:r>
          </w:p>
        </w:tc>
        <w:tc>
          <w:tcPr>
            <w:tcW w:w="1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294,116</w:t>
            </w: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(23,711 )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(31,018 )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sale of equipment</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454</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sale of the Athlone Facility</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97,933</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(396,895 )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(186,593 )</w:t>
            </w:r>
          </w:p>
        </w:tc>
      </w:tr>
      <w:tr>
        <w:trPr>
          <w:trHeight w:val="239"/>
        </w:trPr>
        <w:tc>
          <w:tcPr>
            <w:tcW w:w="81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Sales and maturities of investments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224,786</w:t>
            </w:r>
          </w:p>
        </w:tc>
        <w:tc>
          <w:tcPr>
            <w:tcW w:w="160" w:type="dxa"/>
            <w:vAlign w:val="bottom"/>
            <w:tcBorders>
              <w:bottom w:val="single" w:sz="8" w:color="CFF0FC"/>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291,944</w:t>
            </w:r>
          </w:p>
        </w:tc>
      </w:tr>
      <w:tr>
        <w:trPr>
          <w:trHeight w:val="241"/>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(97,433 )</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74,339</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ordinary shares under share-based compensation arrangements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19,354</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15,113</w:t>
            </w: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taxes paid related to net share settlement of equity awards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(29,293 )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(26,080 )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for the repurchase of ordinary shares</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(200,281 )</w:t>
            </w:r>
          </w:p>
        </w:tc>
        <w:tc>
          <w:tcPr>
            <w:tcW w:w="1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(2,250 )</w:t>
            </w:r>
          </w:p>
        </w:tc>
        <w:tc>
          <w:tcPr>
            <w:tcW w:w="1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(2,250 )</w:t>
            </w:r>
          </w:p>
        </w:tc>
      </w:tr>
      <w:tr>
        <w:trPr>
          <w:trHeight w:val="236"/>
        </w:trPr>
        <w:tc>
          <w:tcPr>
            <w:tcW w:w="81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(212,470 )</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(13,217 )</w:t>
            </w:r>
          </w:p>
        </w:tc>
      </w:tr>
      <w:tr>
        <w:trPr>
          <w:trHeight w:val="232"/>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(61,176 )</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355,238</w:t>
            </w:r>
          </w:p>
        </w:tc>
      </w:tr>
      <w:tr>
        <w:trPr>
          <w:trHeight w:val="247"/>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457,469</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292,473</w:t>
            </w:r>
          </w:p>
        </w:tc>
      </w:tr>
      <w:tr>
        <w:trPr>
          <w:trHeight w:val="23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396,293</w:t>
            </w:r>
          </w:p>
        </w:tc>
        <w:tc>
          <w:tcPr>
            <w:tcW w:w="6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647,711</w:t>
            </w:r>
          </w:p>
        </w:tc>
      </w:tr>
      <w:tr>
        <w:trPr>
          <w:trHeight w:val="20"/>
        </w:trPr>
        <w:tc>
          <w:tcPr>
            <w:tcW w:w="8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w:t>
            </w: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7"/>
        </w:trPr>
        <w:tc>
          <w:tcPr>
            <w:tcW w:w="8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3,053</w:t>
            </w:r>
          </w:p>
        </w:tc>
        <w:tc>
          <w:tcPr>
            <w:tcW w:w="6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-3171190</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6113145</wp:posOffset>
            </wp:positionH>
            <wp:positionV relativeFrom="paragraph">
              <wp:posOffset>-2086610</wp:posOffset>
            </wp:positionV>
            <wp:extent cx="119380" cy="196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-968375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-650875</wp:posOffset>
            </wp:positionV>
            <wp:extent cx="939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4"/>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5"/>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4"/>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Accumulate</w:t>
            </w:r>
          </w:p>
        </w:tc>
        <w:tc>
          <w:tcPr>
            <w:tcW w:w="186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42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89"/>
              </w:rPr>
              <w:t>d</w:t>
            </w: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5"/>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940" w:type="dxa"/>
            <w:vAlign w:val="bottom"/>
            <w:tcBorders>
              <w:bottom w:val="single" w:sz="8" w:color="auto"/>
            </w:tcBorders>
            <w:gridSpan w:val="2"/>
          </w:tcPr>
          <w:p>
            <w:pPr>
              <w:jc w:val="center"/>
              <w:ind w:right="44"/>
              <w:spacing w:after="0"/>
              <w:rPr>
                <w:sz w:val="20"/>
                <w:szCs w:val="20"/>
                <w:color w:val="auto"/>
              </w:rPr>
            </w:pPr>
            <w:r>
              <w:rPr>
                <w:rFonts w:ascii="Times New Roman" w:cs="Times New Roman" w:eastAsia="Times New Roman" w:hAnsi="Times New Roman"/>
                <w:sz w:val="12"/>
                <w:szCs w:val="12"/>
                <w:b w:val="1"/>
                <w:bCs w:val="1"/>
                <w:color w:val="auto"/>
                <w:w w:val="96"/>
              </w:rPr>
              <w:t>(Loss) Income</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172,569,0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2,736,93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(1,343,5</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(5,589,21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December 31, 2023</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1,726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4</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(3,110 )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(189,336 )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$ 1,202,686</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3,165,169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11,195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11,226</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(960,486 )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(28,349 )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(28,349 )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32,863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32,863</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loss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benefit of $75</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(491 )</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(491 )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36,828</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36,828</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175,734,2</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2,780,99</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(1,306,7</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(6,549,70</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March 31, 2024</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1,757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(3,601 )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00 )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(217,685 )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$ 1,254,763</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225,052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2,604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2,607</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(26,692 )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(651 )</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65"/>
              <w:spacing w:after="0" w:line="159" w:lineRule="exact"/>
              <w:rPr>
                <w:sz w:val="20"/>
                <w:szCs w:val="20"/>
                <w:color w:val="auto"/>
              </w:rPr>
            </w:pPr>
            <w:r>
              <w:rPr>
                <w:rFonts w:ascii="Times New Roman" w:cs="Times New Roman" w:eastAsia="Times New Roman" w:hAnsi="Times New Roman"/>
                <w:sz w:val="15"/>
                <w:szCs w:val="15"/>
                <w:color w:val="auto"/>
              </w:rPr>
              <w:t>(3,496,18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Repurchase of Alkermes' ordinary shares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(84,689 )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(84,689 )</w:t>
            </w: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20,606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20,606</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tax benefit of $8</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89"/>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91,358</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91,358</w:t>
            </w:r>
          </w:p>
        </w:tc>
        <w:tc>
          <w:tcPr>
            <w:tcW w:w="0" w:type="dxa"/>
            <w:vAlign w:val="bottom"/>
          </w:tcPr>
          <w:p>
            <w:pPr>
              <w:spacing w:after="0"/>
              <w:rPr>
                <w:sz w:val="1"/>
                <w:szCs w:val="1"/>
                <w:color w:val="auto"/>
              </w:rPr>
            </w:pPr>
          </w:p>
        </w:tc>
      </w:tr>
      <w:tr>
        <w:trPr>
          <w:trHeight w:val="152"/>
        </w:trPr>
        <w:tc>
          <w:tcPr>
            <w:tcW w:w="342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175,959,2</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2,804,20</w:t>
            </w: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(1,215,3</w:t>
            </w:r>
          </w:p>
        </w:tc>
        <w:tc>
          <w:tcPr>
            <w:tcW w:w="100" w:type="dxa"/>
            <w:vAlign w:val="bottom"/>
            <w:tcBorders>
              <w:top w:val="single" w:sz="8" w:color="CFF0FC"/>
            </w:tcBorders>
          </w:tcPr>
          <w:p>
            <w:pPr>
              <w:spacing w:after="0"/>
              <w:rPr>
                <w:sz w:val="13"/>
                <w:szCs w:val="13"/>
                <w:color w:val="auto"/>
              </w:rPr>
            </w:pPr>
          </w:p>
        </w:tc>
        <w:tc>
          <w:tcPr>
            <w:tcW w:w="900" w:type="dxa"/>
            <w:vAlign w:val="bottom"/>
            <w:tcBorders>
              <w:top w:val="single" w:sz="8" w:color="auto"/>
            </w:tcBorders>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(10,072,5</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 June 30, 2024</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1,760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(3,590 )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(303,025 )</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$ 1,284,005</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298,898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5,518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5,521</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(293 )</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65"/>
              <w:spacing w:after="0" w:line="159" w:lineRule="exact"/>
              <w:rPr>
                <w:sz w:val="20"/>
                <w:szCs w:val="20"/>
                <w:color w:val="auto"/>
              </w:rPr>
            </w:pPr>
            <w:r>
              <w:rPr>
                <w:rFonts w:ascii="Times New Roman" w:cs="Times New Roman" w:eastAsia="Times New Roman" w:hAnsi="Times New Roman"/>
                <w:sz w:val="15"/>
                <w:szCs w:val="15"/>
                <w:color w:val="auto"/>
              </w:rPr>
              <w:t>(4,398,23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Repurchase of Alkermes' ordinary shares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(115,593 )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(115,593 )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22,070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22,070</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provision of $376</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4,015</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4,015</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92,381</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92,381</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176,258,1</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2,831,79</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(1,122,9</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(14,481,9</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September 30, 2024</w:t>
            </w: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1,763</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425</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61 )</w:t>
            </w: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(418,911 )</w:t>
            </w:r>
          </w:p>
        </w:tc>
        <w:tc>
          <w:tcPr>
            <w:tcW w:w="1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$ 1,292,106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-1824990</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-1824990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-1824990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-1824990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-1824990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-1824990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-1824990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-24765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-7620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38"/>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85"/>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94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Ordinary 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66"/>
              <w:spacing w:after="0" w:line="135" w:lineRule="exact"/>
              <w:rPr>
                <w:sz w:val="20"/>
                <w:szCs w:val="20"/>
                <w:color w:val="auto"/>
              </w:rPr>
            </w:pPr>
            <w:r>
              <w:rPr>
                <w:rFonts w:ascii="Times New Roman" w:cs="Times New Roman" w:eastAsia="Times New Roman" w:hAnsi="Times New Roman"/>
                <w:sz w:val="12"/>
                <w:szCs w:val="12"/>
                <w:b w:val="1"/>
                <w:bCs w:val="1"/>
                <w:color w:val="auto"/>
                <w:w w:val="95"/>
              </w:rPr>
              <w:t>Additional</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245"/>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90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Accumulate</w:t>
            </w:r>
          </w:p>
        </w:tc>
        <w:tc>
          <w:tcPr>
            <w:tcW w:w="1860" w:type="dxa"/>
            <w:vAlign w:val="bottom"/>
            <w:gridSpan w:val="4"/>
            <w:vMerge w:val="restart"/>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42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89"/>
              </w:rPr>
              <w:t>d</w:t>
            </w:r>
          </w:p>
        </w:tc>
        <w:tc>
          <w:tcPr>
            <w:tcW w:w="186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20" w:type="dxa"/>
            <w:vAlign w:val="bottom"/>
          </w:tcPr>
          <w:p>
            <w:pPr>
              <w:spacing w:after="0"/>
              <w:rPr>
                <w:sz w:val="13"/>
                <w:szCs w:val="13"/>
                <w:color w:val="auto"/>
              </w:rPr>
            </w:pPr>
          </w:p>
        </w:tc>
        <w:tc>
          <w:tcPr>
            <w:tcW w:w="9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05"/>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3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40" w:type="dxa"/>
            <w:vAlign w:val="bottom"/>
            <w:gridSpan w:val="7"/>
          </w:tcPr>
          <w:p>
            <w:pPr>
              <w:ind w:left="10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4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168,951,1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6"/>
              <w:spacing w:after="0" w:line="161" w:lineRule="exact"/>
              <w:rPr>
                <w:sz w:val="20"/>
                <w:szCs w:val="20"/>
                <w:color w:val="auto"/>
              </w:rPr>
            </w:pPr>
            <w:r>
              <w:rPr>
                <w:rFonts w:ascii="Times New Roman" w:cs="Times New Roman" w:eastAsia="Times New Roman" w:hAnsi="Times New Roman"/>
                <w:sz w:val="15"/>
                <w:szCs w:val="15"/>
                <w:color w:val="auto"/>
              </w:rPr>
              <w:t>2,913,09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5"/>
              <w:spacing w:after="0" w:line="161" w:lineRule="exact"/>
              <w:rPr>
                <w:sz w:val="20"/>
                <w:szCs w:val="20"/>
                <w:color w:val="auto"/>
              </w:rPr>
            </w:pPr>
            <w:r>
              <w:rPr>
                <w:rFonts w:ascii="Times New Roman" w:cs="Times New Roman" w:eastAsia="Times New Roman" w:hAnsi="Times New Roman"/>
                <w:sz w:val="15"/>
                <w:szCs w:val="15"/>
                <w:color w:val="auto"/>
              </w:rPr>
              <w:t>(1,699,2</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65"/>
              <w:spacing w:after="0" w:line="161" w:lineRule="exact"/>
              <w:rPr>
                <w:sz w:val="20"/>
                <w:szCs w:val="20"/>
                <w:color w:val="auto"/>
              </w:rPr>
            </w:pPr>
            <w:r>
              <w:rPr>
                <w:rFonts w:ascii="Times New Roman" w:cs="Times New Roman" w:eastAsia="Times New Roman" w:hAnsi="Times New Roman"/>
                <w:sz w:val="15"/>
                <w:szCs w:val="15"/>
                <w:color w:val="auto"/>
              </w:rPr>
              <w:t>(4,574,18</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December 31, 2022</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93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1,690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9</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(10,889 )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(160,862 )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$ 1,043,753</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2,567,603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2,874</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(885,652 )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(24,744 )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(24,744 )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22,778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22,778</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provision of $488</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2,760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2,760</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(41,845 )</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(41,845 )</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171,518,7</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2,938,72</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(1,741,1</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(5,459,83</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March 31, 2023</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1,715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6</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(8,129 )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(185,606 )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$ 1,005,576</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457,105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9,126</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(17,777 )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(540 )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(540 )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28,518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28,518</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provision of $99</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692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692</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237,065</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237,065</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171,975,9</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2,976,36</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(1,504,0</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(5,477,61</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June 30, 2023</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1,720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5</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(7,437 )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65 )</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(186,146 )</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$ 1,280,437</w:t>
            </w:r>
          </w:p>
        </w:tc>
        <w:tc>
          <w:tcPr>
            <w:tcW w:w="0" w:type="dxa"/>
            <w:vAlign w:val="bottom"/>
          </w:tcPr>
          <w:p>
            <w:pPr>
              <w:spacing w:after="0"/>
              <w:rPr>
                <w:sz w:val="1"/>
                <w:szCs w:val="1"/>
                <w:color w:val="auto"/>
              </w:rPr>
            </w:pPr>
          </w:p>
        </w:tc>
      </w:tr>
      <w:tr>
        <w:trPr>
          <w:trHeight w:val="158"/>
        </w:trPr>
        <w:tc>
          <w:tcPr>
            <w:tcW w:w="342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Issuance of ordinary shares under employee stock</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plans</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242,750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3,111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3,113</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Receipt of Alkermes' ordinary shares for the</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exercise of stock options or to satisfy minimum</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5"/>
                <w:szCs w:val="15"/>
                <w:color w:val="auto"/>
              </w:rPr>
              <w:t>tax withholding obligations related to share-based</w:t>
            </w: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awards</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(26,943 )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(796 )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(796 )</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Share-based compensation</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23,708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23,708</w:t>
            </w:r>
          </w:p>
        </w:tc>
        <w:tc>
          <w:tcPr>
            <w:tcW w:w="0" w:type="dxa"/>
            <w:vAlign w:val="bottom"/>
          </w:tcPr>
          <w:p>
            <w:pPr>
              <w:spacing w:after="0"/>
              <w:rPr>
                <w:sz w:val="1"/>
                <w:szCs w:val="1"/>
                <w:color w:val="auto"/>
              </w:rPr>
            </w:pPr>
          </w:p>
        </w:tc>
      </w:tr>
      <w:tr>
        <w:trPr>
          <w:trHeight w:val="158"/>
        </w:trPr>
        <w:tc>
          <w:tcPr>
            <w:tcW w:w="3420" w:type="dxa"/>
            <w:vAlign w:val="bottom"/>
            <w:shd w:val="clear" w:color="auto" w:fill="CFF0FC"/>
          </w:tcPr>
          <w:p>
            <w:pPr>
              <w:ind w:left="200"/>
              <w:spacing w:after="0" w:line="159" w:lineRule="exact"/>
              <w:rPr>
                <w:sz w:val="20"/>
                <w:szCs w:val="20"/>
                <w:color w:val="auto"/>
              </w:rPr>
            </w:pPr>
            <w:r>
              <w:rPr>
                <w:rFonts w:ascii="Times New Roman" w:cs="Times New Roman" w:eastAsia="Times New Roman" w:hAnsi="Times New Roman"/>
                <w:sz w:val="15"/>
                <w:szCs w:val="15"/>
                <w:color w:val="auto"/>
              </w:rPr>
              <w:t>Unrealized gain on marketable securities, net of</w:t>
            </w: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tax provision of $216</w:t>
            </w:r>
          </w:p>
        </w:tc>
        <w:tc>
          <w:tcPr>
            <w:tcW w:w="94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1,363</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1,363</w:t>
            </w:r>
          </w:p>
        </w:tc>
        <w:tc>
          <w:tcPr>
            <w:tcW w:w="0" w:type="dxa"/>
            <w:vAlign w:val="bottom"/>
          </w:tcPr>
          <w:p>
            <w:pPr>
              <w:spacing w:after="0"/>
              <w:rPr>
                <w:sz w:val="1"/>
                <w:szCs w:val="1"/>
                <w:color w:val="auto"/>
              </w:rPr>
            </w:pPr>
          </w:p>
        </w:tc>
      </w:tr>
      <w:tr>
        <w:trPr>
          <w:trHeight w:val="189"/>
        </w:trPr>
        <w:tc>
          <w:tcPr>
            <w:tcW w:w="342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940" w:type="dxa"/>
            <w:vAlign w:val="bottom"/>
          </w:tcPr>
          <w:p>
            <w:pPr>
              <w:jc w:val="right"/>
              <w:ind w:right="65"/>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47,758</w:t>
            </w:r>
          </w:p>
        </w:tc>
        <w:tc>
          <w:tcPr>
            <w:tcW w:w="10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53"/>
              <w:spacing w:after="0"/>
              <w:rPr>
                <w:sz w:val="20"/>
                <w:szCs w:val="20"/>
                <w:color w:val="auto"/>
              </w:rPr>
            </w:pPr>
            <w:r>
              <w:rPr>
                <w:rFonts w:ascii="Times New Roman" w:cs="Times New Roman" w:eastAsia="Times New Roman" w:hAnsi="Times New Roman"/>
                <w:sz w:val="15"/>
                <w:szCs w:val="15"/>
                <w:color w:val="auto"/>
              </w:rPr>
              <w:t>47,758</w:t>
            </w:r>
          </w:p>
        </w:tc>
        <w:tc>
          <w:tcPr>
            <w:tcW w:w="0" w:type="dxa"/>
            <w:vAlign w:val="bottom"/>
          </w:tcPr>
          <w:p>
            <w:pPr>
              <w:spacing w:after="0"/>
              <w:rPr>
                <w:sz w:val="1"/>
                <w:szCs w:val="1"/>
                <w:color w:val="auto"/>
              </w:rPr>
            </w:pPr>
          </w:p>
        </w:tc>
      </w:tr>
      <w:tr>
        <w:trPr>
          <w:trHeight w:val="152"/>
        </w:trPr>
        <w:tc>
          <w:tcPr>
            <w:tcW w:w="34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172,218,6</w:t>
            </w: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
              <w:spacing w:after="0" w:line="152" w:lineRule="exact"/>
              <w:rPr>
                <w:sz w:val="20"/>
                <w:szCs w:val="20"/>
                <w:color w:val="auto"/>
              </w:rPr>
            </w:pPr>
            <w:r>
              <w:rPr>
                <w:rFonts w:ascii="Times New Roman" w:cs="Times New Roman" w:eastAsia="Times New Roman" w:hAnsi="Times New Roman"/>
                <w:sz w:val="15"/>
                <w:szCs w:val="15"/>
                <w:color w:val="auto"/>
              </w:rPr>
              <w:t>3,003,18</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45"/>
              <w:spacing w:after="0" w:line="152" w:lineRule="exact"/>
              <w:rPr>
                <w:sz w:val="20"/>
                <w:szCs w:val="20"/>
                <w:color w:val="auto"/>
              </w:rPr>
            </w:pPr>
            <w:r>
              <w:rPr>
                <w:rFonts w:ascii="Times New Roman" w:cs="Times New Roman" w:eastAsia="Times New Roman" w:hAnsi="Times New Roman"/>
                <w:sz w:val="15"/>
                <w:szCs w:val="15"/>
                <w:color w:val="auto"/>
              </w:rPr>
              <w:t>(1,456,3</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ind w:right="65"/>
              <w:spacing w:after="0" w:line="152" w:lineRule="exact"/>
              <w:rPr>
                <w:sz w:val="20"/>
                <w:szCs w:val="20"/>
                <w:color w:val="auto"/>
              </w:rPr>
            </w:pPr>
            <w:r>
              <w:rPr>
                <w:rFonts w:ascii="Times New Roman" w:cs="Times New Roman" w:eastAsia="Times New Roman" w:hAnsi="Times New Roman"/>
                <w:sz w:val="15"/>
                <w:szCs w:val="15"/>
                <w:color w:val="auto"/>
              </w:rPr>
              <w:t>(5,504,55</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BALANCE — September 30, 2023</w:t>
            </w:r>
          </w:p>
        </w:tc>
        <w:tc>
          <w:tcPr>
            <w:tcW w:w="940" w:type="dxa"/>
            <w:vAlign w:val="bottom"/>
            <w:tcBorders>
              <w:bottom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1,722</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ind w:right="46"/>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(6,074 )</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07 )</w:t>
            </w:r>
          </w:p>
        </w:tc>
        <w:tc>
          <w:tcPr>
            <w:tcW w:w="10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(186,942 )</w:t>
            </w:r>
          </w:p>
        </w:tc>
        <w:tc>
          <w:tcPr>
            <w:tcW w:w="10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5"/>
                <w:szCs w:val="15"/>
                <w:color w:val="auto"/>
              </w:rPr>
              <w:t>$ 1,355,583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-24765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-8255</wp:posOffset>
            </wp:positionV>
            <wp:extent cx="768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774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-8255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8"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Alkermes has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Headquartered in Ireland, Alkermes also has a corporate office and research and development (“R&amp;D”) center in Massachusetts and a manufacturing facility in Ohio.</w:t>
      </w:r>
    </w:p>
    <w:p>
      <w:pPr>
        <w:spacing w:after="0" w:line="139"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In May 2024, the Company completed the sale of its development and manufacturing facility in Athlone, Ireland (the “Athlone Facility”) to Novo Nordisk (“Novo”) pursuant to an asset purchase agreement entered into in December 2023. The Company and Novo also entered into subcontracting arrangements to continue certain development and manufacturing activities performed at the Athlone Facility for a period of time after the closing of the transaction, which activities may continue through the end of 2025. In connection with the sale of the Athlone Facility, the Company received approximately $97.9 million from Novo, which included a payment of approximately $91.0 million for the facility and certain related assets, and recorded a gain of approximately $1.5 million within “Other income (expense), net” in the accompanying condensed consolidated statements of operations and comprehensive income for the nine months ended September 30, 2024. At December 31, 2023, the Company classified the assets described under the asset purchase agreement for the sale as “Assets held for sale” in the accompanying condensed consolidated balance sheet.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46"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for the three and nine months ended September 30, 2024 and 2023 are unaudited and have been prepared on a basis substantially consistent with the audited financial statements for the year ended December 31, 2023. The year-end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of a normal recurring nature that are necessary to state fairly the results of operations for the reported periods.</w:t>
      </w:r>
    </w:p>
    <w:p>
      <w:pPr>
        <w:spacing w:after="0" w:line="120" w:lineRule="exact"/>
        <w:rPr>
          <w:sz w:val="20"/>
          <w:szCs w:val="20"/>
          <w:color w:val="auto"/>
        </w:rPr>
      </w:pPr>
    </w:p>
    <w:p>
      <w:pPr>
        <w:ind w:right="120" w:firstLine="374"/>
        <w:spacing w:after="0" w:line="266"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of the Company, which are contained in the Annual Report. The results of the Company’s operations for any interim period are not necessarily indicative of the results of the Company’s operations for any other interim period or for any full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46"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accompanying condensed consolidated financial statements include the accounts of Alkermes plc and its wholly-owned subsidiaries as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accompanying the Annual Report. Intercompany accounts and transactions have been eliminated. Columns and rows within tables may not sum due to rounding.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16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presented operations from its former oncology business as discontinued operations in the accompanying condensed consolidated statement of operations and comprehensive income for the three and nine months ended September 30, 2023.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Condensed Consolidated Financial Statements” in this Form 10-Q for additional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16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separation of its oncology business in November 2023 met the criteria for classification of the oncology business as discontinued operations in accordance with Financial Accounting Standards Board (“FASB”) Accounting Standards Codification (“ASC”) 205, </w:t>
      </w: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(“Topic 205”). Accordingly, the financial statements have been updated to present the results of the oncology business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discontinued operations for the three and nine months ended September 30, 2023 in the accompanying condensed consolidated statement of operations and comprehensive income.</w:t>
      </w: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85" w:lineRule="exact"/>
        <w:rPr>
          <w:sz w:val="20"/>
          <w:szCs w:val="20"/>
          <w:color w:val="auto"/>
        </w:rPr>
      </w:pPr>
    </w:p>
    <w:p>
      <w:pPr>
        <w:ind w:right="20" w:firstLine="374"/>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sale of the Athlone Facility, the Company reviewed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and, based on the definitions therein, determined that the Athlone Facility constituted a business. Accordingly, the assets associated with the sale of the Athlone Facility were classified as “Assets held for sale” in the accompanying condensed consolidated balance sheet as of December 31,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00" w:lineRule="exact"/>
        <w:rPr>
          <w:sz w:val="20"/>
          <w:szCs w:val="20"/>
          <w:color w:val="auto"/>
        </w:rPr>
      </w:pPr>
    </w:p>
    <w:p>
      <w:pPr>
        <w:ind w:right="120" w:firstLine="37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accordance with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and amortization of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conditions or using different assumptions.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87"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The Company operates as one business segment, which is the business of developing, manufacturing and commercializing medicines designed to address unmet medical needs of patients in major therapeutic areas. The Company’s chief decision maker, its Chief Executive Officer and chairman of its board of directors, reviews the Company’s operating results on an aggregate basis and manages the Company’s operations as a single operating unit.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87" w:lineRule="exact"/>
        <w:rPr>
          <w:sz w:val="20"/>
          <w:szCs w:val="20"/>
          <w:color w:val="auto"/>
        </w:rPr>
      </w:pPr>
    </w:p>
    <w:p>
      <w:pPr>
        <w:jc w:val="both"/>
        <w:ind w:right="140" w:firstLine="374"/>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on or prior to the specified effective date. Unless otherwise described in this Form 10-Q, the Company believes that the impact of recently issued standards that are not yet effective will not have a material impact on its financial position or results of operations upon adoption.</w:t>
      </w:r>
    </w:p>
    <w:p>
      <w:pPr>
        <w:spacing w:after="0" w:line="133"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w:t>
      </w:r>
      <w:r>
        <w:rPr>
          <w:rFonts w:ascii="Times New Roman" w:cs="Times New Roman" w:eastAsia="Times New Roman" w:hAnsi="Times New Roman"/>
          <w:sz w:val="18"/>
          <w:szCs w:val="18"/>
          <w:color w:val="auto"/>
        </w:rPr>
        <w:t>, which requires disclosure of significant segment expenses that are regularly provided to the chief operating decision maker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within each reported measure of segment profit or loss, an amount and description of its composition for other segment items to reconcile to segment profit or loss and the title and position of the Company’s chief operating decision maker. The amendments in this guidance also expand the interim segment disclosure requirements. All disclosure requirements under this guidance are required for public entities with a single reportable segment. This ASU became effective for fiscal years beginning after December 15, 2023, and interim periods within fiscal years beginning after December 15, 2024. Early adoption is permitted and the amendments in this guidance are required to be applied on a retrospective basis. The Company elected to early adopt this guidance and determined this ASU did not have an impact on its consolidated financial statements and related disclosures.</w:t>
      </w:r>
    </w:p>
    <w:p>
      <w:pPr>
        <w:spacing w:after="0" w:line="158" w:lineRule="exact"/>
        <w:rPr>
          <w:sz w:val="20"/>
          <w:szCs w:val="20"/>
          <w:color w:val="auto"/>
        </w:rPr>
      </w:pPr>
    </w:p>
    <w:p>
      <w:pPr>
        <w:ind w:right="20" w:firstLine="37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becomes effective for public companies for annual periods beginning after December 15, 2024. Early adoption is permitted for annual financial statements that have not yet been issued or made available for issuance. This guidance will be applied on a prospective basis. The Company is currently evaluating the impact this ASU will have on its consolidated financial statements and related disclosures.</w:t>
      </w: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Mural Oncology Separation</w:t>
      </w:r>
    </w:p>
    <w:p>
      <w:pPr>
        <w:spacing w:after="0" w:line="187"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On November 15, 2023 (the “Separation Date”), the Company completed the separation of its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held by such shareholder as of the close of business on November 6, 2023, the record date for the Distribution. The historical results of the oncology business have been reflected as discontinued operations in the Company’s accompanying condensed consolidated financial statements for the three and nine months ended September 30, 2023 and as of December 31, 2023.</w:t>
      </w:r>
    </w:p>
    <w:p>
      <w:pPr>
        <w:spacing w:after="0" w:line="162" w:lineRule="exact"/>
        <w:rPr>
          <w:sz w:val="20"/>
          <w:szCs w:val="20"/>
          <w:color w:val="auto"/>
        </w:rPr>
      </w:pPr>
    </w:p>
    <w:p>
      <w:pPr>
        <w:ind w:right="120" w:firstLine="374"/>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separation agreement with Mural, dated as of November 13, 2023 (the “Separation Agreement”), that, among other things, sets forth the Company’s agreements with Mural regarding the principal actions taken or to be taken in connection with the Separation, including the Distribution. The Separation Agreement identified those assets to be transferred to, liabilities to be assumed by, and contracts to be assigned to Mural, including the operating lease for the office and laboratory space at 852 Winter Street in Waltham, Massachusetts, and it provided for when and how such transfers, assumptions and assignments were to occur. The purpose of the Separation Agreement was to provide Mural and the Company with those assets necessary to operate their respective businesses and to retain or assume the respective liabilities related to those assets.</w:t>
      </w:r>
    </w:p>
    <w:p>
      <w:pPr>
        <w:spacing w:after="0" w:line="147"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Each of Mural and the Company agreed to releases with respect to pre-Distribution claims, and cross-indemnities with respect to post-Distribution claims, that were principally designed to place financial responsibility for the obligations and liabilities allocated to Mural under the Separation Agreement, and financial responsibility for the obligations and liabilities allocated to the Company under the Separation Agreement. The Company and Mural are also each subject to certain confidentiality restrictions and information sharing obligations.</w:t>
      </w:r>
    </w:p>
    <w:p>
      <w:pPr>
        <w:spacing w:after="0" w:line="1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transfer of assets and liabilities to Mural was effected through a contribution in accordance with the Separation Agreement, as summarized below:</w:t>
      </w:r>
    </w:p>
    <w:p>
      <w:pPr>
        <w:spacing w:after="0" w:line="232"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November 15, 2023</w:t>
            </w:r>
          </w:p>
        </w:tc>
      </w:tr>
      <w:tr>
        <w:trPr>
          <w:trHeight w:val="236"/>
        </w:trPr>
        <w:tc>
          <w:tcPr>
            <w:tcW w:w="3380" w:type="dxa"/>
            <w:vAlign w:val="bottom"/>
            <w:shd w:val="clear" w:color="auto" w:fill="CFF0FC"/>
          </w:tcPr>
          <w:p>
            <w:pPr>
              <w:spacing w:after="0"/>
              <w:rPr>
                <w:sz w:val="20"/>
                <w:szCs w:val="20"/>
                <w:color w:val="auto"/>
              </w:rPr>
            </w:pPr>
          </w:p>
        </w:tc>
        <w:tc>
          <w:tcPr>
            <w:tcW w:w="5840" w:type="dxa"/>
            <w:vAlign w:val="bottom"/>
            <w:gridSpan w:val="2"/>
            <w:shd w:val="clear" w:color="auto" w:fill="CFF0FC"/>
          </w:tcPr>
          <w:p>
            <w:pPr>
              <w:jc w:val="right"/>
              <w:ind w:right="44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FF0FC"/>
          </w:tcPr>
          <w:p>
            <w:pPr>
              <w:spacing w:after="0"/>
              <w:rPr>
                <w:sz w:val="20"/>
                <w:szCs w:val="20"/>
                <w:color w:val="auto"/>
              </w:rPr>
            </w:pP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43"/>
        </w:trPr>
        <w:tc>
          <w:tcPr>
            <w:tcW w:w="3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8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r>
      <w:tr>
        <w:trPr>
          <w:trHeight w:val="241"/>
        </w:trPr>
        <w:tc>
          <w:tcPr>
            <w:tcW w:w="3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55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275,000</w:t>
            </w:r>
          </w:p>
        </w:tc>
      </w:tr>
      <w:tr>
        <w:trPr>
          <w:trHeight w:val="23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5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10,096</w:t>
            </w:r>
          </w:p>
        </w:tc>
      </w:t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14,513</w:t>
            </w:r>
          </w:p>
        </w:tc>
      </w:tr>
      <w:tr>
        <w:trPr>
          <w:trHeight w:val="247"/>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5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7,800</w:t>
            </w: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1,799</w:t>
            </w:r>
          </w:p>
        </w:tc>
      </w:tr>
      <w:tr>
        <w:trPr>
          <w:trHeight w:val="277"/>
        </w:trPr>
        <w:tc>
          <w:tcPr>
            <w:tcW w:w="3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55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309,208</w:t>
            </w:r>
          </w:p>
        </w:tc>
      </w:tr>
      <w:tr>
        <w:trPr>
          <w:trHeight w:val="221"/>
        </w:trPr>
        <w:tc>
          <w:tcPr>
            <w:tcW w:w="3380" w:type="dxa"/>
            <w:vAlign w:val="bottom"/>
          </w:tcPr>
          <w:p>
            <w:pPr>
              <w:spacing w:after="0"/>
              <w:rPr>
                <w:sz w:val="19"/>
                <w:szCs w:val="19"/>
                <w:color w:val="auto"/>
              </w:rPr>
            </w:pPr>
          </w:p>
        </w:tc>
        <w:tc>
          <w:tcPr>
            <w:tcW w:w="5840" w:type="dxa"/>
            <w:vAlign w:val="bottom"/>
            <w:gridSpan w:val="2"/>
          </w:tcPr>
          <w:p>
            <w:pPr>
              <w:jc w:val="right"/>
              <w:ind w:right="421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80" w:type="dxa"/>
            <w:vAlign w:val="bottom"/>
          </w:tcPr>
          <w:p>
            <w:pPr>
              <w:spacing w:after="0"/>
              <w:rPr>
                <w:sz w:val="19"/>
                <w:szCs w:val="19"/>
                <w:color w:val="auto"/>
              </w:rPr>
            </w:pPr>
          </w:p>
        </w:tc>
      </w:tr>
      <w:tr>
        <w:trPr>
          <w:trHeight w:val="245"/>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r>
      <w:tr>
        <w:trPr>
          <w:trHeight w:val="243"/>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5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6,036</w:t>
            </w:r>
          </w:p>
        </w:tc>
      </w:tr>
      <w:tr>
        <w:trPr>
          <w:trHeight w:val="237"/>
        </w:trPr>
        <w:tc>
          <w:tcPr>
            <w:tcW w:w="3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88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6,036</w:t>
            </w:r>
          </w:p>
        </w:tc>
      </w:tr>
      <w:tr>
        <w:trPr>
          <w:trHeight w:val="232"/>
        </w:trPr>
        <w:tc>
          <w:tcPr>
            <w:tcW w:w="3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55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9,412</w:t>
            </w:r>
          </w:p>
        </w:tc>
      </w:tr>
      <w:tr>
        <w:trPr>
          <w:trHeight w:val="241"/>
        </w:trPr>
        <w:tc>
          <w:tcPr>
            <w:tcW w:w="33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5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15,448</w:t>
            </w:r>
          </w:p>
        </w:tc>
      </w:tr>
      <w:tr>
        <w:trPr>
          <w:trHeight w:val="23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assets transferred to Mural</w:t>
            </w:r>
          </w:p>
        </w:tc>
        <w:tc>
          <w:tcPr>
            <w:tcW w:w="58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293,760</w:t>
            </w:r>
          </w:p>
        </w:tc>
      </w:tr>
      <w:tr>
        <w:trPr>
          <w:trHeight w:val="20"/>
        </w:trPr>
        <w:tc>
          <w:tcPr>
            <w:tcW w:w="33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The Company determined that the Separation and the Distribution qualified as tax-free for U.S. federal income tax purposes, which required significant judgment by management. In making such determination, the Company applied U.S. federal tax law to relevant facts and circumstances and obtained: (i) a favorable private letter ruling from the Internal Revenue Service; (ii) a tax opinion; and (iii) other external tax advice related to the concluded tax treatment. If the Separation and Distribution were to ultimately fail to qualify for tax-free treatment for U.S. federal income tax purposes, the Company and/or its shareholders could be subject to significant liabilities, which could have material adverse impacts on the Company’s business, financial condition, results of operations and cash flows in future reporting</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periods. Furthermore, other than taxes recorded on the transfer of IP, the Company determined that the Separation and related Distribution qualified as tax-free for Irish tax purposes, which required significant judgment by management. In making such determination, the Company applied Irish tax law to relevant facts and circumstances and obtained: (i) a tax opinion; and (ii) other external tax advice related to the concluded tax treatment. If the Separation and Distribution were to ultimately fail to qualify for tax-free treatment for Irish tax purposes, the Company and/or its shareholders could be subject to significant liabilities, which could have material adverse impacts on the Company’s business, financial condition, results of operations and cash flows in future reporting periods.</w:t>
      </w:r>
    </w:p>
    <w:p>
      <w:pPr>
        <w:spacing w:after="0" w:line="147"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spacing w:after="0" w:line="143" w:lineRule="exact"/>
        <w:rPr>
          <w:sz w:val="20"/>
          <w:szCs w:val="20"/>
          <w:color w:val="auto"/>
        </w:rPr>
      </w:pPr>
    </w:p>
    <w:p>
      <w:pPr>
        <w:ind w:right="80" w:firstLine="419"/>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an employee matters agreement with Mural, dated as of November 13, 2023 (as amended, the “Employee Matters Agreement”). The Employee Matters Agreement governs the Company’s, Mural’s and their respective subsidiaries’ and affiliates’ rights, responsibilities and obligations after the Separation with respect to employment, benefits and compensation matters relating to employees and former employees (and their respective dependents and beneficiaries) who are or were associated with the Company, including those who became employees of Mural in connection with the Separation; the allocation of assets and liabilities generally relating to employees, employment or service-related matters and employee benefit plans; other human resources, employment and employee benefits matters; and the treatment of equity-based awards granted by the Company prior to the Separation.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determined that the Separation met the criteria for classification of the oncology business as discontinued operations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Topic 205. The following summarizes the loss from discontinued operations for the three and nine months ended September 30, 2024 and 2023:</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69"/>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 from discontinued operations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39"/>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goods manufactured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r>
      <w:tr>
        <w:trPr>
          <w:trHeight w:val="247"/>
        </w:trPr>
        <w:tc>
          <w:tcPr>
            <w:tcW w:w="5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32,262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6,910</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94,692</w:t>
            </w:r>
          </w:p>
        </w:tc>
      </w:tr>
      <w:tr>
        <w:trPr>
          <w:trHeight w:val="24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13,073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29,219</w:t>
            </w:r>
          </w:p>
        </w:tc>
      </w:tr>
      <w:tr>
        <w:trPr>
          <w:trHeight w:val="236"/>
        </w:trPr>
        <w:tc>
          <w:tcPr>
            <w:tcW w:w="59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45,346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6,910</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123,944</w:t>
            </w:r>
          </w:p>
        </w:tc>
      </w:tr>
      <w:tr>
        <w:trPr>
          <w:trHeight w:val="237"/>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(45,346 )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(6,910 )</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(123,944 )</w:t>
            </w:r>
          </w:p>
        </w:tc>
      </w:tr>
      <w:tr>
        <w:trPr>
          <w:trHeight w:val="237"/>
        </w:trPr>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(1,550 )</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(8,317 )</w:t>
            </w:r>
          </w:p>
        </w:tc>
      </w:tr>
      <w:tr>
        <w:trPr>
          <w:trHeight w:val="23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 from discontinued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(5,834 )</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(115,627 )</w:t>
            </w:r>
          </w:p>
        </w:tc>
      </w:tr>
      <w:tr>
        <w:trPr>
          <w:trHeight w:val="20"/>
        </w:trPr>
        <w:tc>
          <w:tcPr>
            <w:tcW w:w="5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-513715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-513715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-513715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-187960</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right="260" w:firstLine="374"/>
        <w:spacing w:after="0" w:line="281" w:lineRule="auto"/>
        <w:rPr>
          <w:sz w:val="20"/>
          <w:szCs w:val="20"/>
          <w:color w:val="auto"/>
        </w:rPr>
      </w:pPr>
      <w:r>
        <w:rPr>
          <w:rFonts w:ascii="Times New Roman" w:cs="Times New Roman" w:eastAsia="Times New Roman" w:hAnsi="Times New Roman"/>
          <w:sz w:val="17"/>
          <w:szCs w:val="17"/>
          <w:color w:val="auto"/>
        </w:rPr>
        <w:t>There were no assets and $4.5 million of liabilities related to the Separation at December 31, 2023. All assets related to the Separation were transferred to Mural as of the Separation Date. The $4.5 million of liabilities classified as “Liabilities related to discontinued operations” in the accompanying condensed consolidated balance sheet related to bonus amounts accrued for employees that transferred to Mural during 2023 and through the Separation Date that were paid by the Company in the first quarter of 2024, in accordance with the terms of the Employee Matters Agreement.</w:t>
      </w:r>
    </w:p>
    <w:p>
      <w:pPr>
        <w:spacing w:after="0" w:line="124" w:lineRule="exact"/>
        <w:rPr>
          <w:sz w:val="20"/>
          <w:szCs w:val="20"/>
          <w:color w:val="auto"/>
        </w:rPr>
      </w:pPr>
    </w:p>
    <w:p>
      <w:pPr>
        <w:ind w:right="62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non-cash items and capital expenditures of the discontinued operations that are included in the accompanying condensed consolidated statements of cash flows for the nine months ended September 30, 2023:</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9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7"/>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r>
      <w:tr>
        <w:trPr>
          <w:trHeight w:val="239"/>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365</w:t>
            </w:r>
          </w:p>
        </w:tc>
      </w:tr>
      <w:tr>
        <w:trPr>
          <w:trHeight w:val="247"/>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5,119</w:t>
            </w:r>
          </w:p>
        </w:tc>
      </w:tr>
      <w:tr>
        <w:trPr>
          <w:trHeight w:val="239"/>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80" w:type="dxa"/>
            <w:vAlign w:val="bottom"/>
          </w:tcPr>
          <w:p>
            <w:pPr>
              <w:spacing w:after="0"/>
              <w:rPr>
                <w:sz w:val="20"/>
                <w:szCs w:val="20"/>
                <w:color w:val="auto"/>
              </w:rPr>
            </w:pP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4,289</w:t>
            </w:r>
          </w:p>
        </w:tc>
      </w:tr>
      <w:tr>
        <w:trPr>
          <w:trHeight w:val="247"/>
        </w:trPr>
        <w:tc>
          <w:tcPr>
            <w:tcW w:w="9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(4,391 )</w:t>
            </w:r>
          </w:p>
        </w:tc>
      </w:tr>
      <w:tr>
        <w:trPr>
          <w:trHeight w:val="243"/>
        </w:trPr>
        <w:tc>
          <w:tcPr>
            <w:tcW w:w="9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9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r>
      <w:tr>
        <w:trPr>
          <w:trHeight w:val="234"/>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recorded product sales, net,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113,650</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99,305</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323,182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298,035</w:t>
            </w:r>
          </w:p>
        </w:tc>
      </w:tr>
      <w:tr>
        <w:trPr>
          <w:trHeight w:val="239"/>
        </w:trPr>
        <w:tc>
          <w:tcPr>
            <w:tcW w:w="6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120" w:type="dxa"/>
            <w:vAlign w:val="bottom"/>
          </w:tcPr>
          <w:p>
            <w:pPr>
              <w:spacing w:after="0"/>
              <w:rPr>
                <w:sz w:val="20"/>
                <w:szCs w:val="20"/>
                <w:color w:val="auto"/>
              </w:rPr>
            </w:pP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84,652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81,834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249,571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244,320</w:t>
            </w:r>
          </w:p>
        </w:tc>
      </w:tr>
      <w:tr>
        <w:trPr>
          <w:trHeight w:val="247"/>
        </w:trPr>
        <w:tc>
          <w:tcPr>
            <w:tcW w:w="6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1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74,697</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50,683</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203,055</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135,671</w:t>
            </w:r>
          </w:p>
        </w:tc>
      </w:tr>
      <w:tr>
        <w:trPr>
          <w:trHeight w:val="236"/>
        </w:trPr>
        <w:tc>
          <w:tcPr>
            <w:tcW w:w="6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product sales,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272,999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231,822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775,808</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678,026</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-187960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Manufacturing and Royalty Revenues</w:t>
      </w:r>
    </w:p>
    <w:p>
      <w:pPr>
        <w:spacing w:after="0" w:line="158" w:lineRule="exact"/>
        <w:rPr>
          <w:sz w:val="20"/>
          <w:szCs w:val="20"/>
          <w:color w:val="auto"/>
        </w:rPr>
      </w:pPr>
    </w:p>
    <w:p>
      <w:pPr>
        <w:ind w:right="800" w:firstLine="37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recorded manufacturing and royalty revenues from its collaboration arrangements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7"/>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131"/>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34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58,448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58,448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199,860</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199,860</w:t>
            </w: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20" w:type="dxa"/>
            <w:vAlign w:val="bottom"/>
          </w:tcPr>
          <w:p>
            <w:pPr>
              <w:spacing w:after="0"/>
              <w:rPr>
                <w:sz w:val="20"/>
                <w:szCs w:val="20"/>
                <w:color w:val="auto"/>
              </w:rPr>
            </w:pP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8,753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23,821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32,574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30,740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68,322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99,062</w:t>
            </w:r>
          </w:p>
        </w:tc>
      </w:tr>
      <w:tr>
        <w:trPr>
          <w:trHeight w:val="247"/>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7,194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14,122</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35,517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17,396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52,913</w:t>
            </w:r>
          </w:p>
        </w:tc>
      </w:tr>
      <w:tr>
        <w:trPr>
          <w:trHeight w:val="232"/>
        </w:trPr>
        <w:tc>
          <w:tcPr>
            <w:tcW w:w="34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15,947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89,197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105,144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66,257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285,578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351,835</w:t>
            </w: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r>
      <w:tr>
        <w:trPr>
          <w:trHeight w:val="376"/>
        </w:trPr>
        <w:tc>
          <w:tcPr>
            <w:tcW w:w="3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r>
      <w:tr>
        <w:trPr>
          <w:trHeight w:val="131"/>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158"/>
              <w:spacing w:after="0" w:line="131"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center"/>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Royalty</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340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76,109</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76,109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410,910</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410,910</w:t>
            </w: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20" w:type="dxa"/>
            <w:vAlign w:val="bottom"/>
          </w:tcPr>
          <w:p>
            <w:pPr>
              <w:spacing w:after="0"/>
              <w:rPr>
                <w:sz w:val="20"/>
                <w:szCs w:val="20"/>
                <w:color w:val="auto"/>
              </w:rPr>
            </w:pP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24,828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32,751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62,979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95,730</w:t>
            </w:r>
          </w:p>
        </w:tc>
      </w:tr>
      <w:tr>
        <w:trPr>
          <w:trHeight w:val="247"/>
        </w:trPr>
        <w:tc>
          <w:tcPr>
            <w:tcW w:w="3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30,889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7,554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38,443</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78,209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23,039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101,248</w:t>
            </w:r>
          </w:p>
        </w:tc>
      </w:tr>
      <w:tr>
        <w:trPr>
          <w:trHeight w:val="232"/>
        </w:trPr>
        <w:tc>
          <w:tcPr>
            <w:tcW w:w="34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40,622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108,491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149,113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110,960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496,928</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607,888</w:t>
            </w:r>
          </w:p>
        </w:tc>
      </w:tr>
      <w:tr>
        <w:trPr>
          <w:trHeight w:val="20"/>
        </w:trPr>
        <w:tc>
          <w:tcPr>
            <w:tcW w:w="3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-1310640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-1310640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-1310640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-1310640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-1310640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-187960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-187960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-187960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6" w:lineRule="exact"/>
        <w:rPr>
          <w:sz w:val="20"/>
          <w:szCs w:val="20"/>
          <w:color w:val="auto"/>
        </w:rPr>
      </w:pPr>
    </w:p>
    <w:p>
      <w:pPr>
        <w:ind w:left="760" w:right="360" w:hanging="378"/>
        <w:spacing w:after="0" w:line="298" w:lineRule="auto"/>
        <w:tabs>
          <w:tab w:leader="none" w:pos="7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11912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2"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In November 2021, the Company received notice of partial termination of an exclusive license agreement with Janssen Pharmaceutica N.V., a subsidiary of Johnson &amp; Johnson (“Janssen Pharmaceutica”). Under this license agreement, the Company provided Janssen Pharmaceutica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Pharmaceutica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 Pharmaceutica’s partial termination of this license agreement and Janssen</w:t>
      </w:r>
    </w:p>
    <w:p>
      <w:pPr>
        <w:sectPr>
          <w:pgSz w:w="11900" w:h="16838" w:orient="portrait"/>
          <w:cols w:equalWidth="0" w:num="1">
            <w:col w:w="11240"/>
          </w:cols>
          <w:pgMar w:left="320" w:top="941" w:right="3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1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Pharmaceutica’s royalty and other obligations under the agreement. In May 2023, the arbitral tribunal (the “Tribunal”) in the arbitration proceedings issued a final award (the “Final Award”) which concluded the arbitration proceedings. The Final Award provided, among other things, that the Company was due back royalties and late-payment interest related to 2022 U.S. net sales of the long-acting INVEGA products and is entitled to 2023 and future royalty revenues from Janssen Pharmaceutica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20" w:lineRule="exact"/>
        <w:rPr>
          <w:sz w:val="20"/>
          <w:szCs w:val="20"/>
          <w:color w:val="auto"/>
        </w:rPr>
      </w:pPr>
    </w:p>
    <w:p>
      <w:pPr>
        <w:jc w:val="both"/>
        <w:ind w:right="80" w:firstLine="374"/>
        <w:spacing w:after="0" w:line="312" w:lineRule="auto"/>
        <w:rPr>
          <w:sz w:val="20"/>
          <w:szCs w:val="20"/>
          <w:color w:val="auto"/>
        </w:rPr>
      </w:pPr>
      <w:r>
        <w:rPr>
          <w:rFonts w:ascii="Times New Roman" w:cs="Times New Roman" w:eastAsia="Times New Roman" w:hAnsi="Times New Roman"/>
          <w:sz w:val="17"/>
          <w:szCs w:val="17"/>
          <w:color w:val="auto"/>
        </w:rPr>
        <w:t>Following issuance of the Final Award and receipt in June 2023 of back royalties of $195.4 million, inclusive of $8.1 million in late-payment interest, the Company recognized such back royalties and resumed recognizing royalty revenue related to ongoing U.S. sales of the long-acting INVEGA products.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Assets</w:t>
      </w:r>
    </w:p>
    <w:p>
      <w:pPr>
        <w:spacing w:after="0" w:line="158" w:lineRule="exact"/>
        <w:rPr>
          <w:sz w:val="20"/>
          <w:szCs w:val="20"/>
          <w:color w:val="auto"/>
        </w:rPr>
      </w:pPr>
    </w:p>
    <w:p>
      <w:pPr>
        <w:ind w:right="380" w:firstLine="374"/>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related to the manufacture of a product that, once complete, will be sold under certain of the Company’s manufacturing contracts. The amounts included in the contract assets table below are classified as “Current assets” in the accompanying condensed consolidated balance sheets, as they relate to manufacturing processes that are completed in ten days to eight weeks.</w:t>
      </w:r>
    </w:p>
    <w:p>
      <w:pPr>
        <w:spacing w:after="0" w:line="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assets at September 30, 2024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706</w:t>
            </w:r>
          </w:p>
        </w:tc>
      </w:tr>
      <w:tr>
        <w:trPr>
          <w:trHeight w:val="239"/>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6,344</w:t>
            </w:r>
          </w:p>
        </w:tc>
      </w:tr>
      <w:tr>
        <w:trPr>
          <w:trHeight w:val="24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(4,081 )</w:t>
            </w:r>
          </w:p>
        </w:tc>
      </w:tr>
      <w:tr>
        <w:trPr>
          <w:trHeight w:val="23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at September 30, 2024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2,969</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225" w:lineRule="exact"/>
        <w:rPr>
          <w:sz w:val="20"/>
          <w:szCs w:val="20"/>
          <w:color w:val="auto"/>
        </w:rPr>
      </w:pPr>
    </w:p>
    <w:p>
      <w:pPr>
        <w:ind w:right="320" w:firstLine="374"/>
        <w:spacing w:after="0" w:line="261" w:lineRule="auto"/>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September 30, 2024 and December 31, 2023, $2.4 million and $2.7 million of the contract liabilities, respectively, were classified as “Contract liabilities–short-term” in the accompanying condensed consolidated balance sheets and none and $2.1 million of the contract liabilities, respectively, were classified as “Other long-term liabilities” in the accompanying condensed consolidated balance sheets.</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contract liabilities at September 30,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5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4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7"/>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4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(2,470 )</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at September 30, 2024</w:t>
            </w:r>
          </w:p>
        </w:tc>
        <w:tc>
          <w:tcPr>
            <w:tcW w:w="5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2,339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80" w:type="dxa"/>
            <w:vAlign w:val="bottom"/>
            <w:vMerge w:val="restart"/>
          </w:tcPr>
          <w:p>
            <w:pPr>
              <w:jc w:val="right"/>
              <w:ind w:right="345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280" w:type="dxa"/>
            <w:vAlign w:val="bottom"/>
          </w:tcPr>
          <w:p>
            <w:pPr>
              <w:spacing w:after="0"/>
              <w:rPr>
                <w:sz w:val="24"/>
                <w:szCs w:val="24"/>
                <w:color w:val="auto"/>
              </w:rPr>
            </w:pPr>
          </w:p>
        </w:tc>
        <w:tc>
          <w:tcPr>
            <w:tcW w:w="49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4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Investments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Less than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3"/>
                <w:szCs w:val="13"/>
                <w:b w:val="1"/>
                <w:bCs w:val="1"/>
                <w:color w:val="auto"/>
              </w:rPr>
              <w:t>Greater than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79"/>
        </w:trPr>
        <w:tc>
          <w:tcPr>
            <w:tcW w:w="4980" w:type="dxa"/>
            <w:vAlign w:val="bottom"/>
          </w:tcPr>
          <w:p>
            <w:pPr>
              <w:ind w:left="19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5"/>
                <w:szCs w:val="15"/>
                <w:color w:val="auto"/>
              </w:rPr>
            </w:pPr>
          </w:p>
        </w:tc>
        <w:tc>
          <w:tcPr>
            <w:tcW w:w="940" w:type="dxa"/>
            <w:vAlign w:val="bottom"/>
          </w:tcPr>
          <w:p>
            <w:pPr>
              <w:jc w:val="right"/>
              <w:ind w:right="391"/>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21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37"/>
        </w:trPr>
        <w:tc>
          <w:tcPr>
            <w:tcW w:w="4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304,590</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306,279</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204,502</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206,292</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509,092</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512,571</w:t>
            </w:r>
          </w:p>
        </w:tc>
        <w:tc>
          <w:tcPr>
            <w:tcW w:w="0" w:type="dxa"/>
            <w:vAlign w:val="bottom"/>
          </w:tcPr>
          <w:p>
            <w:pPr>
              <w:spacing w:after="0"/>
              <w:rPr>
                <w:sz w:val="1"/>
                <w:szCs w:val="1"/>
                <w:color w:val="auto"/>
              </w:rPr>
            </w:pPr>
          </w:p>
        </w:tc>
      </w:tr>
      <w:tr>
        <w:trPr>
          <w:trHeight w:val="232"/>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12,573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12,560</w:t>
            </w: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6,227</w:t>
            </w: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6,215</w:t>
            </w: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18,800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18,775</w:t>
            </w:r>
          </w:p>
        </w:tc>
        <w:tc>
          <w:tcPr>
            <w:tcW w:w="0" w:type="dxa"/>
            <w:vAlign w:val="bottom"/>
          </w:tcPr>
          <w:p>
            <w:pPr>
              <w:spacing w:after="0"/>
              <w:rPr>
                <w:sz w:val="1"/>
                <w:szCs w:val="1"/>
                <w:color w:val="auto"/>
              </w:rPr>
            </w:pPr>
          </w:p>
        </w:tc>
      </w:tr>
      <w:tr>
        <w:trPr>
          <w:trHeight w:val="241"/>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18,945</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18,920</w:t>
            </w:r>
          </w:p>
        </w:tc>
        <w:tc>
          <w:tcPr>
            <w:tcW w:w="0" w:type="dxa"/>
            <w:vAlign w:val="bottom"/>
          </w:tcPr>
          <w:p>
            <w:pPr>
              <w:spacing w:after="0"/>
              <w:rPr>
                <w:sz w:val="1"/>
                <w:szCs w:val="1"/>
                <w:color w:val="auto"/>
              </w:rPr>
            </w:pP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528,037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531,491</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19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98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199,708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199,819</w:t>
            </w:r>
          </w:p>
        </w:tc>
        <w:tc>
          <w:tcPr>
            <w:tcW w:w="0" w:type="dxa"/>
            <w:vAlign w:val="bottom"/>
          </w:tcPr>
          <w:p>
            <w:pPr>
              <w:spacing w:after="0"/>
              <w:rPr>
                <w:sz w:val="1"/>
                <w:szCs w:val="1"/>
                <w:color w:val="auto"/>
              </w:rPr>
            </w:pPr>
          </w:p>
        </w:tc>
      </w:tr>
      <w:tr>
        <w:trPr>
          <w:trHeight w:val="239"/>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112,055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112,207</w:t>
            </w:r>
          </w:p>
        </w:tc>
        <w:tc>
          <w:tcPr>
            <w:tcW w:w="0" w:type="dxa"/>
            <w:vAlign w:val="bottom"/>
          </w:tcPr>
          <w:p>
            <w:pPr>
              <w:spacing w:after="0"/>
              <w:rPr>
                <w:sz w:val="1"/>
                <w:szCs w:val="1"/>
                <w:color w:val="auto"/>
              </w:rPr>
            </w:pPr>
          </w:p>
        </w:tc>
      </w:tr>
      <w:tr>
        <w:trPr>
          <w:trHeight w:val="247"/>
        </w:trPr>
        <w:tc>
          <w:tcPr>
            <w:tcW w:w="49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36"/>
        </w:trPr>
        <w:tc>
          <w:tcPr>
            <w:tcW w:w="4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315,767</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316,022</w:t>
            </w: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19,392</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19,050</w:t>
            </w:r>
          </w:p>
        </w:tc>
        <w:tc>
          <w:tcPr>
            <w:tcW w:w="0" w:type="dxa"/>
            <w:vAlign w:val="bottom"/>
          </w:tcPr>
          <w:p>
            <w:pPr>
              <w:spacing w:after="0"/>
              <w:rPr>
                <w:sz w:val="1"/>
                <w:szCs w:val="1"/>
                <w:color w:val="auto"/>
              </w:rPr>
            </w:pPr>
          </w:p>
        </w:tc>
      </w:tr>
      <w:tr>
        <w:trPr>
          <w:trHeight w:val="239"/>
        </w:trPr>
        <w:tc>
          <w:tcPr>
            <w:tcW w:w="498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19,306</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19,017</w:t>
            </w:r>
          </w:p>
        </w:tc>
        <w:tc>
          <w:tcPr>
            <w:tcW w:w="0" w:type="dxa"/>
            <w:vAlign w:val="bottom"/>
          </w:tcPr>
          <w:p>
            <w:pPr>
              <w:spacing w:after="0"/>
              <w:rPr>
                <w:sz w:val="1"/>
                <w:szCs w:val="1"/>
                <w:color w:val="auto"/>
              </w:rPr>
            </w:pPr>
          </w:p>
        </w:tc>
      </w:tr>
      <w:tr>
        <w:trPr>
          <w:trHeight w:val="237"/>
        </w:trPr>
        <w:tc>
          <w:tcPr>
            <w:tcW w:w="4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38,698</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38,067</w:t>
            </w: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1,820</w:t>
            </w:r>
          </w:p>
        </w:tc>
        <w:tc>
          <w:tcPr>
            <w:tcW w:w="12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41"/>
        </w:trPr>
        <w:tc>
          <w:tcPr>
            <w:tcW w:w="4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40,518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(604 )</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39,887</w:t>
            </w:r>
          </w:p>
        </w:tc>
        <w:tc>
          <w:tcPr>
            <w:tcW w:w="0" w:type="dxa"/>
            <w:vAlign w:val="bottom"/>
          </w:tcPr>
          <w:p>
            <w:pPr>
              <w:spacing w:after="0"/>
              <w:rPr>
                <w:sz w:val="1"/>
                <w:szCs w:val="1"/>
                <w:color w:val="auto"/>
              </w:rPr>
            </w:pPr>
          </w:p>
        </w:tc>
      </w:tr>
      <w:tr>
        <w:trPr>
          <w:trHeight w:val="277"/>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356,285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(1,759 )</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355,909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3970020</wp:posOffset>
            </wp:positionH>
            <wp:positionV relativeFrom="paragraph">
              <wp:posOffset>-4298315</wp:posOffset>
            </wp:positionV>
            <wp:extent cx="102235"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-4298315</wp:posOffset>
            </wp:positionV>
            <wp:extent cx="102235" cy="1968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-4298315</wp:posOffset>
            </wp:positionV>
            <wp:extent cx="93980" cy="196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-4298315</wp:posOffset>
            </wp:positionV>
            <wp:extent cx="93980" cy="1968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-3509645</wp:posOffset>
            </wp:positionV>
            <wp:extent cx="102235" cy="1968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-3509645</wp:posOffset>
            </wp:positionV>
            <wp:extent cx="102235" cy="196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-3509645</wp:posOffset>
            </wp:positionV>
            <wp:extent cx="93980" cy="1968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-3509645</wp:posOffset>
            </wp:positionV>
            <wp:extent cx="93980" cy="1968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-3029585</wp:posOffset>
            </wp:positionV>
            <wp:extent cx="102235"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-3029585</wp:posOffset>
            </wp:positionV>
            <wp:extent cx="102235"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-3029585</wp:posOffset>
            </wp:positionV>
            <wp:extent cx="93980"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-3029585</wp:posOffset>
            </wp:positionV>
            <wp:extent cx="93980"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-1619250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-1619250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-1619250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-1619250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-843280</wp:posOffset>
            </wp:positionV>
            <wp:extent cx="102235" cy="196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-843280</wp:posOffset>
            </wp:positionV>
            <wp:extent cx="102235" cy="196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-843280</wp:posOffset>
            </wp:positionV>
            <wp:extent cx="93980" cy="196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-843280</wp:posOffset>
            </wp:positionV>
            <wp:extent cx="93980" cy="196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-363220</wp:posOffset>
            </wp:positionV>
            <wp:extent cx="102235" cy="196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-363220</wp:posOffset>
            </wp:positionV>
            <wp:extent cx="102235" cy="196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235" cy="196850"/>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-363220</wp:posOffset>
            </wp:positionV>
            <wp:extent cx="93980" cy="196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-363220</wp:posOffset>
            </wp:positionV>
            <wp:extent cx="93980" cy="196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At September 30, 2024, the Company reviewed its investment portfolio to assess whether the unrealized losses on its available-for-sale investments were temporary. Investments with unrealized losses consisted of corporate debt securities and debt securities issued and backed by U.S. agencies and the U.S. government. At September 30, 2024, 49 of the Company’s 308 investment securities were in an unrealized loss position and had an aggregate estimated fair value of $72.1 million. The Company’s corporate debt securities investments have a minimum rating of A2 (Moody’s)/A (Standard and Poor’s). The primary reason for the unrealized losses in the Company’s investment portfolio is that its investments are fixed-rate securities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224,786</w:t>
            </w:r>
          </w:p>
        </w:tc>
        <w:tc>
          <w:tcPr>
            <w:tcW w:w="1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291,944</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96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September 30, 2024 had contractual maturities in the following periods: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58"/>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59"/>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277"/>
              <w:spacing w:after="0" w:line="158"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313,109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313,909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w:t>
            </w: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214,783</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217,437</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527,892</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531,346</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20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that the Company utilized to determine such fair value: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7"/>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156,976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156,976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318,839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266,392</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52,447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212,507</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212,507</w:t>
            </w:r>
          </w:p>
        </w:tc>
        <w:tc>
          <w:tcPr>
            <w:tcW w:w="1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58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688,322</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423,368</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264,954</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361"/>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34,316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34,316</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218,869</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181,041</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37,828</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20"/>
                <w:szCs w:val="20"/>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131,224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131,224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3,996</w:t>
            </w:r>
          </w:p>
        </w:tc>
        <w:tc>
          <w:tcPr>
            <w:tcW w:w="1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388,405</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215,357</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173,048</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-1353820</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-1336675</wp:posOffset>
            </wp:positionV>
            <wp:extent cx="857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-1516380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-1353820</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-1336675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-1516380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-1353820</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-1336675</wp:posOffset>
            </wp:positionV>
            <wp:extent cx="857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-1516380</wp:posOffset>
            </wp:positionV>
            <wp:extent cx="857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121"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nine months ended September 30, 2024. At September 30, 2024, the Company had no investments with fair values that were determined using Level 3 inputs.</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Company’s investments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96"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accompanying condensed consolidated balance sheets for cash and cash equivalents, accounts receivable, contract assets, other current assets, accounts payable and accrued expenses, sales discounts, allowances and reserves approximate fair value due to their short-term nature.</w:t>
      </w:r>
    </w:p>
    <w:p>
      <w:pPr>
        <w:spacing w:after="0" w:line="135" w:lineRule="exact"/>
        <w:rPr>
          <w:sz w:val="20"/>
          <w:szCs w:val="20"/>
          <w:color w:val="auto"/>
        </w:rPr>
      </w:pPr>
    </w:p>
    <w:p>
      <w:pPr>
        <w:ind w:right="240" w:firstLine="37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Company’s long-term debt under its amended and restated credit agreement (such debt, the “2026 Term Loans”), which was based on quoted market price indications (Level 2 in the fair value hierarchy) and which may not be representative of actual values that could have been, or will be, realized in the future, was $290.6 million and $291.0 million at September 30, 2024 and December 31,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202" w:lineRule="exact"/>
        <w:rPr>
          <w:sz w:val="20"/>
          <w:szCs w:val="20"/>
          <w:color w:val="auto"/>
        </w:rPr>
      </w:pPr>
    </w:p>
    <w:p>
      <w:pPr>
        <w:ind w:right="460" w:firstLine="374"/>
        <w:spacing w:after="0" w:line="282"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Cost is determined using the first-in, first-out method. Inventory consisted of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78,341</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71,416</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77,006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68,843</w:t>
            </w:r>
          </w:p>
        </w:tc>
      </w:tr>
      <w:tr>
        <w:trPr>
          <w:trHeight w:val="247"/>
        </w:trPr>
        <w:tc>
          <w:tcPr>
            <w:tcW w:w="772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35,740</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46,147</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191,087</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186,406</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7" w:lineRule="exact"/>
        <w:rPr>
          <w:sz w:val="20"/>
          <w:szCs w:val="20"/>
          <w:color w:val="auto"/>
        </w:rPr>
      </w:pPr>
    </w:p>
    <w:p>
      <w:pPr>
        <w:ind w:left="760" w:right="60" w:hanging="378"/>
        <w:spacing w:after="0" w:line="261" w:lineRule="auto"/>
        <w:tabs>
          <w:tab w:leader="none" w:pos="76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2024 and December 31, 2023, the Company had $27.3 million and $33.9 million, respectively, of finished goods inventory located at its third-party warehouse and shipping service provider.</w:t>
      </w:r>
    </w:p>
    <w:p>
      <w:pPr>
        <w:spacing w:after="0" w:line="122"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11912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74"/>
              <w:spacing w:after="0" w:line="20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957</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134,315</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132,735</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246,188</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237,728</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40,114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39,893</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52,918</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45,791</w:t>
            </w: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20"/>
                <w:szCs w:val="20"/>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474,492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457,104</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(249,070 )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(230,161 )</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225,422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226,943</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-505460</wp:posOffset>
            </wp:positionV>
            <wp:extent cx="1111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7" w:lineRule="exact"/>
        <w:rPr>
          <w:sz w:val="20"/>
          <w:szCs w:val="20"/>
          <w:color w:val="auto"/>
        </w:rPr>
      </w:pPr>
    </w:p>
    <w:p>
      <w:pPr>
        <w:ind w:left="760" w:right="420" w:hanging="378"/>
        <w:spacing w:after="0" w:line="261" w:lineRule="auto"/>
        <w:tabs>
          <w:tab w:leader="none" w:pos="76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Athlone Facility, $92.2 million of the Company’s property, plant and equipment was classified as “Assets held for sale” in the accompanying condensed consolidated balance sheet at December 31, 2023 and was not included in these amounts.</w:t>
      </w:r>
    </w:p>
    <w:p>
      <w:pPr>
        <w:spacing w:after="0" w:line="95"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11912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Intangible assets and goodwill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39"/>
        </w:trPr>
        <w:tc>
          <w:tcPr>
            <w:tcW w:w="4560" w:type="dxa"/>
            <w:vAlign w:val="bottom"/>
          </w:tcPr>
          <w:p>
            <w:pPr>
              <w:spacing w:after="0"/>
              <w:rPr>
                <w:sz w:val="12"/>
                <w:szCs w:val="12"/>
                <w:color w:val="auto"/>
              </w:rPr>
            </w:pPr>
          </w:p>
        </w:tc>
        <w:tc>
          <w:tcPr>
            <w:tcW w:w="15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Amortizable Life</w:t>
            </w: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jc w:val="right"/>
              <w:ind w:right="44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9"/>
        </w:trPr>
        <w:tc>
          <w:tcPr>
            <w:tcW w:w="4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(Years)</w:t>
            </w:r>
          </w:p>
        </w:tc>
        <w:tc>
          <w:tcPr>
            <w:tcW w:w="200" w:type="dxa"/>
            <w:vAlign w:val="bottom"/>
          </w:tcPr>
          <w:p>
            <w:pPr>
              <w:spacing w:after="0"/>
              <w:rPr>
                <w:sz w:val="15"/>
                <w:szCs w:val="15"/>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Gross Carrying Amount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Net Carrying Amount</w:t>
            </w:r>
          </w:p>
        </w:tc>
      </w:tr>
      <w:tr>
        <w:trPr>
          <w:trHeight w:val="263"/>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3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83,027</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FF0FC"/>
          </w:tcPr>
          <w:p>
            <w:pPr>
              <w:jc w:val="right"/>
              <w:ind w:right="36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83,027</w:t>
            </w:r>
          </w:p>
        </w:tc>
      </w:tr>
      <w:tr>
        <w:trPr>
          <w:trHeight w:val="200"/>
        </w:trPr>
        <w:tc>
          <w:tcPr>
            <w:tcW w:w="4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13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39"/>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Collaboration agreements</w:t>
            </w:r>
          </w:p>
        </w:tc>
        <w:tc>
          <w:tcPr>
            <w:tcW w:w="1300" w:type="dxa"/>
            <w:vAlign w:val="bottom"/>
            <w:shd w:val="clear" w:color="auto" w:fill="CFF0FC"/>
          </w:tcPr>
          <w:p>
            <w:pPr>
              <w:jc w:val="right"/>
              <w:ind w:right="487"/>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shd w:val="clear" w:color="auto" w:fill="CFF0FC"/>
          </w:tcPr>
          <w:p>
            <w:pPr>
              <w:spacing w:after="0"/>
              <w:rPr>
                <w:sz w:val="20"/>
                <w:szCs w:val="20"/>
                <w:color w:val="auto"/>
              </w:rPr>
            </w:pPr>
          </w:p>
        </w:tc>
        <w:tc>
          <w:tcPr>
            <w:tcW w:w="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465,590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(465,590 )</w:t>
            </w:r>
          </w:p>
        </w:tc>
        <w:tc>
          <w:tcPr>
            <w:tcW w:w="720" w:type="dxa"/>
            <w:vAlign w:val="bottom"/>
            <w:gridSpan w:val="2"/>
            <w:shd w:val="clear" w:color="auto" w:fill="CFF0FC"/>
          </w:tcPr>
          <w:p>
            <w:pPr>
              <w:jc w:val="right"/>
              <w:ind w:right="366"/>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45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Capitalized IP</w:t>
            </w:r>
          </w:p>
        </w:tc>
        <w:tc>
          <w:tcPr>
            <w:tcW w:w="1300" w:type="dxa"/>
            <w:vAlign w:val="bottom"/>
          </w:tcPr>
          <w:p>
            <w:pPr>
              <w:jc w:val="right"/>
              <w:ind w:right="387"/>
              <w:spacing w:after="0"/>
              <w:rPr>
                <w:sz w:val="20"/>
                <w:szCs w:val="20"/>
                <w:color w:val="auto"/>
              </w:rPr>
            </w:pPr>
            <w:r>
              <w:rPr>
                <w:rFonts w:ascii="Times New Roman" w:cs="Times New Roman" w:eastAsia="Times New Roman" w:hAnsi="Times New Roman"/>
                <w:sz w:val="16"/>
                <w:szCs w:val="16"/>
                <w:color w:val="auto"/>
              </w:rPr>
              <w:t>11-13</w:t>
            </w:r>
          </w:p>
        </w:tc>
        <w:tc>
          <w:tcPr>
            <w:tcW w:w="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118,160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(117,256 )</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904</w:t>
            </w:r>
          </w:p>
        </w:tc>
      </w:tr>
      <w:tr>
        <w:trPr>
          <w:trHeight w:val="266"/>
        </w:trPr>
        <w:tc>
          <w:tcPr>
            <w:tcW w:w="4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3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5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583,750</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(582,846 )</w:t>
            </w:r>
          </w:p>
        </w:tc>
        <w:tc>
          <w:tcPr>
            <w:tcW w:w="2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66"/>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-642620</wp:posOffset>
            </wp:positionV>
            <wp:extent cx="1289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-624840</wp:posOffset>
            </wp:positionV>
            <wp:extent cx="12890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-642620</wp:posOffset>
            </wp:positionV>
            <wp:extent cx="1200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-624840</wp:posOffset>
            </wp:positionV>
            <wp:extent cx="1200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12890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1289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1200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12001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0"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Athlone Facility, the Company reviewed Topic 805 and determined that the Athlone Facility constituted a business and, accordingly, $2.0 million of the Company’s goodwill was allocated to the Athlone Facility and was classified as “Assets held for sale” in the accompanying condensed consolidated balance sheet as of December 31, 2023.</w:t>
      </w:r>
    </w:p>
    <w:p>
      <w:pPr>
        <w:sectPr>
          <w:pgSz w:w="11900" w:h="16838" w:orient="portrait"/>
          <w:cols w:equalWidth="0" w:num="1">
            <w:col w:w="11240"/>
          </w:cols>
          <w:pgMar w:left="320" w:top="941" w:right="3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 (Unaudited) (Continued)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ectPr>
          <w:pgSz w:w="11900" w:h="16838" w:orient="portrait"/>
          <w:cols w:equalWidth="0" w:num="1">
            <w:col w:w="11240"/>
          </w:cols>
          <w:pgMar w:left="320" w:top="941" w:right="339" w:bottom="1440" w:gutter="0" w:footer="0" w:header="0"/>
        </w:sectPr>
      </w:pP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Future lease payments under non-cancelable leases at September 30, 2024 consisted of the following:</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2024</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2025</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2027</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operating lease payments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26047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2,547</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10,262</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10,333</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9,510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9,574</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59,695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2604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0" w:lineRule="exact"/>
        <w:rPr>
          <w:sz w:val="20"/>
          <w:szCs w:val="20"/>
          <w:color w:val="auto"/>
        </w:rPr>
      </w:pPr>
    </w:p>
    <w:p>
      <w:pPr>
        <w:ind w:left="1280" w:hanging="1271"/>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101,921</w:t>
      </w:r>
    </w:p>
    <w:p>
      <w:pPr>
        <w:spacing w:after="0" w:line="50"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(24,741 )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2604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spacing w:after="0" w:line="30" w:lineRule="exact"/>
        <w:rPr>
          <w:sz w:val="20"/>
          <w:szCs w:val="20"/>
          <w:color w:val="auto"/>
        </w:rPr>
      </w:pPr>
    </w:p>
    <w:p>
      <w:pPr>
        <w:ind w:left="1360" w:hanging="1351"/>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77,180</w:t>
      </w:r>
    </w:p>
    <w:p>
      <w:pPr>
        <w:spacing w:after="0" w:line="240" w:lineRule="exact"/>
        <w:rPr>
          <w:sz w:val="20"/>
          <w:szCs w:val="20"/>
          <w:color w:val="auto"/>
        </w:rPr>
      </w:pPr>
    </w:p>
    <w:p>
      <w:pPr>
        <w:sectPr>
          <w:pgSz w:w="11900" w:h="16838" w:orient="portrait"/>
          <w:cols w:equalWidth="0" w:num="2">
            <w:col w:w="8540" w:space="720"/>
            <w:col w:w="1980"/>
          </w:cols>
          <w:pgMar w:left="320" w:top="941" w:right="339" w:bottom="1440" w:gutter="0" w:footer="0" w:header="0"/>
          <w:type w:val="continuous"/>
        </w:sectPr>
      </w:pPr>
    </w:p>
    <w:p>
      <w:pPr>
        <w:spacing w:after="0" w:line="3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At September 30, 2024, the weighted average incremental borrowing rate and the weighted average remaining lease term for all operating leases held by the Company were 4.1% and 7.5 years, respectively. Cash paid for lease liabilities was $2.5 million and $7.6 million during the three and nine months ended September 30, 2024, respectively, as compared to $2.5 million and $7.8 million during the three and nine months ended September 30, 2023, respectively. The Company recorded operating lease expense from continuing operations of $1.8 million and $5.4 million during the three and nine months ended September 30, 2024, respectively, as compared to $2.8 million and $8.4 million during the three and nine months ended September 30, 2023, respectively.</w:t>
      </w:r>
    </w:p>
    <w:p>
      <w:pPr>
        <w:spacing w:after="0" w:line="399" w:lineRule="exact"/>
        <w:rPr>
          <w:sz w:val="20"/>
          <w:szCs w:val="20"/>
          <w:color w:val="auto"/>
        </w:rPr>
      </w:pPr>
    </w:p>
    <w:p>
      <w:pPr>
        <w:ind w:left="380" w:right="6000" w:hanging="372"/>
        <w:spacing w:after="0" w:line="429" w:lineRule="auto"/>
        <w:tabs>
          <w:tab w:leader="none" w:pos="26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ACCRUED EXPENSES </w:t>
      </w:r>
      <w:r>
        <w:rPr>
          <w:rFonts w:ascii="Times New Roman" w:cs="Times New Roman" w:eastAsia="Times New Roman" w:hAnsi="Times New Roman"/>
          <w:sz w:val="18"/>
          <w:szCs w:val="18"/>
          <w:color w:val="auto"/>
        </w:rPr>
        <w:t>Accounts payable and accrued expenses consisted of the following:</w:t>
      </w: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37,037</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65,649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55,904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83,107</w:t>
            </w:r>
          </w:p>
        </w:tc>
      </w:tr>
      <w:tr>
        <w:trPr>
          <w:trHeight w:val="24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67,257</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91,805</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160,198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240,561</w:t>
            </w: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Medicaid rebates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223,007</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213,845</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discounts</w:t>
            </w:r>
          </w:p>
        </w:tc>
        <w:tc>
          <w:tcPr>
            <w:tcW w:w="220" w:type="dxa"/>
            <w:vAlign w:val="bottom"/>
          </w:tcPr>
          <w:p>
            <w:pPr>
              <w:spacing w:after="0"/>
              <w:rPr>
                <w:sz w:val="20"/>
                <w:szCs w:val="20"/>
                <w:color w:val="auto"/>
              </w:rPr>
            </w:pP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15,528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15,121</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 Part D</w:t>
            </w:r>
          </w:p>
        </w:tc>
        <w:tc>
          <w:tcPr>
            <w:tcW w:w="2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24,073</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20,569</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19,410</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14,106</w:t>
            </w:r>
          </w:p>
        </w:tc>
      </w:tr>
      <w:tr>
        <w:trPr>
          <w:trHeight w:val="27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282,018</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263,641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ind w:right="520" w:firstLine="374"/>
        <w:spacing w:after="0" w:line="282" w:lineRule="auto"/>
        <w:rPr>
          <w:sz w:val="20"/>
          <w:szCs w:val="20"/>
          <w:color w:val="auto"/>
        </w:rPr>
      </w:pPr>
      <w:r>
        <w:rPr>
          <w:rFonts w:ascii="Times New Roman" w:cs="Times New Roman" w:eastAsia="Times New Roman" w:hAnsi="Times New Roman"/>
          <w:sz w:val="18"/>
          <w:szCs w:val="18"/>
          <w:color w:val="auto"/>
        </w:rPr>
        <w:t>Included in accounts payable was approximately $7.9 million and $34.5 million of amounts payable related to state U.S. Medicaid rebates as of September 30, 2024 and December 31,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 Term Loans, due March 12, 2026</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288,823</w:t>
            </w:r>
          </w:p>
        </w:tc>
        <w:tc>
          <w:tcPr>
            <w:tcW w:w="4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290,730</w:t>
            </w: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77"/>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285,823</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287,730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3" w:lineRule="exact"/>
        <w:rPr>
          <w:sz w:val="20"/>
          <w:szCs w:val="20"/>
          <w:color w:val="auto"/>
        </w:rPr>
      </w:pPr>
    </w:p>
    <w:p>
      <w:pPr>
        <w:ind w:right="280" w:firstLine="374"/>
        <w:spacing w:after="0" w:line="282" w:lineRule="auto"/>
        <w:rPr>
          <w:sz w:val="20"/>
          <w:szCs w:val="20"/>
          <w:color w:val="auto"/>
        </w:rPr>
      </w:pPr>
      <w:r>
        <w:rPr>
          <w:rFonts w:ascii="Times New Roman" w:cs="Times New Roman" w:eastAsia="Times New Roman" w:hAnsi="Times New Roman"/>
          <w:sz w:val="18"/>
          <w:szCs w:val="18"/>
          <w:color w:val="auto"/>
        </w:rPr>
        <w:t>The 2026 Term Loans mature on March 12, 2026. The 2026 Term Loans bear interest at the Secured Overnight Financing Rate plus a credit spread adjustment applicable to the interest period and an applicable margin of 2.50% with a floor of 0.50%.</w:t>
      </w:r>
    </w:p>
    <w:p>
      <w:pPr>
        <w:spacing w:after="0" w:line="81" w:lineRule="exact"/>
        <w:rPr>
          <w:sz w:val="20"/>
          <w:szCs w:val="20"/>
          <w:color w:val="auto"/>
        </w:rPr>
      </w:pPr>
    </w:p>
    <w:p>
      <w:pPr>
        <w:ind w:right="420" w:firstLine="374"/>
        <w:spacing w:after="0" w:line="312" w:lineRule="auto"/>
        <w:rPr>
          <w:sz w:val="20"/>
          <w:szCs w:val="20"/>
          <w:color w:val="auto"/>
        </w:rPr>
      </w:pPr>
      <w:r>
        <w:rPr>
          <w:rFonts w:ascii="Times New Roman" w:cs="Times New Roman" w:eastAsia="Times New Roman" w:hAnsi="Times New Roman"/>
          <w:sz w:val="17"/>
          <w:szCs w:val="17"/>
          <w:color w:val="auto"/>
        </w:rPr>
        <w:t>The 2026 Term Loans have an incremental facility capacity in the amount of $175.0 million plus additional amounts, provided that the Company meets certain conditions, including a specified leverage ratio. The Company was in compliance with its debt covenants at September 30,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SHAREHOLDERS’ EQUITY</w:t>
      </w:r>
    </w:p>
    <w:p>
      <w:pPr>
        <w:spacing w:after="0" w:line="135" w:lineRule="exact"/>
        <w:rPr>
          <w:sz w:val="20"/>
          <w:szCs w:val="20"/>
          <w:color w:val="auto"/>
        </w:rPr>
      </w:pPr>
    </w:p>
    <w:p>
      <w:pPr>
        <w:ind w:right="140" w:firstLine="374"/>
        <w:spacing w:after="0" w:line="277" w:lineRule="auto"/>
        <w:rPr>
          <w:sz w:val="20"/>
          <w:szCs w:val="20"/>
          <w:color w:val="auto"/>
        </w:rPr>
      </w:pPr>
      <w:r>
        <w:rPr>
          <w:rFonts w:ascii="Times New Roman" w:cs="Times New Roman" w:eastAsia="Times New Roman" w:hAnsi="Times New Roman"/>
          <w:sz w:val="17"/>
          <w:szCs w:val="17"/>
          <w:color w:val="auto"/>
        </w:rPr>
        <w:t>In February 2024, the Company announced approval by its board of directors of a new share repurchase program authorizing the Company to repurchase its ordinary shares in an aggregate amount of up to $400.0 million (exclusive of any fees, commissions or other expenses related to such repurchases) from time to time (the “Repurchase Program”). The specific timing and amounts of repurchases under the Repurchase Program will depend on a variety of factors, including but not limited to ongoing assessments of the Company’s needs, alternative investment opportunities, the market price of its ordinary shares and general market conditions. The Repurchase Program has no set expiration date and may be suspended or discontinued at any time.</w:t>
      </w:r>
    </w:p>
    <w:p>
      <w:pPr>
        <w:spacing w:after="0" w:line="87"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repurchased approximately 4.4 million and 7.9 million, respectively, of its ordinary shares under the Repurchase Program at an average purchase price of $26.22 and $25.33 per share, respectively, resulting in a total cost, exclusive of any fees, commissions or other expenses related to such repurchase, of $115.3 million and $200.0 million, respectively. All ordinary shares repurchased were returned to treasury. As of September 30, 2024, the remaining amount authorized under the Repurchase Program was $200.0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48" w:lineRule="exact"/>
        <w:rPr>
          <w:sz w:val="20"/>
          <w:szCs w:val="20"/>
          <w:color w:val="auto"/>
        </w:rPr>
      </w:pPr>
    </w:p>
    <w:p>
      <w:pPr>
        <w:ind w:right="76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from continuing and discontinued operations included in the accompanying condensed consolidated statements of operations and comprehensive income: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1,653</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2,939</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4,280</w:t>
            </w:r>
          </w:p>
        </w:tc>
        <w:tc>
          <w:tcPr>
            <w:tcW w:w="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8,542</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6,148</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6,519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22,447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18,970</w:t>
            </w: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14,732</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12,275</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49,162</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42,431</w:t>
            </w:r>
          </w:p>
        </w:tc>
      </w:tr>
      <w:tr>
        <w:trPr>
          <w:trHeight w:val="23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continuing operations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22,533</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21,733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75,889</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69,943</w:t>
            </w: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2,651</w:t>
            </w: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1,493</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2,468</w:t>
            </w:r>
          </w:p>
        </w:tc>
      </w:tr>
      <w:tr>
        <w:trPr>
          <w:trHeight w:val="237"/>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discontinued operations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2,182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5,119</w:t>
            </w: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22,533</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23,915</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75,889</w:t>
            </w:r>
          </w:p>
        </w:tc>
        <w:tc>
          <w:tcPr>
            <w:tcW w:w="1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75,062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-984885</wp:posOffset>
            </wp:positionV>
            <wp:extent cx="857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-984885</wp:posOffset>
            </wp:positionV>
            <wp:extent cx="857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-984885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-350520</wp:posOffset>
            </wp:positionV>
            <wp:extent cx="857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-350520</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-350520</wp:posOffset>
            </wp:positionV>
            <wp:extent cx="857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$3.1 million and $3.2 million, respectively, of share-based compensation expense was capitalized and recorded as “Inventory” in the accompanying condensed consolidated balance sheets.</w:t>
      </w:r>
    </w:p>
    <w:p>
      <w:pPr>
        <w:spacing w:after="0" w:line="162" w:lineRule="exact"/>
        <w:rPr>
          <w:sz w:val="20"/>
          <w:szCs w:val="20"/>
          <w:color w:val="auto"/>
        </w:rPr>
      </w:pPr>
    </w:p>
    <w:p>
      <w:pPr>
        <w:ind w:right="180" w:firstLine="374"/>
        <w:spacing w:after="0" w:line="282" w:lineRule="auto"/>
        <w:rPr>
          <w:sz w:val="20"/>
          <w:szCs w:val="20"/>
          <w:color w:val="auto"/>
        </w:rPr>
      </w:pPr>
      <w:r>
        <w:rPr>
          <w:rFonts w:ascii="Times New Roman" w:cs="Times New Roman" w:eastAsia="Times New Roman" w:hAnsi="Times New Roman"/>
          <w:sz w:val="18"/>
          <w:szCs w:val="18"/>
          <w:color w:val="auto"/>
        </w:rPr>
        <w:t>On May 31, 2024, the Company’s shareholders approved an amended version of the Alkermes plc 2018 Stock Option and Incentive Plan that served to, among other things, increase the number of ordinary shares authorized for issuance thereunder by 6,300,000.</w:t>
      </w:r>
    </w:p>
    <w:p>
      <w:pPr>
        <w:spacing w:after="0" w:line="67" w:lineRule="exact"/>
        <w:rPr>
          <w:sz w:val="20"/>
          <w:szCs w:val="20"/>
          <w:color w:val="auto"/>
        </w:rPr>
      </w:pPr>
    </w:p>
    <w:p>
      <w:pPr>
        <w:ind w:right="100" w:firstLine="374"/>
        <w:spacing w:after="0" w:line="261" w:lineRule="auto"/>
        <w:rPr>
          <w:sz w:val="20"/>
          <w:szCs w:val="20"/>
          <w:color w:val="auto"/>
        </w:rPr>
      </w:pPr>
      <w:r>
        <w:rPr>
          <w:rFonts w:ascii="Times New Roman" w:cs="Times New Roman" w:eastAsia="Times New Roman" w:hAnsi="Times New Roman"/>
          <w:sz w:val="18"/>
          <w:szCs w:val="18"/>
          <w:color w:val="auto"/>
        </w:rPr>
        <w:t>In February 2021, the compensation committee of the Company’s board of directors approved the grant of performance-based restricted stock unit awards to employees of the Company at the Senior Vice President level and above, in each case subject to vesting based on the achievement of certain financial, commercial and R&amp;D performance criteria to be assessed over a performance period of three years, and subject, following the end of such three-year performance period, to upward or downward adjustment based on a market condition tied to relative share price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performance over the three-year performance period. In February 2024, the compensation committee of the Company’s board of directors determined that the Company partially achieved the financial performance criteria. This was considered a modification in accordance with FASB ASC 718,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and resulted in a modification charge of approximately $6.8 million. In February 2024, the compensation committee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board of directors also determined that the Company achieved the pipeline performance criteria for these awards, resulting in a $2.6 million incremental share-based compensation expense, as it was deemed such pipeline performance criteria had been met. The share-based compensation expense related to these achievements was recognized in the first quarter of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(LOSS) PER ORDINARY SHARE</w:t>
      </w:r>
    </w:p>
    <w:p>
      <w:pPr>
        <w:spacing w:after="0" w:line="135" w:lineRule="exact"/>
        <w:rPr>
          <w:sz w:val="20"/>
          <w:szCs w:val="20"/>
          <w:color w:val="auto"/>
        </w:rPr>
      </w:pPr>
    </w:p>
    <w:p>
      <w:pPr>
        <w:ind w:right="260" w:firstLine="374"/>
        <w:spacing w:after="0" w:line="261" w:lineRule="auto"/>
        <w:rPr>
          <w:sz w:val="20"/>
          <w:szCs w:val="20"/>
          <w:color w:val="auto"/>
        </w:rPr>
      </w:pPr>
      <w:r>
        <w:rPr>
          <w:rFonts w:ascii="Times New Roman" w:cs="Times New Roman" w:eastAsia="Times New Roman" w:hAnsi="Times New Roman"/>
          <w:sz w:val="18"/>
          <w:szCs w:val="18"/>
          <w:color w:val="auto"/>
        </w:rPr>
        <w:t>Basic earnings (loss) per ordinary share is calculated based upon net income (loss) available to holders of ordinary shares divided by the weighted average number of ordinary shares outstanding. For the calculation of diluted earnings (loss) per ordinary share, the Company utilizes the treasury stock method and adjusts the weighted average number of ordinary shares outstanding for the effect of outstanding ordinary share equivalents such as stock options and restricted stock unit awards.</w:t>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69"/>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line="169" w:lineRule="exact"/>
              <w:rPr>
                <w:sz w:val="20"/>
                <w:szCs w:val="20"/>
                <w:color w:val="auto"/>
              </w:rPr>
            </w:pPr>
            <w:r>
              <w:rPr>
                <w:rFonts w:ascii="Times New Roman" w:cs="Times New Roman" w:eastAsia="Times New Roman" w:hAnsi="Times New Roman"/>
                <w:sz w:val="14"/>
                <w:szCs w:val="14"/>
                <w:b w:val="1"/>
                <w:bCs w:val="1"/>
                <w:color w:val="auto"/>
                <w:w w:val="94"/>
              </w:rPr>
              <w:t xml:space="preserve">2023 </w:t>
            </w:r>
            <w:r>
              <w:rPr>
                <w:rFonts w:ascii="Times New Roman" w:cs="Times New Roman" w:eastAsia="Times New Roman" w:hAnsi="Times New Roman"/>
                <w:sz w:val="19"/>
                <w:szCs w:val="19"/>
                <w:b w:val="1"/>
                <w:bCs w:val="1"/>
                <w:color w:val="auto"/>
                <w:w w:val="94"/>
                <w:vertAlign w:val="superscript"/>
              </w:rPr>
              <w:t>(1)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2"/>
              <w:spacing w:after="0" w:line="169" w:lineRule="exact"/>
              <w:rPr>
                <w:sz w:val="20"/>
                <w:szCs w:val="20"/>
                <w:color w:val="auto"/>
              </w:rPr>
            </w:pPr>
            <w:r>
              <w:rPr>
                <w:rFonts w:ascii="Times New Roman" w:cs="Times New Roman" w:eastAsia="Times New Roman" w:hAnsi="Times New Roman"/>
                <w:sz w:val="14"/>
                <w:szCs w:val="14"/>
                <w:b w:val="1"/>
                <w:bCs w:val="1"/>
                <w:color w:val="auto"/>
                <w:w w:val="90"/>
              </w:rPr>
              <w:t xml:space="preserve">2023 </w:t>
            </w:r>
            <w:r>
              <w:rPr>
                <w:rFonts w:ascii="Times New Roman" w:cs="Times New Roman" w:eastAsia="Times New Roman" w:hAnsi="Times New Roman"/>
                <w:sz w:val="19"/>
                <w:szCs w:val="19"/>
                <w:b w:val="1"/>
                <w:bCs w:val="1"/>
                <w:color w:val="auto"/>
                <w:w w:val="90"/>
                <w:vertAlign w:val="superscript"/>
              </w:rPr>
              <w:t>(1)</w:t>
            </w:r>
          </w:p>
        </w:tc>
      </w:tr>
      <w:tr>
        <w:trPr>
          <w:trHeight w:val="237"/>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3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92,795</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91,554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226,401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358,605</w:t>
            </w:r>
          </w:p>
        </w:tc>
      </w:tr>
      <w:tr>
        <w:trPr>
          <w:trHeight w:val="247"/>
        </w:trPr>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(43,796 )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(5,834 )</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(115,627 )</w:t>
            </w:r>
          </w:p>
        </w:tc>
      </w:tr>
      <w:tr>
        <w:trPr>
          <w:trHeight w:val="237"/>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92,381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47,758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220,567</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242,978</w:t>
            </w:r>
          </w:p>
        </w:tc>
      </w:tr>
      <w:tr>
        <w:trPr>
          <w:trHeight w:val="20"/>
        </w:trPr>
        <w:tc>
          <w:tcPr>
            <w:tcW w:w="5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4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163,368</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166,607</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166,546</w:t>
            </w: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165,996</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3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Pr>
          <w:p>
            <w:pPr>
              <w:spacing w:after="0"/>
              <w:rPr>
                <w:sz w:val="20"/>
                <w:szCs w:val="20"/>
                <w:color w:val="auto"/>
              </w:rPr>
            </w:pPr>
          </w:p>
        </w:tc>
        <w:tc>
          <w:tcPr>
            <w:tcW w:w="10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1,310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1,643</w:t>
            </w:r>
          </w:p>
        </w:tc>
      </w:tr>
      <w:tr>
        <w:trPr>
          <w:trHeight w:val="247"/>
        </w:trPr>
        <w:tc>
          <w:tcPr>
            <w:tcW w:w="5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2,347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3,614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2,357</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3,342</w:t>
            </w:r>
          </w:p>
        </w:tc>
      </w:tr>
      <w:tr>
        <w:trPr>
          <w:trHeight w:val="237"/>
        </w:trPr>
        <w:tc>
          <w:tcPr>
            <w:tcW w:w="5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Dilutive ordinary share equivalents</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3,657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5,296</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3,650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4,985</w:t>
            </w:r>
          </w:p>
        </w:tc>
      </w:tr>
      <w:tr>
        <w:trPr>
          <w:trHeight w:val="277"/>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calculating diluted earnings (loss) per ordinary share</w:t>
            </w:r>
          </w:p>
        </w:tc>
        <w:tc>
          <w:tcPr>
            <w:tcW w:w="260" w:type="dxa"/>
            <w:vAlign w:val="bottom"/>
            <w:tcBorders>
              <w:bottom w:val="single" w:sz="8" w:color="auto"/>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167,025</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171,903</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170,196</w:t>
            </w:r>
          </w:p>
        </w:tc>
        <w:tc>
          <w:tcPr>
            <w:tcW w:w="1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170,981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-1336675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-1336675</wp:posOffset>
            </wp:positionV>
            <wp:extent cx="857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-1336675</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-351155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-351155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-351155</wp:posOffset>
            </wp:positionV>
            <wp:extent cx="85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857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857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-8255</wp:posOffset>
            </wp:positionV>
            <wp:extent cx="857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11912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3"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67" w:lineRule="exact"/>
        <w:rPr>
          <w:sz w:val="20"/>
          <w:szCs w:val="20"/>
          <w:color w:val="auto"/>
        </w:rPr>
      </w:pPr>
    </w:p>
    <w:p>
      <w:pPr>
        <w:ind w:right="40" w:firstLine="374"/>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earnings (loss) per ordinary share calculation because the effect would have been anti-dilutive:</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266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64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0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Borders>
              <w:bottom w:val="single" w:sz="8" w:color="auto"/>
            </w:tcBorders>
            <w:gridSpan w:val="3"/>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11,047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12,029</w:t>
            </w:r>
          </w:p>
        </w:tc>
        <w:tc>
          <w:tcPr>
            <w:tcW w:w="13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12,311</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12,422</w:t>
            </w:r>
          </w:p>
        </w:tc>
      </w:tr>
      <w:tr>
        <w:trPr>
          <w:trHeight w:val="24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1"/>
                <w:szCs w:val="21"/>
                <w:color w:val="auto"/>
              </w:rPr>
            </w:pP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2,389</w:t>
            </w:r>
          </w:p>
        </w:tc>
      </w:tr>
      <w:tr>
        <w:trPr>
          <w:trHeight w:val="277"/>
        </w:trPr>
        <w:tc>
          <w:tcPr>
            <w:tcW w:w="5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12,323</w:t>
            </w:r>
          </w:p>
        </w:tc>
        <w:tc>
          <w:tcPr>
            <w:tcW w:w="1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13,346</w:t>
            </w:r>
          </w:p>
        </w:tc>
        <w:tc>
          <w:tcPr>
            <w:tcW w:w="1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14,712</w:t>
            </w:r>
          </w:p>
        </w:tc>
        <w:tc>
          <w:tcPr>
            <w:tcW w:w="1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14,811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62" w:lineRule="exact"/>
        <w:rPr>
          <w:sz w:val="20"/>
          <w:szCs w:val="20"/>
          <w:color w:val="auto"/>
        </w:rPr>
      </w:pPr>
    </w:p>
    <w:p>
      <w:pPr>
        <w:ind w:firstLine="374"/>
        <w:spacing w:after="0" w:line="256"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determining future taxable income, the Company is responsible for assumptions that it utilizes,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uses to manage the underlying business.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207" w:lineRule="exact"/>
        <w:rPr>
          <w:sz w:val="20"/>
          <w:szCs w:val="20"/>
          <w:color w:val="auto"/>
        </w:rPr>
      </w:pPr>
    </w:p>
    <w:p>
      <w:pPr>
        <w:ind w:right="100" w:firstLine="374"/>
        <w:spacing w:after="0" w:line="255" w:lineRule="auto"/>
        <w:rPr>
          <w:sz w:val="20"/>
          <w:szCs w:val="20"/>
          <w:color w:val="auto"/>
        </w:rPr>
      </w:pPr>
      <w:r>
        <w:rPr>
          <w:rFonts w:ascii="Times New Roman" w:cs="Times New Roman" w:eastAsia="Times New Roman" w:hAnsi="Times New Roman"/>
          <w:sz w:val="18"/>
          <w:szCs w:val="18"/>
          <w:color w:val="auto"/>
        </w:rPr>
        <w:t>The Company recorded income tax provisions of $17.4 million and $47.5 million during the three and nine months ended September 30, 2024, respectively, and income tax provisions of $1.2 million and $4.6 million during the three and nine months ended September 30, 2023, respectively. The income tax provisions during the three and nine months ended September 30, 2024 were primarily due to taxes on income earned in Ireland. The income tax provisions during the three and nine months ended September 30, 2023 were primarily due to U.S. federal and state taxes on income earned in the U.S. As of September 30, 2023, the Company maintained a valuation allowance against its Irish deferred tax assets and did not record an income tax provision in connection with the utilization of its net operating losses to offset the income earned in Ireland during the three and nine months ended September 30, 2023.</w:t>
      </w:r>
    </w:p>
    <w:p>
      <w:pPr>
        <w:spacing w:after="0" w:line="189" w:lineRule="exact"/>
        <w:rPr>
          <w:sz w:val="20"/>
          <w:szCs w:val="20"/>
          <w:color w:val="auto"/>
        </w:rPr>
      </w:pPr>
    </w:p>
    <w:p>
      <w:pPr>
        <w:ind w:right="60" w:firstLine="374"/>
        <w:spacing w:after="0" w:line="256" w:lineRule="auto"/>
        <w:rPr>
          <w:sz w:val="20"/>
          <w:szCs w:val="20"/>
          <w:color w:val="auto"/>
        </w:rPr>
      </w:pPr>
      <w:r>
        <w:rPr>
          <w:rFonts w:ascii="Times New Roman" w:cs="Times New Roman" w:eastAsia="Times New Roman" w:hAnsi="Times New Roman"/>
          <w:sz w:val="18"/>
          <w:szCs w:val="18"/>
          <w:color w:val="auto"/>
        </w:rPr>
        <w:t>The Company’s effective tax rate during the nine months ended September 30, 2024 was 17.3%, which exceeds the Irish statutory tax rate of 12.5%, primarily due to non-deductible expenses and income that was taxable at rates higher than the Irish statutory tax rate. The income tax provision recorded as of September 30, 2024 took into account the estimated impact of the global minimum tax rate component, known as Pillar Two, of the Organization for Economic Co-operation and Development’s two-pillar plan on global tax reform, which became effective in Ireland as of January 1, 2024 for multinational companies with consolidated annual revenue of at least €750.0 million. The Company does not expect Pillar Two to have a material impact for the current year.</w:t>
      </w:r>
    </w:p>
    <w:p>
      <w:pPr>
        <w:spacing w:after="0" w:line="156" w:lineRule="exact"/>
        <w:rPr>
          <w:sz w:val="20"/>
          <w:szCs w:val="20"/>
          <w:color w:val="auto"/>
        </w:rPr>
      </w:pPr>
    </w:p>
    <w:p>
      <w:pPr>
        <w:ind w:left="380" w:right="6660" w:hanging="372"/>
        <w:spacing w:after="0" w:line="380" w:lineRule="auto"/>
        <w:tabs>
          <w:tab w:leader="none" w:pos="27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i w:val="1"/>
          <w:iCs w:val="1"/>
          <w:color w:val="auto"/>
        </w:rPr>
        <w:t>Litigation</w:t>
      </w:r>
    </w:p>
    <w:p>
      <w:pPr>
        <w:spacing w:after="0" w:line="10"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September 30, 2024, there were no potential material losses from claims, asserted or unasserted, or legal proceedings that the Company determined were probable of occurring.</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48" w:lineRule="exact"/>
        <w:rPr>
          <w:sz w:val="20"/>
          <w:szCs w:val="20"/>
          <w:color w:val="auto"/>
        </w:rPr>
      </w:pPr>
    </w:p>
    <w:p>
      <w:pPr>
        <w:ind w:right="20" w:firstLine="374"/>
        <w:spacing w:after="0" w:line="256"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The Company is not a party to this proceeding.</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VUMERITY ANDA Litigation</w:t>
      </w:r>
    </w:p>
    <w:p>
      <w:pPr>
        <w:spacing w:after="0" w:line="162" w:lineRule="exact"/>
        <w:rPr>
          <w:sz w:val="20"/>
          <w:szCs w:val="20"/>
          <w:color w:val="auto"/>
        </w:rPr>
      </w:pPr>
    </w:p>
    <w:p>
      <w:pPr>
        <w:ind w:right="100" w:firstLine="374"/>
        <w:spacing w:after="0" w:line="256" w:lineRule="auto"/>
        <w:rPr>
          <w:sz w:val="20"/>
          <w:szCs w:val="20"/>
          <w:color w:val="auto"/>
        </w:rPr>
      </w:pPr>
      <w:r>
        <w:rPr>
          <w:rFonts w:ascii="Times New Roman" w:cs="Times New Roman" w:eastAsia="Times New Roman" w:hAnsi="Times New Roman"/>
          <w:sz w:val="18"/>
          <w:szCs w:val="18"/>
          <w:color w:val="auto"/>
        </w:rPr>
        <w:t>In July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 A bench trial is scheduled to begin on July 28, 2025.</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202" w:lineRule="exact"/>
        <w:rPr>
          <w:sz w:val="20"/>
          <w:szCs w:val="20"/>
          <w:color w:val="auto"/>
        </w:rPr>
      </w:pPr>
    </w:p>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2" w:name="page23"/>
    <w:bookmarkEnd w:id="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(Unaudited) (Continued)</w:t>
      </w: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162" w:lineRule="exact"/>
        <w:rPr>
          <w:sz w:val="20"/>
          <w:szCs w:val="20"/>
          <w:color w:val="auto"/>
        </w:r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a product liability case alleging that the FDA-approved VIVITROL labeling was inadequate and that VIVITROL caused the individual to suffer from opioid overdose and death. The Company intends to vigorously defend itself in these matters.</w:t>
      </w:r>
    </w:p>
    <w:p>
      <w:pPr>
        <w:spacing w:after="0" w:line="176" w:lineRule="exact"/>
        <w:rPr>
          <w:sz w:val="20"/>
          <w:szCs w:val="20"/>
          <w:color w:val="auto"/>
        </w:rPr>
      </w:pPr>
    </w:p>
    <w:p>
      <w:pPr>
        <w:ind w:right="60" w:firstLine="374"/>
        <w:spacing w:after="0" w:line="254" w:lineRule="auto"/>
        <w:rPr>
          <w:sz w:val="20"/>
          <w:szCs w:val="20"/>
          <w:color w:val="auto"/>
        </w:rPr>
      </w:pPr>
      <w:r>
        <w:rPr>
          <w:rFonts w:ascii="Times New Roman" w:cs="Times New Roman" w:eastAsia="Times New Roman" w:hAnsi="Times New Roman"/>
          <w:sz w:val="18"/>
          <w:szCs w:val="18"/>
          <w:color w:val="auto"/>
        </w:rPr>
        <w:t>In addition, in January 2023, Acorda Therapeutics, Inc.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Federal Circuit Court, and the Company filed a motion to transfer the appeal to the U.S. Court of Appeals for the Second Circuit. In January 2024, the Federal Circuit Court denied without prejudice the Company’s motion to transfer the appeal and instructed the parties to brief the jurisdictional question as part of the merits appeal. Briefing in the Federal Circuit Court is complete, and the matter is pending decision.</w:t>
      </w:r>
    </w:p>
    <w:p>
      <w:pPr>
        <w:spacing w:after="0" w:line="1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Guarantees</w:t>
      </w:r>
    </w:p>
    <w:p>
      <w:pPr>
        <w:spacing w:after="0" w:line="22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an assignment and assumption of lease agreement (the “Assignment”) pursuant to which Alkermes, Inc., a wholly owned subsidiary of the Company, assigned to Mural Oncology, Inc. (“Mural US”) an operating lease for approximately 180,000 square feet of corporate office space, administrative areas and laboratories located at 852 Winter Street in Waltham, Massachusetts (the “852 Winter Street Lease”), which is described in more detail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 “Notes to Consolidated Financial Statements” in the Annual Report. Although all of the rights, title and interest in, to and under the 852 Winter Street Lease were transferred to Mural US as of November 15, 2023 pursuant to the Assignment, the Company ratified and reaffirmed for the remainder of the lease term its guarantor obligations in respect of the lease under that certain Guaranty dated as of May 16, 2014. This lease expires in 2026 and includes a tenant option to extend the term for an additional five-year period. Upon completion of the Separation, the Assignment was accounted for as a termination of the original lease and the Company de-recognized the right-of-use asset and lease liability related to the 852 Winter Street Lease. At September 30, 2024, the fair value of the guarantee was not material to the Company.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20" w:firstLine="374"/>
        <w:spacing w:after="0" w:line="26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accompanying condensed consolidated financial statements and related notes beginning on page 5 in this Form 10-Q, and “Part II, Item 7—Management’s Discussion and Analysis of Financial Condition and Results of Operations” and the audited financial statements and notes thereto accompanying our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Net income from continuing operations was $92.8 million and $226.4 million or $0.57 and 1.36 per ordinary share—basic and $0.56 and $1.33 per ordinary share—diluted, for the three months and nine months ended September 30, 2024, respectively, compared to net income from continuing operations of $91.6 million and $358.6 million or $0.55 and $2.16 per ordinary share—basic and $0.53 and $2.10 per ordinary share—diluted, for the three and nine months ended September 30, 2023, respectively.</w:t>
      </w:r>
    </w:p>
    <w:p>
      <w:pPr>
        <w:spacing w:after="0" w:line="153"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increase in net income from continuing operations during the three months ended September 30, 2024, as compared to the three months ended September 30, 2023, was primarily due to an increase in product sales, net, of $41.2 million and a decrease of $18.4 million in operating expenses, partially offset by a decrease of $44.0 million in manufacturing and royalty revenue and an increase of $16.3 million in the income tax provision. The decrease in net income from continuing operations during the nine months ended September 30, 2024, as compared to the nine months ended September 30, 2023 was primarily due to a decrease of $256.1 million in manufacturing and royalty revenue and an increase of $42.9 million in the income tax provision, partially offset by a decrease of $56.7 million in operating expenses and an increase of $12.2 million in other income, net. The decreases in manufacturing and royalty revenues were primarily due to the receipt in June 2023 of back royalties and interest in respect of 2022 U.S. sales of the long-acting INVEGA products, following the successful outcome of the arbitration proceedings related to such products.</w:t>
      </w:r>
    </w:p>
    <w:p>
      <w:pPr>
        <w:spacing w:after="0" w:line="151"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98" w:lineRule="exact"/>
        <w:rPr>
          <w:sz w:val="20"/>
          <w:szCs w:val="20"/>
          <w:color w:val="auto"/>
        </w:rPr>
      </w:pPr>
    </w:p>
    <w:p>
      <w:pPr>
        <w:ind w:right="540" w:firstLine="374"/>
        <w:spacing w:after="0" w:line="261"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descriptions of the marketed products below and “Part I, Item 1A—Risk Factors” in our Annual Report for important factors that could adversely affect our marketed products. See the “Patents and Proprietary Rights” section in “Part I, Item 1—Business” in our Annual Report for information with respect to the IP protection for these marketed products.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4" w:name="page25"/>
    <w:bookmarkEnd w:id="24"/>
    <w:p>
      <w:pPr>
        <w:ind w:left="38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39" w:lineRule="exact"/>
        <w:rPr>
          <w:sz w:val="20"/>
          <w:szCs w:val="20"/>
          <w:color w:val="auto"/>
        </w:rPr>
      </w:pPr>
    </w:p>
    <w:p>
      <w:pPr>
        <w:ind w:left="2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Product</w:t>
      </w:r>
      <w:r>
        <w:rPr>
          <w:sz w:val="20"/>
          <w:szCs w:val="20"/>
          <w:color w:val="auto"/>
        </w:rPr>
        <w:tab/>
      </w:r>
      <w:r>
        <w:rPr>
          <w:rFonts w:ascii="Times New Roman" w:cs="Times New Roman" w:eastAsia="Times New Roman" w:hAnsi="Times New Roman"/>
          <w:sz w:val="18"/>
          <w:szCs w:val="18"/>
          <w:b w:val="1"/>
          <w:bCs w:val="1"/>
          <w:color w:val="auto"/>
        </w:rPr>
        <w:t>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37464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374640" cy="17145"/>
                    </a:xfrm>
                    <a:prstGeom prst="rect">
                      <a:avLst/>
                    </a:prstGeom>
                    <a:noFill/>
                  </pic:spPr>
                </pic:pic>
              </a:graphicData>
            </a:graphic>
          </wp:anchor>
        </w:drawing>
      </w:r>
    </w:p>
    <w:p>
      <w:pPr>
        <w:spacing w:after="0" w:line="29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Initiation or re-initiation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2151380" cy="27000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1380" cy="2700020"/>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ARISTADA for the treatment of</w:t>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1154430</wp:posOffset>
            </wp:positionV>
            <wp:extent cx="15684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1165860</wp:posOffset>
            </wp:positionV>
            <wp:extent cx="537464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-119380</wp:posOffset>
            </wp:positionV>
            <wp:extent cx="2194560" cy="15944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94560" cy="159448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1489075</wp:posOffset>
            </wp:positionV>
            <wp:extent cx="53746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74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-119380</wp:posOffset>
            </wp:positionV>
            <wp:extent cx="2580005" cy="1148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80005" cy="114871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35560</wp:posOffset>
            </wp:positionV>
            <wp:extent cx="161988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3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1440180</wp:posOffset>
            </wp:positionV>
            <wp:extent cx="161988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1165860</wp:posOffset>
            </wp:positionV>
            <wp:extent cx="161988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1637665</wp:posOffset>
            </wp:positionV>
            <wp:extent cx="161988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w:t>
      </w:r>
    </w:p>
    <w:p>
      <w:pPr>
        <w:sectPr>
          <w:pgSz w:w="11900" w:h="16838" w:orient="portrait"/>
          <w:cols w:equalWidth="0" w:num="2">
            <w:col w:w="8880" w:space="720"/>
            <w:col w:w="720"/>
          </w:cols>
          <w:pgMar w:left="320" w:top="1255" w:right="1259" w:bottom="1440" w:gutter="0" w:footer="0" w:header="0"/>
        </w:sectPr>
      </w:pPr>
    </w:p>
    <w:bookmarkStart w:id="25" w:name="page26"/>
    <w:bookmarkEnd w:id="25"/>
    <w:p>
      <w:pPr>
        <w:ind w:right="100" w:firstLine="374"/>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certain key third-party products using our proprietary technologies under license and our key licensed product, that are commercialized by our licensees: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5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Schizoaffective</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37"/>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7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446"/>
        </w:trPr>
        <w:tc>
          <w:tcPr>
            <w:tcW w:w="450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Proprietary Products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“Patents and Proprietary Rights” section in “Part I, Item 1—Business” in our Annual Report for information with respect to the IP protection for our proprietary products.</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w:t>
      </w:r>
    </w:p>
    <w:p>
      <w:pPr>
        <w:spacing w:after="0" w:line="162"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ARISTADA INITIO</w:t>
      </w:r>
    </w:p>
    <w:p>
      <w:pPr>
        <w:spacing w:after="0" w:line="162" w:lineRule="exact"/>
        <w:rPr>
          <w:sz w:val="20"/>
          <w:szCs w:val="20"/>
          <w:color w:val="auto"/>
        </w:rPr>
      </w:pPr>
    </w:p>
    <w:p>
      <w:pPr>
        <w:ind w:right="140" w:firstLine="374"/>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LYBALVI</w:t>
      </w:r>
    </w:p>
    <w:p>
      <w:pPr>
        <w:spacing w:after="0" w:line="229"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183"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April 2024, U.S. Patent No. 11,951,111 relating to LYBALVI was granted. This patent has claims to methods of treating schizophrenia and bipolar I disorder and expires in 2041.</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VIVITROL</w:t>
      </w:r>
    </w:p>
    <w:p>
      <w:pPr>
        <w:spacing w:after="0" w:line="229" w:lineRule="exact"/>
        <w:rPr>
          <w:sz w:val="20"/>
          <w:szCs w:val="20"/>
          <w:color w:val="auto"/>
        </w:rPr>
      </w:pPr>
    </w:p>
    <w:p>
      <w:pPr>
        <w:ind w:right="80" w:firstLine="374"/>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 and Licensed Product</w:t>
      </w:r>
    </w:p>
    <w:p>
      <w:pPr>
        <w:spacing w:after="0" w:line="227" w:lineRule="exact"/>
        <w:rPr>
          <w:sz w:val="20"/>
          <w:szCs w:val="20"/>
          <w:color w:val="auto"/>
        </w:rPr>
      </w:pPr>
    </w:p>
    <w:p>
      <w:pPr>
        <w:ind w:right="60" w:firstLine="374"/>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among others, include the following:</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Products Using Our Proprietary Technologies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INVEGA SUSTENNA/XEPLION, INVEGA TRINZA/TREVICTA and INVEGA HAFYERA/BYANNLI</w:t>
      </w:r>
    </w:p>
    <w:p>
      <w:pPr>
        <w:spacing w:after="0" w:line="229" w:lineRule="exact"/>
        <w:rPr>
          <w:sz w:val="20"/>
          <w:szCs w:val="20"/>
          <w:color w:val="auto"/>
        </w:rPr>
      </w:pPr>
    </w:p>
    <w:p>
      <w:pPr>
        <w:ind w:right="220" w:firstLine="374"/>
        <w:spacing w:after="0" w:line="282" w:lineRule="auto"/>
        <w:rPr>
          <w:sz w:val="20"/>
          <w:szCs w:val="20"/>
          <w:color w:val="auto"/>
        </w:rPr>
      </w:pPr>
      <w:r>
        <w:rPr>
          <w:rFonts w:ascii="Times New Roman" w:cs="Times New Roman" w:eastAsia="Times New Roman" w:hAnsi="Times New Roman"/>
          <w:sz w:val="18"/>
          <w:szCs w:val="18"/>
          <w:color w:val="auto"/>
        </w:rPr>
        <w:t>The long-acting INVEGA products are long-acting atypical antipsychotics owned and commercialized worldwide by Janssen. We believe that these products incorporate our technologies.</w:t>
      </w:r>
    </w:p>
    <w:p>
      <w:pPr>
        <w:spacing w:after="0" w:line="162" w:lineRule="exact"/>
        <w:rPr>
          <w:sz w:val="20"/>
          <w:szCs w:val="20"/>
          <w:color w:val="auto"/>
        </w:rPr>
      </w:pPr>
    </w:p>
    <w:p>
      <w:pPr>
        <w:ind w:right="340" w:firstLine="374"/>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180" w:lineRule="exact"/>
        <w:rPr>
          <w:sz w:val="20"/>
          <w:szCs w:val="20"/>
          <w:color w:val="auto"/>
        </w:rPr>
      </w:pPr>
    </w:p>
    <w:p>
      <w:pPr>
        <w:ind w:right="20" w:firstLine="374"/>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76"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74" w:lineRule="exact"/>
        <w:rPr>
          <w:sz w:val="20"/>
          <w:szCs w:val="20"/>
          <w:color w:val="auto"/>
        </w:rPr>
      </w:pPr>
    </w:p>
    <w:p>
      <w:pPr>
        <w:jc w:val="both"/>
        <w:ind w:right="620" w:firstLine="374"/>
        <w:spacing w:after="0" w:line="267"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TRINZA, see Note 17,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 such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see “Part I, Item 1A—Risk Factors” in our</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ind w:right="400"/>
        <w:spacing w:after="0" w:line="282" w:lineRule="auto"/>
        <w:rPr>
          <w:sz w:val="20"/>
          <w:szCs w:val="20"/>
          <w:color w:val="auto"/>
        </w:rPr>
      </w:pPr>
      <w:r>
        <w:rPr>
          <w:rFonts w:ascii="Times New Roman" w:cs="Times New Roman" w:eastAsia="Times New Roman" w:hAnsi="Times New Roman"/>
          <w:sz w:val="18"/>
          <w:szCs w:val="18"/>
          <w:color w:val="auto"/>
        </w:rPr>
        <w:t>Annual Report and specifically the section entitled “We or our licensees may face claims against IP rights covering our products and competition from generic drug manufacturers.”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Licensed Product</w:t>
      </w:r>
    </w:p>
    <w:p>
      <w:pPr>
        <w:spacing w:after="0" w:line="1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VUMERITY</w:t>
      </w:r>
    </w:p>
    <w:p>
      <w:pPr>
        <w:spacing w:after="0" w:line="148"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08" w:lineRule="exact"/>
        <w:rPr>
          <w:sz w:val="20"/>
          <w:szCs w:val="20"/>
          <w:color w:val="auto"/>
        </w:rPr>
      </w:pPr>
    </w:p>
    <w:p>
      <w:pPr>
        <w:ind w:right="40" w:firstLine="374"/>
        <w:spacing w:after="0" w:line="256" w:lineRule="auto"/>
        <w:rPr>
          <w:sz w:val="20"/>
          <w:szCs w:val="20"/>
          <w:color w:val="auto"/>
        </w:rPr>
      </w:pPr>
      <w:r>
        <w:rPr>
          <w:rFonts w:ascii="Times New Roman" w:cs="Times New Roman" w:eastAsia="Times New Roman" w:hAnsi="Times New Roman"/>
          <w:sz w:val="18"/>
          <w:szCs w:val="18"/>
          <w:color w:val="auto"/>
        </w:rPr>
        <w:t xml:space="preserve">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 For a discussion of legal proceedings related to certain of the patents covering VUMERITY, see Note 17, </w:t>
      </w:r>
      <w:r>
        <w:rPr>
          <w:rFonts w:ascii="Times New Roman" w:cs="Times New Roman" w:eastAsia="Times New Roman" w:hAnsi="Times New Roman"/>
          <w:sz w:val="18"/>
          <w:szCs w:val="18"/>
          <w:i w:val="1"/>
          <w:iCs w:val="1"/>
          <w:color w:val="auto"/>
        </w:rPr>
        <w:t xml:space="preserve">Commitments and 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Development Program</w:t>
      </w:r>
    </w:p>
    <w:p>
      <w:pPr>
        <w:spacing w:after="0" w:line="144"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ALKS 2680</w:t>
      </w:r>
    </w:p>
    <w:p>
      <w:pPr>
        <w:spacing w:after="0" w:line="162" w:lineRule="exact"/>
        <w:rPr>
          <w:sz w:val="20"/>
          <w:szCs w:val="20"/>
          <w:color w:val="auto"/>
        </w:rPr>
      </w:pPr>
    </w:p>
    <w:p>
      <w:pPr>
        <w:ind w:firstLine="374"/>
        <w:spacing w:after="0" w:line="255" w:lineRule="auto"/>
        <w:rPr>
          <w:sz w:val="20"/>
          <w:szCs w:val="20"/>
          <w:color w:val="auto"/>
        </w:rPr>
      </w:pPr>
      <w:r>
        <w:rPr>
          <w:rFonts w:ascii="Times New Roman" w:cs="Times New Roman" w:eastAsia="Times New Roman" w:hAnsi="Times New Roman"/>
          <w:sz w:val="18"/>
          <w:szCs w:val="18"/>
          <w:color w:val="auto"/>
        </w:rPr>
        <w:t>ALKS 2680 is a novel, investigational, oral, selective orexin 2 receptor (“OX2R”) agonist in development as a once-daily treatment for narcolepsy type 1, narcolepsy type 2 and idiopathic hypersomnia.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ALKS 2680 was previously evaluated in a phase 1 study in healthy volunteers and patients with narcolepsy type 1, narcolepsy type 2 and idiopathic hypersomnia and is currently being evaluated in two phase 2 studies. Vibrance-1 in patients with narcolepsy type 1 and Vibrance-2 in patients with narcolepsy type 2. We expect to initiate Vibrance-3, a phase 2 study in patients with idiopathic hypersomnia in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As a result of the Separation, the historical results of our oncology business have been reflected as discontinued operations in our condensed consolidated financial statements through the Separation Date. Prior period results of operations and balance sheet information have been recast to reflect this presentation.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87" w:lineRule="exact"/>
        <w:rPr>
          <w:sz w:val="20"/>
          <w:szCs w:val="20"/>
          <w:color w:val="auto"/>
        </w:rPr>
      </w:pPr>
    </w:p>
    <w:p>
      <w:pPr>
        <w:ind w:right="360" w:firstLine="374"/>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and ARISTADA INITIO, and LYBALVI, primarily to wholesalers, specialty distributors and pharmacies. The following table presents the adjustments deducted from product sales, gross to arrive at product sales, net, for sales of VIVITROL, ARISTADA and ARISTADA INITIO, and LYBALVI during the three and nine months ended September 30,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4"/>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361"/>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501"/>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9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9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b w:val="1"/>
                <w:bCs w:val="1"/>
                <w:color w:val="auto"/>
              </w:rPr>
              <w:t>% of Sales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sales, gross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543.5</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469.3</w:t>
            </w:r>
          </w:p>
        </w:tc>
        <w:tc>
          <w:tcPr>
            <w:tcW w:w="10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1,543.8</w:t>
            </w:r>
          </w:p>
        </w:tc>
        <w:tc>
          <w:tcPr>
            <w:tcW w:w="1040" w:type="dxa"/>
            <w:vAlign w:val="bottom"/>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1,373.0</w:t>
            </w: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Medicaid rebates</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(116.3 )</w:t>
            </w:r>
          </w:p>
        </w:tc>
        <w:tc>
          <w:tcPr>
            <w:tcW w:w="13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(21.4 ) %</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(107.2 )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(343.9 )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(22.3 ) %</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(317.5 )</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(23.1 )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Chargebacks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(61.8 )</w:t>
            </w:r>
          </w:p>
        </w:tc>
        <w:tc>
          <w:tcPr>
            <w:tcW w:w="1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(11.4 )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(10.4 )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(10.9 )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Product discounts</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3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(7.3 ) %</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(112.6 )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(7.3 ) %</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(101.8 )</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(7.4 )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Medicare Part D</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(3.9 ) %</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 %</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 %</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(5.8 ) %</w:t>
            </w: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(6.4 )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(82.7 )</w:t>
            </w:r>
          </w:p>
        </w:tc>
        <w:tc>
          <w:tcPr>
            <w:tcW w:w="12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 %</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(78.5 )</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(5.7 )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(270.5 )</w:t>
            </w:r>
          </w:p>
        </w:tc>
        <w:tc>
          <w:tcPr>
            <w:tcW w:w="120" w:type="dxa"/>
            <w:vAlign w:val="bottom"/>
          </w:tcPr>
          <w:p>
            <w:pPr>
              <w:spacing w:after="0"/>
              <w:rPr>
                <w:sz w:val="19"/>
                <w:szCs w:val="19"/>
                <w:color w:val="auto"/>
              </w:rPr>
            </w:pPr>
          </w:p>
        </w:tc>
        <w:tc>
          <w:tcPr>
            <w:tcW w:w="12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(49.8 ) %</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(50.6 )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(768.0 )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(49.8 ) %</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(695.0 )</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(50.6 )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8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Product sales, net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273.0</w:t>
            </w:r>
          </w:p>
        </w:tc>
        <w:tc>
          <w:tcPr>
            <w:tcW w:w="12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50.2</w:t>
            </w:r>
          </w:p>
        </w:tc>
        <w:tc>
          <w:tcPr>
            <w:tcW w:w="2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231.8</w:t>
            </w:r>
          </w:p>
        </w:tc>
        <w:tc>
          <w:tcPr>
            <w:tcW w:w="1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49.4</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775.8</w:t>
            </w:r>
          </w:p>
        </w:tc>
        <w:tc>
          <w:tcPr>
            <w:tcW w:w="12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6"/>
                <w:szCs w:val="16"/>
                <w:color w:val="auto"/>
              </w:rPr>
              <w:t>50.2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678.0</w:t>
            </w:r>
          </w:p>
        </w:tc>
        <w:tc>
          <w:tcPr>
            <w:tcW w:w="10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6"/>
                <w:szCs w:val="16"/>
                <w:color w:val="auto"/>
              </w:rPr>
              <w:t>49.4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-334010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-334010</wp:posOffset>
            </wp:positionV>
            <wp:extent cx="857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-334010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-334010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-334010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-334010</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-334010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-334010</wp:posOffset>
            </wp:positionV>
            <wp:extent cx="939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-25400</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-7620</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-25400</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857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-7620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70" w:lineRule="auto"/>
        <w:rPr>
          <w:sz w:val="20"/>
          <w:szCs w:val="20"/>
          <w:color w:val="auto"/>
        </w:rPr>
      </w:pPr>
      <w:r>
        <w:rPr>
          <w:rFonts w:ascii="Times New Roman" w:cs="Times New Roman" w:eastAsia="Times New Roman" w:hAnsi="Times New Roman"/>
          <w:sz w:val="17"/>
          <w:szCs w:val="17"/>
          <w:color w:val="auto"/>
        </w:rPr>
        <w:t>VIVITROL product sales, gross, increased by 12% and 8% during the three and nine months ended September 30, 2024, respectively, as compared to the three and nine months ended September 30, 2023, due to increases of 9% and 5%, respectively, in the number of units sold and a 3.2% increase in the selling price that went into effect in January 2024. ARISTADA and ARISTADA INITIO product sales, gross, increased by 4% and 3% during the three and nine months ended September 30, 2024, respectively, as compared to the three and nine months ended September 30, 2023. The increase in ARISTADA and ARISTADA INITIO during the three months ended September 30, 2024, as compared to the three months ended September 30, 2023, was due to an increase of 2% in the number of units sold and a 3.0% increase in the selling price that went into effect in January 2024. The increase in ARISTADA and ARISTADA INITIO during the nine months ended September 30, 2024, as compared to the nine months ended September 30, 2023, was primarily due to the January 2024 increase in the selling price. LYBALVI product sales, gross, increased by 59% and 57% during the three and nine months ended September 30, 2024, respectively, as compared to the three and nine months ended September 30, 2023, due to increases of 50% and 51%, respectively, in the number of units sold and increases in the selling price of 3.8% and 2.0% that went into effect in January 2024 and July 2024, respectively.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product sales, net earned during the three and nine months ended September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113.7</w:t>
            </w:r>
          </w:p>
        </w:tc>
        <w:tc>
          <w:tcPr>
            <w:tcW w:w="4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323.2</w:t>
            </w: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298.0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220" w:type="dxa"/>
            <w:vAlign w:val="bottom"/>
          </w:tcPr>
          <w:p>
            <w:pPr>
              <w:spacing w:after="0"/>
              <w:rPr>
                <w:sz w:val="20"/>
                <w:szCs w:val="20"/>
                <w:color w:val="auto"/>
              </w:rPr>
            </w:pP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135.7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37"/>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231.8</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678.0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29</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-1139825</wp:posOffset>
            </wp:positionV>
            <wp:extent cx="768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-1139825</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-1139825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-1139825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-1139825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Royalty Revenues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compares manufacturing and royalty revenues earned during the three and nine months ended September 30,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4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58.5</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199.9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410.9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(211.0 )</w:t>
            </w:r>
          </w:p>
        </w:tc>
        <w:tc>
          <w:tcPr>
            <w:tcW w:w="0" w:type="dxa"/>
            <w:vAlign w:val="bottom"/>
          </w:tcPr>
          <w:p>
            <w:pPr>
              <w:spacing w:after="0"/>
              <w:rPr>
                <w:sz w:val="1"/>
                <w:szCs w:val="1"/>
                <w:color w:val="auto"/>
              </w:rPr>
            </w:pPr>
          </w:p>
        </w:tc>
      </w:tr>
      <w:tr>
        <w:trPr>
          <w:trHeight w:val="247"/>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VUMERITY</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38.5</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0" w:type="dxa"/>
            <w:vAlign w:val="bottom"/>
          </w:tcPr>
          <w:p>
            <w:pPr>
              <w:spacing w:after="0"/>
              <w:rPr>
                <w:sz w:val="1"/>
                <w:szCs w:val="1"/>
                <w:color w:val="auto"/>
              </w:rPr>
            </w:pPr>
          </w:p>
        </w:tc>
      </w:tr>
      <w:tr>
        <w:trPr>
          <w:trHeight w:val="277"/>
        </w:trPr>
        <w:tc>
          <w:tcPr>
            <w:tcW w:w="4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149.1</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-24765</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-7620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Our agreements with Janssen related to the long-acting INVEGA products provide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For more information about the license agreement with Janssen in respect of the long-acting INVEGA products, see the “Collaborative Arrangements—Janssen” section in “Part I, Item 1—Business” in our Annual Report.</w:t>
      </w:r>
    </w:p>
    <w:p>
      <w:pPr>
        <w:spacing w:after="0" w:line="192" w:lineRule="exact"/>
        <w:rPr>
          <w:sz w:val="20"/>
          <w:szCs w:val="20"/>
          <w:color w:val="auto"/>
        </w:rPr>
      </w:pPr>
    </w:p>
    <w:p>
      <w:pPr>
        <w:ind w:right="100" w:firstLine="374"/>
        <w:spacing w:after="0" w:line="253" w:lineRule="auto"/>
        <w:rPr>
          <w:sz w:val="20"/>
          <w:szCs w:val="20"/>
          <w:color w:val="auto"/>
        </w:rPr>
      </w:pPr>
      <w:r>
        <w:rPr>
          <w:rFonts w:ascii="Times New Roman" w:cs="Times New Roman" w:eastAsia="Times New Roman" w:hAnsi="Times New Roman"/>
          <w:sz w:val="18"/>
          <w:szCs w:val="18"/>
          <w:color w:val="auto"/>
        </w:rPr>
        <w:t>In November 2021, we received notice from Janssen of partial termination of our license agreement under which we provided Janssen with rights to, and know-how, training and technical assistance in respect of, our NanoCrystal technology, which was used to develop the long-acting INVEGA products. The partial termination became effective in February 2022, at which time Janssen ceased paying royalties related to sales of INVEGA SUSTENNA, INVEGA TRINZA and INVEGA HAFYERA. Accordingly, we ceased recognizing royalty revenue related to sales of these products in February 2022. In April 2022, we commenced binding arbitration proceedings related to, among other things, Janssen’s partial termination of this license agreement and Janssen’s royalty and other obligations under the agreement. In May 2023, the Tribunal issued the Final Award, which concluded the arbitration proceedings. The Final Award provided that we were due back royalties and late-payment interest related to 2022 U.S. net sales of the long-acting INVEGA products, and are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94" w:lineRule="exact"/>
        <w:rPr>
          <w:sz w:val="20"/>
          <w:szCs w:val="20"/>
          <w:color w:val="auto"/>
        </w:rPr>
      </w:pPr>
    </w:p>
    <w:p>
      <w:pPr>
        <w:ind w:right="20" w:firstLine="374"/>
        <w:spacing w:after="0" w:line="254" w:lineRule="auto"/>
        <w:rPr>
          <w:sz w:val="20"/>
          <w:szCs w:val="20"/>
          <w:color w:val="auto"/>
        </w:rPr>
      </w:pPr>
      <w:r>
        <w:rPr>
          <w:rFonts w:ascii="Times New Roman" w:cs="Times New Roman" w:eastAsia="Times New Roman" w:hAnsi="Times New Roman"/>
          <w:sz w:val="18"/>
          <w:szCs w:val="18"/>
          <w:color w:val="auto"/>
        </w:rPr>
        <w:t>The decrease in royalty revenues related to the long-acting INVEGA products during the three months ended September 30, 2024, as compared to the three months ended September 30, 2023, was primarily due to the expiration of our royalty on net sales in the U.S. of INVEGA SUSTENNA on August 20, 2024. The decrease in royalty revenues related to the long-acting INVEGA products during the nine months ended September 30, 2024, as compared to the nine months ended September 30, 2023, related to the expiration of the INVEGA SUSTENNA royalty and receipt in June 2023 of back royalties of $195.4 million, inclusive of $8.1 million in late-payment interest, related to 2022 U.S. sales of the long-acting INVEGA products following the successful outcome of the arbitration proceedings described above. The decreases were partially offset by increases in royalty revenue related to worldwide net sales of the long-acting INVEGA products. During the three and nine months ended September 30, 2024, Janssen’s worldwide net sales of the long-acting INVEGA products were $1,049.0 million and $3,159.0 million, respectively, as compared to $1,029.0 million and $3,104.0 million during the three and nine months ended September 30, 2023, respectively.</w:t>
      </w:r>
    </w:p>
    <w:p>
      <w:pPr>
        <w:spacing w:after="0" w:line="188" w:lineRule="exact"/>
        <w:rPr>
          <w:sz w:val="20"/>
          <w:szCs w:val="20"/>
          <w:color w:val="auto"/>
        </w:rPr>
      </w:pPr>
    </w:p>
    <w:p>
      <w:pPr>
        <w:ind w:right="80" w:firstLine="374"/>
        <w:spacing w:after="0" w:line="254" w:lineRule="auto"/>
        <w:rPr>
          <w:sz w:val="20"/>
          <w:szCs w:val="20"/>
          <w:color w:val="auto"/>
        </w:rPr>
      </w:pPr>
      <w:r>
        <w:rPr>
          <w:rFonts w:ascii="Times New Roman" w:cs="Times New Roman" w:eastAsia="Times New Roman" w:hAnsi="Times New Roman"/>
          <w:sz w:val="18"/>
          <w:szCs w:val="18"/>
          <w:color w:val="auto"/>
        </w:rPr>
        <w:t xml:space="preserve">We expect royalty revenues from net sales of the long-acting INVEGA products to decrease in the near-term, as the royalty revenues related to net sales of INVEGA SUSTENNA ended on August 20, 2024. In addition, each of INVEGA SUSTENNA and INVEGA TRINZA is currently subject to Paragraph IV litigation in response to companies seeking to market generic versions of such product. Increased competition from new products or generic versions of any one or more of the long-acting INVEGA products may lead to reduced unit sales of the long-acting INVEGA products, including those not yet genericized, and increased pricing pressure. For a discussion of the legal proceedings related to INVEGA TRINZA, see Note 17,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Contingent Liabilities </w:t>
      </w:r>
      <w:r>
        <w:rPr>
          <w:rFonts w:ascii="Times New Roman" w:cs="Times New Roman" w:eastAsia="Times New Roman" w:hAnsi="Times New Roman"/>
          <w:sz w:val="18"/>
          <w:szCs w:val="18"/>
          <w:color w:val="auto"/>
        </w:rPr>
        <w:t>in the “Notes to Condensed Consolidated Financial Statements” in this Form 10-Q, and for information about risks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 IV legal proceedings, see “Part I, Item 1A—Risk Factors” in our Annual Report, and specifically the section entitled “We or our licensees may face claims against IP rights covering our products and competition from generic drug manufacturers.”</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5"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The decrease in VUMERITY revenue in the three months ended September 30, 2024, as compared to the three months ended September 30, 2023, was due to a $1.0 million decrease in manufacturing revenue and a $0.9 million decrease in royalty revenue. The decrease in manufacturing revenue was primarily due to a reduction in the sales price, which was primarily due to the removal of depreciation expense from the manufacturing cost base as the assets used to manufacture VUMERITY were classified as held for sale and transferred to Novo in connection with the sale of the Athlone Facility. The decrease in royalty revenue was due to a decrease in the end-market sales of VUMERITY. The increase in VUMERITY revenue in the nine months ended September 30, 2024, as compared to the nine months ended September 30, 2023, was due to an increase in royalty revenue of $5.3 million, due to an increase in end-market sales of VUMERITY, partially offset by a decrease in manufacturing revenue of $2.1 million, primarily due to the reduction in sales price previously discussed.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Manufactured and Sold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4"/>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bottom w:val="single" w:sz="8" w:color="auto"/>
            </w:tcBorders>
            <w:gridSpan w:val="2"/>
          </w:tcPr>
          <w:p>
            <w:pPr>
              <w:jc w:val="right"/>
              <w:ind w:right="290"/>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640" w:type="dxa"/>
            <w:vAlign w:val="bottom"/>
            <w:tcBorders>
              <w:bottom w:val="single" w:sz="8" w:color="auto"/>
            </w:tcBorders>
            <w:shd w:val="clear" w:color="auto" w:fill="CFF0FC"/>
          </w:tcPr>
          <w:p>
            <w:pPr>
              <w:jc w:val="right"/>
              <w:ind w:right="46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-25400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-7620</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-7620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11912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4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The increases in the cost of goods manufactured and sold during the three and nine months ended September 30, 2024, as compared to the three and nine months ended September 30, 2023, were primarily related to increases in the cost of goods sold for certain of our proprietary products due to increases in the number of units sold as discussed above, and increases in costs related to out-of-specification batches and investigation costs. These increases were partially offset by decreases in the cost of goods manufactured for certain legacy products that we manufacture, due to a decrease in volume of such products.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preclinical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116" w:lineRule="exact"/>
        <w:rPr>
          <w:sz w:val="20"/>
          <w:szCs w:val="20"/>
          <w:color w:val="auto"/>
        </w:rPr>
      </w:pPr>
    </w:p>
    <w:p>
      <w:pPr>
        <w:ind w:right="380"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three and nine months ended September 30, 2024 and 2023 relating to our then-current development programs and our internal R&amp;D expenses, listed by the nature of such expenses: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8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9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72"/>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22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Development programs: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6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ALKS 2680</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9"/>
        </w:trPr>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LYBALVI</w:t>
            </w: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36"/>
        </w:trPr>
        <w:tc>
          <w:tcPr>
            <w:tcW w:w="4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7"/>
        </w:trPr>
        <w:tc>
          <w:tcPr>
            <w:tcW w:w="42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R&amp;D expenses:</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47"/>
        </w:trPr>
        <w:tc>
          <w:tcPr>
            <w:tcW w:w="42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9"/>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237"/>
        </w:trPr>
        <w:tc>
          <w:tcPr>
            <w:tcW w:w="42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76"/>
        </w:trPr>
        <w:tc>
          <w:tcPr>
            <w:tcW w:w="42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59.8</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(5.1 )  $</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187.1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75"/>
        </w:trPr>
        <w:tc>
          <w:tcPr>
            <w:tcW w:w="1880" w:type="dxa"/>
            <w:vAlign w:val="bottom"/>
            <w:tcBorders>
              <w:top w:val="single" w:sz="8" w:color="CFF0FC"/>
              <w:bottom w:val="single" w:sz="8" w:color="auto"/>
            </w:tcBorders>
          </w:tcPr>
          <w:p>
            <w:pPr>
              <w:spacing w:after="0"/>
              <w:rPr>
                <w:sz w:val="6"/>
                <w:szCs w:val="6"/>
                <w:color w:val="auto"/>
              </w:rPr>
            </w:pPr>
          </w:p>
        </w:tc>
        <w:tc>
          <w:tcPr>
            <w:tcW w:w="238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100" w:type="dxa"/>
            <w:vAlign w:val="bottom"/>
            <w:tcBorders>
              <w:top w:val="single" w:sz="8" w:color="CFF0FC"/>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-1362075</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-1362075</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-1362075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-1362075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-1362075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-419100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-419100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-419100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-419100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-419100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-93980</wp:posOffset>
            </wp:positionV>
            <wp:extent cx="768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-76835</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-93980</wp:posOffset>
            </wp:positionV>
            <wp:extent cx="7747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-76835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-93980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-76835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-93980</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-76835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-93980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-76835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760" w:hanging="378"/>
        <w:spacing w:after="0"/>
        <w:tabs>
          <w:tab w:leader="none" w:pos="7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ind w:right="40" w:firstLine="374"/>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08" w:lineRule="exact"/>
        <w:rPr>
          <w:sz w:val="20"/>
          <w:szCs w:val="20"/>
          <w:color w:val="auto"/>
        </w:rPr>
      </w:pPr>
    </w:p>
    <w:p>
      <w:pPr>
        <w:ind w:right="40" w:firstLine="374"/>
        <w:spacing w:after="0" w:line="253" w:lineRule="auto"/>
        <w:rPr>
          <w:sz w:val="20"/>
          <w:szCs w:val="20"/>
          <w:color w:val="auto"/>
        </w:rPr>
      </w:pPr>
      <w:r>
        <w:rPr>
          <w:rFonts w:ascii="Times New Roman" w:cs="Times New Roman" w:eastAsia="Times New Roman" w:hAnsi="Times New Roman"/>
          <w:sz w:val="18"/>
          <w:szCs w:val="18"/>
          <w:color w:val="auto"/>
        </w:rPr>
        <w:t>The increases in expenses related to ALKS 2680 during the three and nine months ended September 30, 2024, as compared to the three and nine months ended September 30, 2023, were primarily due to increases in spend related to the advancement of the development program for the product, including completion of our phase 1b proof-of-concept study and initiation of our first two phase 2 clinical studies for the product. The increases in expenses related to LYBALVI during the three and nine months ended September 30, 2024, as compared to the three and nine months ended September 30, 2023, were primarily due to increased spend on the pediatric studies related to the product, partially offset by decreased spend following the completion of the long-term safety and tolerability studies for the product. The decreases in other external R&amp;D expenses during the three and nine months ended September 30, 2024, as compared to the three and nine months ended September 30, 2023, were primarily due to disciplined prioritization of R&amp;D spend and activities associated with our research programs. The decreases in employee-related expenses during the three and nine months ended September 30, 2024, as compared to the three and nine months ended September 30, 2023, were primarily due to a decrease in labor and benefits expense related to a 2% decrease in R&amp;D-related headcount.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5"/>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102.1</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114.8</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347.4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371.2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41.6</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7"/>
        </w:trPr>
        <w:tc>
          <w:tcPr>
            <w:tcW w:w="4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156.4</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-25400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-8255</wp:posOffset>
            </wp:positionV>
            <wp:extent cx="7747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1912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06"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40" w:lineRule="exact"/>
        <w:rPr>
          <w:sz w:val="20"/>
          <w:szCs w:val="20"/>
          <w:color w:val="auto"/>
        </w:rPr>
      </w:pPr>
    </w:p>
    <w:p>
      <w:pPr>
        <w:ind w:right="20" w:firstLine="374"/>
        <w:spacing w:after="0" w:line="258" w:lineRule="auto"/>
        <w:rPr>
          <w:sz w:val="20"/>
          <w:szCs w:val="20"/>
          <w:color w:val="auto"/>
        </w:rPr>
      </w:pPr>
      <w:r>
        <w:rPr>
          <w:rFonts w:ascii="Times New Roman" w:cs="Times New Roman" w:eastAsia="Times New Roman" w:hAnsi="Times New Roman"/>
          <w:sz w:val="18"/>
          <w:szCs w:val="18"/>
          <w:color w:val="auto"/>
        </w:rPr>
        <w:t>The decreases in selling and marketing expense during the three and nine months ended September 30, 2024, as compared to the three and nine months ended September 30, 2023, were primarily due to decreases of $11.2 million and $21.6 million, respectively, in marketing expense and decreases of $1.7 million and $2.9 million, respectively, in employee-related expenses. The decreases in marketing expense primarily related to disciplined expense prioritization and the decreases in employee-related expenses were primarily due to decreases in salaries and benefits related to an 8% reduction in sales and marketing headcount.</w:t>
      </w:r>
    </w:p>
    <w:p>
      <w:pPr>
        <w:spacing w:after="0" w:line="183" w:lineRule="exact"/>
        <w:rPr>
          <w:sz w:val="20"/>
          <w:szCs w:val="20"/>
          <w:color w:val="auto"/>
        </w:rPr>
      </w:pPr>
    </w:p>
    <w:p>
      <w:pPr>
        <w:ind w:right="40" w:firstLine="374"/>
        <w:spacing w:after="0" w:line="254" w:lineRule="auto"/>
        <w:rPr>
          <w:sz w:val="20"/>
          <w:szCs w:val="20"/>
          <w:color w:val="auto"/>
        </w:rPr>
      </w:pPr>
      <w:r>
        <w:rPr>
          <w:rFonts w:ascii="Times New Roman" w:cs="Times New Roman" w:eastAsia="Times New Roman" w:hAnsi="Times New Roman"/>
          <w:sz w:val="18"/>
          <w:szCs w:val="18"/>
          <w:color w:val="auto"/>
        </w:rPr>
        <w:t xml:space="preserve">The increase in general and administrative expense during the three months ended September 30, 2024, as compared to the three months ended September 30, 2023, was primarily due to an increase of $2.0 million related to share-based compensation expense and an increase of $1.5 million related to the branded prescription drug fee. The increase in general and administrative expense during the nine months ended September 30, 2024, as compared to the nine months ended September 30, 2023, was primarily due to an increase of $4.4 million in employee-related expenses due to increases in certain payroll-related taxes and in share-based compensation expense related to the vesting of certain performance-based restricted stock unit awards in February 2024, as described in Note 14,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in the “Notes to Condensed Consolidated Financial Statements” in this Form 10-Q. These increases were partially offset by a $7.9 million decrease in professional service fees, primarily related to a decrease in legal expenses during the nine months ended September 30, 2024, as compared to the nine months ended September 30,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10.9</w:t>
            </w:r>
          </w:p>
        </w:tc>
        <w:tc>
          <w:tcPr>
            <w:tcW w:w="4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4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4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-1130935</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-1130935</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-1130935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-1130935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-1130935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 w:name="page33"/>
    <w:bookmarkEnd w:id="32"/>
    <w:p>
      <w:pPr>
        <w:spacing w:after="0" w:line="32" w:lineRule="exact"/>
        <w:rPr>
          <w:sz w:val="20"/>
          <w:szCs w:val="20"/>
          <w:color w:val="auto"/>
        </w:rPr>
      </w:pPr>
    </w:p>
    <w:p>
      <w:pPr>
        <w:ind w:firstLine="374"/>
        <w:spacing w:after="0" w:line="266" w:lineRule="auto"/>
        <w:rPr>
          <w:sz w:val="20"/>
          <w:szCs w:val="20"/>
          <w:color w:val="auto"/>
        </w:rPr>
      </w:pPr>
      <w:r>
        <w:rPr>
          <w:rFonts w:ascii="Times New Roman" w:cs="Times New Roman" w:eastAsia="Times New Roman" w:hAnsi="Times New Roman"/>
          <w:sz w:val="18"/>
          <w:szCs w:val="18"/>
          <w:color w:val="auto"/>
        </w:rPr>
        <w:t>Interest income consists primarily of interest earned on our cash and available-for-sale investments. The increases in interest income in the three and nine months ended September 30, 2024, as compared to the three and nine months ended September 30, 2023, were primarily related to increases in interest rates, due to the rising interest rate environment. Interest expense consists of interest incurred on our 2026 Term Loans.</w:t>
      </w:r>
    </w:p>
    <w:p>
      <w:pPr>
        <w:spacing w:after="0" w:line="176"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The increase in other income (expense), net, during the nine months ended September 30, 2024, as compared to the nine months ended September 30, 2023, were primarily due to the gain on the sale of the Athlone Facility of approximately $1.5 million, following the completion of the sale in May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60" w:type="dxa"/>
            <w:vAlign w:val="bottom"/>
          </w:tcPr>
          <w:p>
            <w:pPr>
              <w:spacing w:after="0"/>
              <w:rPr>
                <w:sz w:val="15"/>
                <w:szCs w:val="15"/>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Borders>
              <w:bottom w:val="single" w:sz="8" w:color="auto"/>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-25400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-25400</wp:posOffset>
            </wp:positionV>
            <wp:extent cx="7747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-7620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11912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33"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67" w:lineRule="exact"/>
        <w:rPr>
          <w:sz w:val="20"/>
          <w:szCs w:val="20"/>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The income tax provisions in the three and nine months ended September 30, 2024, were primarily due to taxes on income earned in Ireland. The income tax provisions in the three and nine months ended September 30, 2023, were primarily due to U.S. federal and state taxes on income earned in the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264.3</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396.3</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317.8</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457.5</w:t>
            </w: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Investments—short-term</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316.0</w:t>
            </w:r>
          </w:p>
        </w:tc>
      </w:tr>
      <w:tr>
        <w:trPr>
          <w:trHeight w:val="247"/>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39.9</w:t>
            </w:r>
          </w:p>
        </w:tc>
      </w:tr>
      <w:tr>
        <w:trPr>
          <w:trHeight w:val="23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560.2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927.8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290.0</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813.4</w:t>
            </w: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borrowings—short and long-term</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6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288.8</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290.7</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-367665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-367665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-367665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-367665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-367665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September 30, 2024 our investments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7"/>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512.6</w:t>
            </w: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220" w:type="dxa"/>
            <w:vAlign w:val="bottom"/>
          </w:tcPr>
          <w:p>
            <w:pPr>
              <w:spacing w:after="0"/>
              <w:rPr>
                <w:sz w:val="20"/>
                <w:szCs w:val="20"/>
                <w:color w:val="auto"/>
              </w:rPr>
            </w:pP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18.8</w:t>
            </w:r>
          </w:p>
        </w:tc>
      </w:tr>
      <w:tr>
        <w:trPr>
          <w:trHeight w:val="24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2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528.0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531.5</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-187960</wp:posOffset>
            </wp:positionV>
            <wp:extent cx="768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-187960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-187960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ind w:right="80" w:firstLine="374"/>
        <w:spacing w:after="0" w:line="255" w:lineRule="auto"/>
        <w:rPr>
          <w:sz w:val="20"/>
          <w:szCs w:val="20"/>
          <w:color w:val="auto"/>
        </w:rPr>
      </w:pPr>
      <w:r>
        <w:rPr>
          <w:rFonts w:ascii="Times New Roman" w:cs="Times New Roman" w:eastAsia="Times New Roman" w:hAnsi="Times New Roman"/>
          <w:sz w:val="18"/>
          <w:szCs w:val="18"/>
          <w:color w:val="auto"/>
        </w:rPr>
        <w:t>We generated $248.7 million and $294.1 million of cash from operating activities during the nine months ended September 30, 2024 and 2023, respectively. We expect that our existing cash, cash equivalents and investments will be sufficient to finance our anticipated working capital and other cash requirements, such as capital expenditures and principal and interest payments on our long-term debt, for at least the 12 months following the date from which our financial statements were issued. Subject to market conditions, interest rates and other factors, we may pursue opportunities to obtain additional financing in the future, including debt and equity offerings, corporate collaborations, bank borrowings, arrangements relating to assets or other financing methods or structures. In addition, the 2026 Term Loans have an incremental facility capacity in an amount of $175.0 million, plus additional potential amounts, provided that we meet certain conditions, including a specified leverage ratio.</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Our investment objectives are, first, to preserve capital and provide sufficient liquidity to satisfy operating requirements and, second, to generate investment income. We mitigate credit risk in our cash reserves by maintaining a well-diversified portfolio that limits the amount of investment exposure as to institution, maturity, sector and investment type. Our available-for-sale investments consist primarily of short and long-term U.S. government and agency debt securities and corporate debt securities.</w:t>
      </w:r>
    </w:p>
    <w:p>
      <w:pPr>
        <w:spacing w:after="0" w:line="180" w:lineRule="exact"/>
        <w:rPr>
          <w:sz w:val="20"/>
          <w:szCs w:val="20"/>
          <w:color w:val="auto"/>
        </w:rPr>
      </w:pPr>
    </w:p>
    <w:p>
      <w:pPr>
        <w:ind w:right="180" w:firstLine="374"/>
        <w:spacing w:after="0" w:line="266" w:lineRule="auto"/>
        <w:rPr>
          <w:sz w:val="20"/>
          <w:szCs w:val="20"/>
          <w:color w:val="auto"/>
        </w:rPr>
      </w:pPr>
      <w:r>
        <w:rPr>
          <w:rFonts w:ascii="Times New Roman" w:cs="Times New Roman" w:eastAsia="Times New Roman" w:hAnsi="Times New Roman"/>
          <w:sz w:val="18"/>
          <w:szCs w:val="18"/>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176" w:lineRule="exact"/>
        <w:rPr>
          <w:sz w:val="20"/>
          <w:szCs w:val="20"/>
          <w:color w:val="auto"/>
        </w:rPr>
      </w:pPr>
    </w:p>
    <w:p>
      <w:pPr>
        <w:ind w:right="640" w:firstLine="374"/>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w:t>
      </w:r>
    </w:p>
    <w:p>
      <w:pPr>
        <w:spacing w:after="0" w:line="160"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 xml:space="preserve">In February 2024, we announced approval by our board of directors of the Repurchase Program, as described in Note 13, </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in the “Notes to Condensed Consolidated Financial Statements” in this Form 10-Q. During the three months ended September 30, 2024, we repurchased approximately 4.4 million of our ordinary shares under the Repurchase Program at a total cost of $115.3 million, exclusive of any fees, commissions or other expenses related to such repurchases. As of September 30, 2024, the remaining amount authorized under the Repurchase Program was $200.0 million.</w:t>
      </w:r>
    </w:p>
    <w:p>
      <w:pPr>
        <w:spacing w:after="0" w:line="185" w:lineRule="exact"/>
        <w:rPr>
          <w:sz w:val="20"/>
          <w:szCs w:val="20"/>
          <w:color w:val="auto"/>
        </w:rPr>
      </w:pPr>
    </w:p>
    <w:p>
      <w:pPr>
        <w:jc w:val="both"/>
        <w:ind w:right="220" w:firstLine="374"/>
        <w:spacing w:after="0" w:line="266"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consolidated statements of cash flows. The discussion of our cash flows that follows does not include the impact of any adjustments to remove discontinued operations and is stated on a total company consolidated basis. The following table summarizes our cash flows for the nine months ended September 30, 2024 and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457.5</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292.5</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6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248.7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294.1</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74.3</w:t>
            </w: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396.3</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300" w:firstLine="374"/>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cash flow is derived by adjusting our net income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180" w:lineRule="exact"/>
        <w:rPr>
          <w:sz w:val="20"/>
          <w:szCs w:val="20"/>
          <w:color w:val="auto"/>
        </w:rPr>
      </w:pPr>
    </w:p>
    <w:p>
      <w:pPr>
        <w:ind w:right="40" w:firstLine="374"/>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for the nine months ended September 30, 2024 were $248.7 million and primarily consisted of net income of $220.6 million, adjusted for non-cash items including share-based compensation of $75.9 million, depreciation and amortization of $21.7 million, deferred income taxes of $32.3 million and gain on the sale of the Athlone Facility of $1.5 million, partially offset by changes in working capital of $105.1 million.</w:t>
      </w:r>
    </w:p>
    <w:p>
      <w:pPr>
        <w:spacing w:after="0" w:line="180" w:lineRule="exact"/>
        <w:rPr>
          <w:sz w:val="20"/>
          <w:szCs w:val="20"/>
          <w:color w:val="auto"/>
        </w:rPr>
      </w:pPr>
    </w:p>
    <w:p>
      <w:pPr>
        <w:ind w:right="40" w:firstLine="374"/>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for the nine months ended September 30, 2023 were $294.1 million and primarily consisted of net income of $243.0 million, adjusted for non-cash items including share-based compensation of $75.1 million and depreciation and amortization of $56.4 million, partially offset by changes in working capital of $34.3 million and deferred income taxes of $47.4 million. During the nine months ended September 30, 2023, net income included receipt of $195.4 million from Janssen, inclusive of $8.1 million in late-payment interest, related to 2022 U.S. net sales of the long-acting INVEGA products following the successful outcome of the arbitration proceedings in respect of such products.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00" w:firstLine="374"/>
        <w:spacing w:after="0" w:line="258" w:lineRule="auto"/>
        <w:rPr>
          <w:sz w:val="20"/>
          <w:szCs w:val="20"/>
          <w:color w:val="auto"/>
        </w:rPr>
      </w:pPr>
      <w:r>
        <w:rPr>
          <w:rFonts w:ascii="Times New Roman" w:cs="Times New Roman" w:eastAsia="Times New Roman" w:hAnsi="Times New Roman"/>
          <w:sz w:val="18"/>
          <w:szCs w:val="18"/>
          <w:color w:val="auto"/>
        </w:rPr>
        <w:t>Cash flows used in investing activities for the nine months ended September 30, 2024 were primarily due to $172.1 million in net purchases of investments and $23.7 million in the purchase of property, plant and equipment, partially offset by proceeds related to the sale of the Athlone Facility of approximately $97.9 million, which included a payment of approximately $91.0 million for the facility and certain related assets. Cash flows provided by investing activities for the nine months ended September 30, 2023 were primarily due to $105.4 million in net sales of investments, offset by the purchase of $31.0 million of property, plant and equipment.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374"/>
        <w:spacing w:after="0" w:line="258" w:lineRule="auto"/>
        <w:rPr>
          <w:sz w:val="20"/>
          <w:szCs w:val="20"/>
          <w:color w:val="auto"/>
        </w:rPr>
      </w:pPr>
      <w:r>
        <w:rPr>
          <w:rFonts w:ascii="Times New Roman" w:cs="Times New Roman" w:eastAsia="Times New Roman" w:hAnsi="Times New Roman"/>
          <w:sz w:val="18"/>
          <w:szCs w:val="18"/>
          <w:color w:val="auto"/>
        </w:rPr>
        <w:t>Cash flows used in financing activities for the nine months ended September 30, 2024 primarily related to $200.0 million (exclusive of any fees, commissions or other related expenses) used to repurchase our ordinary shares under the Repurchase Program and $29.3 million of employee taxes paid related to the net share settlement of equity awards, partially offset by $19.4 million of cash that we received upon exercises of employee stock options. Cash flows used in financing activities for the nine months ended September 30, 2023 primarily related to $26.1 million of employee taxes paid related to the net share settlement of equity awards, partially offset by $15.1 million of cash that we received upon exercises of employee stock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260" w:firstLine="374"/>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2024, the principal balance of our borrowings consisted of $289.5 million outstanding under our 2026 Term Loans. See Note 12, </w:t>
      </w: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in the “Notes to Condensed Consolidated Financial Statements” in this Form 10-Q for further discussion of our 2026 Term Loans.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Estimates</w:t>
      </w:r>
    </w:p>
    <w:p>
      <w:pPr>
        <w:spacing w:after="0" w:line="227" w:lineRule="exact"/>
        <w:rPr>
          <w:sz w:val="20"/>
          <w:szCs w:val="20"/>
          <w:color w:val="auto"/>
        </w:rPr>
      </w:pPr>
    </w:p>
    <w:p>
      <w:pPr>
        <w:ind w:right="80" w:firstLine="374"/>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conditions or using different assumptions.</w:t>
      </w:r>
    </w:p>
    <w:p>
      <w:pPr>
        <w:spacing w:after="0" w:line="180" w:lineRule="exact"/>
        <w:rPr>
          <w:sz w:val="20"/>
          <w:szCs w:val="20"/>
          <w:color w:val="auto"/>
        </w:rPr>
      </w:pPr>
    </w:p>
    <w:p>
      <w:pPr>
        <w:ind w:right="240" w:firstLine="374"/>
        <w:spacing w:after="0" w:line="282" w:lineRule="auto"/>
        <w:rPr>
          <w:sz w:val="20"/>
          <w:szCs w:val="20"/>
          <w:color w:val="auto"/>
        </w:rPr>
      </w:pPr>
      <w:r>
        <w:rPr>
          <w:rFonts w:ascii="Times New Roman" w:cs="Times New Roman" w:eastAsia="Times New Roman" w:hAnsi="Times New Roman"/>
          <w:sz w:val="18"/>
          <w:szCs w:val="18"/>
          <w:color w:val="auto"/>
        </w:rPr>
        <w:t>See the “Critical Accounting Estimates” section in “Part II, Item 7—Management’s Discussion and Analysis of Financial Condition and Results of Operations” in our Annual Report for a discussion of our critical accounting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225" w:lineRule="exact"/>
        <w:rPr>
          <w:sz w:val="20"/>
          <w:szCs w:val="20"/>
          <w:color w:val="auto"/>
        </w:rPr>
      </w:pPr>
    </w:p>
    <w:p>
      <w:pPr>
        <w:ind w:right="60" w:firstLine="374"/>
        <w:spacing w:after="0" w:line="284" w:lineRule="auto"/>
        <w:rPr>
          <w:sz w:val="20"/>
          <w:szCs w:val="20"/>
          <w:color w:val="auto"/>
        </w:rPr>
      </w:pPr>
      <w:r>
        <w:rPr>
          <w:rFonts w:ascii="Times New Roman" w:cs="Times New Roman" w:eastAsia="Times New Roman" w:hAnsi="Times New Roman"/>
          <w:sz w:val="18"/>
          <w:szCs w:val="18"/>
          <w:color w:val="auto"/>
        </w:rPr>
        <w:t xml:space="preserve">See the “New Accounting Pronouncements” section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Condensed Consolidated Financial Statements” in this Form 10-Q for discussion of certain recent accounting standards applicable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40" w:firstLine="374"/>
        <w:spacing w:after="0" w:line="256" w:lineRule="auto"/>
        <w:rPr>
          <w:sz w:val="20"/>
          <w:szCs w:val="20"/>
          <w:color w:val="auto"/>
        </w:rPr>
      </w:pPr>
      <w:r>
        <w:rPr>
          <w:rFonts w:ascii="Times New Roman" w:cs="Times New Roman" w:eastAsia="Times New Roman" w:hAnsi="Times New Roman"/>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2023, and we do not anticipate any near-term changes in the nature of our market risk exposures or in our management’s objectives and strategies with respect to managing such exposures.</w:t>
      </w:r>
    </w:p>
    <w:p>
      <w:pPr>
        <w:spacing w:after="0" w:line="147" w:lineRule="exact"/>
        <w:rPr>
          <w:sz w:val="20"/>
          <w:szCs w:val="20"/>
          <w:color w:val="auto"/>
        </w:rPr>
      </w:pPr>
    </w:p>
    <w:p>
      <w:pPr>
        <w:ind w:firstLine="374"/>
        <w:spacing w:after="0" w:line="261" w:lineRule="auto"/>
        <w:rPr>
          <w:sz w:val="20"/>
          <w:szCs w:val="20"/>
          <w:color w:val="auto"/>
        </w:rPr>
      </w:pPr>
      <w:r>
        <w:rPr>
          <w:rFonts w:ascii="Times New Roman" w:cs="Times New Roman" w:eastAsia="Times New Roman" w:hAnsi="Times New Roman"/>
          <w:sz w:val="18"/>
          <w:szCs w:val="18"/>
          <w:color w:val="auto"/>
        </w:rPr>
        <w:t>We are exposed to non-U.S. currency exchange risk related to manufacturing and royalty revenues that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w:t>
      </w:r>
    </w:p>
    <w:p>
      <w:pPr>
        <w:spacing w:after="0" w:line="2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3" w:right="379" w:bottom="1440" w:gutter="0" w:footer="0" w:header="0"/>
        </w:sectPr>
      </w:pPr>
    </w:p>
    <w:bookmarkStart w:id="35" w:name="page36"/>
    <w:bookmarkEnd w:id="35"/>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our assessment of our sensitivity to non-U.S. currency exchange rate risk since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00" w:lineRule="exact"/>
        <w:rPr>
          <w:sz w:val="20"/>
          <w:szCs w:val="20"/>
          <w:color w:val="auto"/>
        </w:rPr>
      </w:pPr>
    </w:p>
    <w:p>
      <w:pPr>
        <w:ind w:firstLine="374"/>
        <w:spacing w:after="0" w:line="25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interim principal financial officer, the effectiveness of our disclosure controls and procedures (as defined in Rules 13a-15(e) and 15d-15(e) under the Exchange Act) as of September 30, 2024. Based upon that evaluation, our principal executive officer and interim principal financial officer each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interim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Change in Internal Control Over Financial Reporting</w:t>
      </w:r>
    </w:p>
    <w:p>
      <w:pPr>
        <w:spacing w:after="0" w:line="187"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there have been no changes in our internal control over financial reporting that have materially affected, or are reasonably likely to materially affect, our internal control over financial reporting.</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87" w:lineRule="exact"/>
        <w:rPr>
          <w:sz w:val="20"/>
          <w:szCs w:val="20"/>
          <w:color w:val="auto"/>
        </w:rPr>
      </w:pPr>
    </w:p>
    <w:p>
      <w:pPr>
        <w:ind w:right="480" w:firstLine="374"/>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see the discussion of legal proceedings in Note 17,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Condensed Consolidated Financial Statements” in this Form 10-Q, which discussion is incorporated into this Part II, Item 1 by reference.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our risk factors, see “Part I, Item 1A—Risk Factors” in our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purchases of our ordinary shares made by or on behalf of us or any of our affiliated purchasers, as defined in Rule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10b-18(a)(3) under the Exchange Act, during the three months ended September 30,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Value (in millions)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restart"/>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Total Number of Ordinary</w:t>
            </w:r>
          </w:p>
        </w:tc>
        <w:tc>
          <w:tcPr>
            <w:tcW w:w="260" w:type="dxa"/>
            <w:vAlign w:val="bottom"/>
          </w:tcPr>
          <w:p>
            <w:pPr>
              <w:spacing w:after="0"/>
              <w:rPr>
                <w:sz w:val="12"/>
                <w:szCs w:val="12"/>
                <w:color w:val="auto"/>
              </w:rPr>
            </w:pPr>
          </w:p>
        </w:tc>
        <w:tc>
          <w:tcPr>
            <w:tcW w:w="1760" w:type="dxa"/>
            <w:vAlign w:val="bottom"/>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 w:type="dxa"/>
            <w:vAlign w:val="bottom"/>
          </w:tcPr>
          <w:p>
            <w:pPr>
              <w:spacing w:after="0"/>
              <w:rPr>
                <w:sz w:val="12"/>
                <w:szCs w:val="12"/>
                <w:color w:val="auto"/>
              </w:rPr>
            </w:pPr>
          </w:p>
        </w:tc>
        <w:tc>
          <w:tcPr>
            <w:tcW w:w="176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02"/>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that</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center"/>
              <w:ind w:right="87"/>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0" w:type="dxa"/>
            <w:vAlign w:val="bottom"/>
          </w:tcPr>
          <w:p>
            <w:pPr>
              <w:spacing w:after="0"/>
              <w:rPr>
                <w:sz w:val="12"/>
                <w:szCs w:val="12"/>
                <w:color w:val="auto"/>
              </w:rPr>
            </w:pPr>
          </w:p>
        </w:tc>
        <w:tc>
          <w:tcPr>
            <w:tcW w:w="1720" w:type="dxa"/>
            <w:vAlign w:val="bottom"/>
            <w:gridSpan w:val="2"/>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200" w:type="dxa"/>
            <w:vAlign w:val="bottom"/>
            <w:gridSpan w:val="2"/>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820" w:type="dxa"/>
            <w:vAlign w:val="bottom"/>
          </w:tcPr>
          <w:p>
            <w:pPr>
              <w:jc w:val="center"/>
              <w:ind w:right="44"/>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jc w:val="center"/>
              <w:ind w:right="256"/>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00" w:type="dxa"/>
            <w:vAlign w:val="bottom"/>
          </w:tcPr>
          <w:p>
            <w:pPr>
              <w:spacing w:after="0"/>
              <w:rPr>
                <w:sz w:val="12"/>
                <w:szCs w:val="12"/>
                <w:color w:val="auto"/>
              </w:rPr>
            </w:pPr>
          </w:p>
        </w:tc>
        <w:tc>
          <w:tcPr>
            <w:tcW w:w="1760" w:type="dxa"/>
            <w:vAlign w:val="bottom"/>
          </w:tcPr>
          <w:p>
            <w:pPr>
              <w:jc w:val="center"/>
              <w:ind w:right="47"/>
              <w:spacing w:after="0" w:line="146" w:lineRule="exact"/>
              <w:rPr>
                <w:sz w:val="20"/>
                <w:szCs w:val="20"/>
                <w:color w:val="auto"/>
              </w:rPr>
            </w:pPr>
            <w:r>
              <w:rPr>
                <w:rFonts w:ascii="Times New Roman" w:cs="Times New Roman" w:eastAsia="Times New Roman" w:hAnsi="Times New Roman"/>
                <w:sz w:val="14"/>
                <w:szCs w:val="14"/>
                <w:b w:val="1"/>
                <w:bCs w:val="1"/>
                <w:color w:val="auto"/>
              </w:rPr>
              <w:t>Program</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02"/>
              <w:spacing w:after="0" w:line="146"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20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0" w:type="dxa"/>
            <w:vAlign w:val="bottom"/>
          </w:tcPr>
          <w:p>
            <w:pPr>
              <w:spacing w:after="0"/>
              <w:rPr>
                <w:sz w:val="16"/>
                <w:szCs w:val="16"/>
                <w:color w:val="auto"/>
              </w:rPr>
            </w:pPr>
          </w:p>
        </w:tc>
        <w:tc>
          <w:tcPr>
            <w:tcW w:w="1760" w:type="dxa"/>
            <w:vAlign w:val="bottom"/>
            <w:tcBorders>
              <w:bottom w:val="single" w:sz="8" w:color="auto"/>
            </w:tcBorders>
          </w:tcPr>
          <w:p>
            <w:pPr>
              <w:jc w:val="center"/>
              <w:ind w:right="67"/>
              <w:spacing w:after="0" w:line="189" w:lineRule="exact"/>
              <w:rPr>
                <w:sz w:val="20"/>
                <w:szCs w:val="20"/>
                <w:color w:val="auto"/>
              </w:rPr>
            </w:pPr>
            <w:r>
              <w:rPr>
                <w:rFonts w:ascii="Times New Roman" w:cs="Times New Roman" w:eastAsia="Times New Roman" w:hAnsi="Times New Roman"/>
                <w:sz w:val="13"/>
                <w:szCs w:val="13"/>
                <w:b w:val="1"/>
                <w:bCs w:val="1"/>
                <w:color w:val="auto"/>
                <w:w w:val="97"/>
              </w:rPr>
              <w:t>(c)</w:t>
            </w:r>
            <w:r>
              <w:rPr>
                <w:rFonts w:ascii="Times New Roman" w:cs="Times New Roman" w:eastAsia="Times New Roman" w:hAnsi="Times New Roman"/>
                <w:sz w:val="21"/>
                <w:szCs w:val="21"/>
                <w:b w:val="1"/>
                <w:bCs w:val="1"/>
                <w:color w:val="auto"/>
                <w:w w:val="97"/>
                <w:vertAlign w:val="superscript"/>
              </w:rPr>
              <w:t>(2)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62"/>
              <w:spacing w:after="0" w:line="189" w:lineRule="exact"/>
              <w:rPr>
                <w:sz w:val="20"/>
                <w:szCs w:val="20"/>
                <w:color w:val="auto"/>
              </w:rPr>
            </w:pPr>
            <w:r>
              <w:rPr>
                <w:rFonts w:ascii="Times New Roman" w:cs="Times New Roman" w:eastAsia="Times New Roman" w:hAnsi="Times New Roman"/>
                <w:sz w:val="13"/>
                <w:szCs w:val="13"/>
                <w:b w:val="1"/>
                <w:bCs w:val="1"/>
                <w:color w:val="auto"/>
                <w:w w:val="99"/>
              </w:rPr>
              <w:t>(d)</w:t>
            </w:r>
            <w:r>
              <w:rPr>
                <w:rFonts w:ascii="Times New Roman" w:cs="Times New Roman" w:eastAsia="Times New Roman" w:hAnsi="Times New Roman"/>
                <w:sz w:val="21"/>
                <w:szCs w:val="21"/>
                <w:b w:val="1"/>
                <w:bCs w:val="1"/>
                <w:color w:val="auto"/>
                <w:w w:val="99"/>
                <w:vertAlign w:val="superscript"/>
              </w:rPr>
              <w:t>(2)</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9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1,857,101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24.83</w:t>
            </w:r>
          </w:p>
        </w:tc>
        <w:tc>
          <w:tcPr>
            <w:tcW w:w="196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1,854,375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269.3</w:t>
            </w: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94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1,668,522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27.09</w:t>
            </w:r>
          </w:p>
        </w:tc>
        <w:tc>
          <w:tcPr>
            <w:tcW w:w="1960" w:type="dxa"/>
            <w:vAlign w:val="bottom"/>
            <w:gridSpan w:val="2"/>
          </w:tcPr>
          <w:p>
            <w:pPr>
              <w:jc w:val="right"/>
              <w:ind w:right="47"/>
              <w:spacing w:after="0"/>
              <w:rPr>
                <w:sz w:val="20"/>
                <w:szCs w:val="20"/>
                <w:color w:val="auto"/>
              </w:rPr>
            </w:pPr>
            <w:r>
              <w:rPr>
                <w:rFonts w:ascii="Times New Roman" w:cs="Times New Roman" w:eastAsia="Times New Roman" w:hAnsi="Times New Roman"/>
                <w:sz w:val="18"/>
                <w:szCs w:val="18"/>
                <w:color w:val="auto"/>
              </w:rPr>
              <w:t>1,664,844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47"/>
        </w:trPr>
        <w:tc>
          <w:tcPr>
            <w:tcW w:w="80" w:type="dxa"/>
            <w:vAlign w:val="bottom"/>
          </w:tcPr>
          <w:p>
            <w:pPr>
              <w:spacing w:after="0"/>
              <w:rPr>
                <w:sz w:val="21"/>
                <w:szCs w:val="21"/>
                <w:color w:val="auto"/>
              </w:rPr>
            </w:pPr>
          </w:p>
        </w:tc>
        <w:tc>
          <w:tcPr>
            <w:tcW w:w="32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940" w:type="dxa"/>
            <w:vAlign w:val="bottom"/>
            <w:gridSpan w:val="2"/>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883,759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27.81</w:t>
            </w:r>
          </w:p>
        </w:tc>
        <w:tc>
          <w:tcPr>
            <w:tcW w:w="1960" w:type="dxa"/>
            <w:vAlign w:val="bottom"/>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8"/>
                <w:szCs w:val="18"/>
                <w:color w:val="auto"/>
              </w:rPr>
              <w:t>879,011</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2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Pr>
          <w:p>
            <w:pPr>
              <w:spacing w:after="0"/>
              <w:rPr>
                <w:sz w:val="20"/>
                <w:szCs w:val="20"/>
                <w:color w:val="auto"/>
              </w:rPr>
            </w:pPr>
          </w:p>
        </w:tc>
        <w:tc>
          <w:tcPr>
            <w:tcW w:w="18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rPr>
              <w:t>4,409,382</w:t>
            </w:r>
          </w:p>
        </w:tc>
        <w:tc>
          <w:tcPr>
            <w:tcW w:w="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7"/>
              </w:rPr>
              <w:t>(1)</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26.22</w:t>
            </w:r>
          </w:p>
        </w:tc>
        <w:tc>
          <w:tcPr>
            <w:tcW w:w="200" w:type="dxa"/>
            <w:vAlign w:val="bottom"/>
          </w:tcPr>
          <w:p>
            <w:pPr>
              <w:spacing w:after="0"/>
              <w:rPr>
                <w:sz w:val="20"/>
                <w:szCs w:val="20"/>
                <w:color w:val="auto"/>
              </w:rPr>
            </w:pPr>
          </w:p>
        </w:tc>
        <w:tc>
          <w:tcPr>
            <w:tcW w:w="1760" w:type="dxa"/>
            <w:vAlign w:val="bottom"/>
            <w:tcBorders>
              <w:top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8"/>
                <w:szCs w:val="18"/>
                <w:color w:val="auto"/>
              </w:rPr>
              <w:t>4,398,230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00" w:right="60" w:hanging="383"/>
        <w:spacing w:after="0" w:line="281"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total number of ordinary shares purchased shown in column (a) and the total number of ordinary shares purchased as part of the publicly announced Repurchase Program shown in column (c) consists of 11,152 ordinary shares acquired during the three months ended September 30, 2024 to satisfy withholding tax obligations related to the vesting of equity awards.</w:t>
      </w:r>
    </w:p>
    <w:p>
      <w:pPr>
        <w:spacing w:after="0" w:line="69" w:lineRule="exact"/>
        <w:rPr>
          <w:rFonts w:ascii="Times New Roman" w:cs="Times New Roman" w:eastAsia="Times New Roman" w:hAnsi="Times New Roman"/>
          <w:sz w:val="16"/>
          <w:szCs w:val="16"/>
          <w:color w:val="auto"/>
        </w:rPr>
      </w:pPr>
    </w:p>
    <w:p>
      <w:pPr>
        <w:ind w:left="900" w:right="60" w:hanging="383"/>
        <w:spacing w:after="0" w:line="272" w:lineRule="auto"/>
        <w:tabs>
          <w:tab w:leader="none" w:pos="9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9" w:lineRule="exact"/>
        <w:rPr>
          <w:sz w:val="20"/>
          <w:szCs w:val="20"/>
          <w:color w:val="auto"/>
        </w:rPr>
      </w:pPr>
    </w:p>
    <w:p>
      <w:pPr>
        <w:ind w:firstLine="374"/>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2024, the following officers (as defined in Rule 16a-1(f) under the Exchange Act) of the Company adopted contracts, instructions or written plans for the purchase or sale of the Company’s securities that were intended to satisfy the affirmative defense conditions of Rule 10b5-1(c) under the Exchange Act (each, a “Rule 10b5-1 plan”): on August 23, 2024, Christian Todd Nichols, our Senior Vice President Chief Commercial Officer, adopted a Rule 10b5-1 plan providing for the sale of up to 5,208 ordinary shares of the Company; this plan is scheduled to expire on December 31, 2024. On September 11, 2024, Samuel Parisi, our VP, Finance and Interim Chief Accounting Officer, adopted a Rule 10b5-1 plan providing for the sale of up to 10,177 ordinary shares of the Company (including shares that may be obtained from the vesting of restricted stock unit awards); this plan is scheduled to expire on February 20, 2026. During the three months ended September 30, 2024, no other officers or directors of the Company adopted, modified or terminated a Rule 10b5-1 plan or a trading plan not intended to satisfy the affirmative defense conditions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Form 10-Q:</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9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9"/>
        </w:trPr>
        <w:tc>
          <w:tcPr>
            <w:tcW w:w="13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31.1 #</w:t>
            </w:r>
          </w:p>
        </w:tc>
        <w:tc>
          <w:tcPr>
            <w:tcW w:w="100" w:type="dxa"/>
            <w:vAlign w:val="bottom"/>
            <w:shd w:val="clear" w:color="auto" w:fill="CFF0FC"/>
          </w:tcPr>
          <w:p>
            <w:pPr>
              <w:spacing w:after="0"/>
              <w:rPr>
                <w:sz w:val="16"/>
                <w:szCs w:val="16"/>
                <w:color w:val="auto"/>
              </w:rPr>
            </w:pPr>
          </w:p>
        </w:tc>
        <w:tc>
          <w:tcPr>
            <w:tcW w:w="9780" w:type="dxa"/>
            <w:vAlign w:val="bottom"/>
            <w:gridSpan w:val="5"/>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34"/>
        </w:trPr>
        <w:tc>
          <w:tcPr>
            <w:tcW w:w="13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440" w:type="dxa"/>
            <w:vAlign w:val="bottom"/>
            <w:tcBorders>
              <w:top w:val="single" w:sz="8" w:color="0000FF"/>
            </w:tcBorders>
            <w:shd w:val="clear" w:color="auto" w:fill="CFF0FC"/>
          </w:tcPr>
          <w:p>
            <w:pPr>
              <w:spacing w:after="0"/>
              <w:rPr>
                <w:sz w:val="2"/>
                <w:szCs w:val="2"/>
                <w:color w:val="auto"/>
              </w:rPr>
            </w:pPr>
          </w:p>
        </w:tc>
        <w:tc>
          <w:tcPr>
            <w:tcW w:w="586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r>
      <w:tr>
        <w:trPr>
          <w:trHeight w:val="189"/>
        </w:trPr>
        <w:tc>
          <w:tcPr>
            <w:tcW w:w="136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31.2 #</w:t>
            </w:r>
          </w:p>
        </w:tc>
        <w:tc>
          <w:tcPr>
            <w:tcW w:w="100" w:type="dxa"/>
            <w:vAlign w:val="bottom"/>
          </w:tcPr>
          <w:p>
            <w:pPr>
              <w:spacing w:after="0"/>
              <w:rPr>
                <w:sz w:val="16"/>
                <w:szCs w:val="16"/>
                <w:color w:val="auto"/>
              </w:rPr>
            </w:pPr>
          </w:p>
        </w:tc>
        <w:tc>
          <w:tcPr>
            <w:tcW w:w="978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w:t>
            </w:r>
          </w:p>
        </w:tc>
      </w:tr>
      <w:tr>
        <w:trPr>
          <w:trHeight w:val="34"/>
        </w:trPr>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1360" w:type="dxa"/>
            <w:vAlign w:val="bottom"/>
            <w:shd w:val="clear" w:color="auto" w:fill="CFF0FC"/>
          </w:tcPr>
          <w:p>
            <w:pPr>
              <w:ind w:left="120"/>
              <w:spacing w:after="0" w:line="189" w:lineRule="exact"/>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FF0FC"/>
          </w:tcPr>
          <w:p>
            <w:pPr>
              <w:spacing w:after="0"/>
              <w:rPr>
                <w:sz w:val="16"/>
                <w:szCs w:val="16"/>
                <w:color w:val="auto"/>
              </w:rPr>
            </w:pPr>
          </w:p>
        </w:tc>
        <w:tc>
          <w:tcPr>
            <w:tcW w:w="9780" w:type="dxa"/>
            <w:vAlign w:val="bottom"/>
            <w:gridSpan w:val="5"/>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r>
      <w:tr>
        <w:trPr>
          <w:trHeight w:val="34"/>
        </w:trPr>
        <w:tc>
          <w:tcPr>
            <w:tcW w:w="136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0000FF"/>
            </w:tcBorders>
            <w:shd w:val="clear" w:color="auto" w:fill="CFF0FC"/>
          </w:tcPr>
          <w:p>
            <w:pPr>
              <w:spacing w:after="0"/>
              <w:rPr>
                <w:sz w:val="2"/>
                <w:szCs w:val="2"/>
                <w:color w:val="auto"/>
              </w:rPr>
            </w:pPr>
          </w:p>
        </w:tc>
        <w:tc>
          <w:tcPr>
            <w:tcW w:w="2440" w:type="dxa"/>
            <w:vAlign w:val="bottom"/>
            <w:tcBorders>
              <w:top w:val="single" w:sz="8" w:color="0000FF"/>
            </w:tcBorders>
            <w:shd w:val="clear" w:color="auto" w:fill="CFF0FC"/>
          </w:tcPr>
          <w:p>
            <w:pPr>
              <w:spacing w:after="0"/>
              <w:rPr>
                <w:sz w:val="2"/>
                <w:szCs w:val="2"/>
                <w:color w:val="auto"/>
              </w:rPr>
            </w:pPr>
          </w:p>
        </w:tc>
        <w:tc>
          <w:tcPr>
            <w:tcW w:w="5860" w:type="dxa"/>
            <w:vAlign w:val="bottom"/>
            <w:tcBorders>
              <w:top w:val="single" w:sz="8" w:color="0000FF"/>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r>
      <w:tr>
        <w:trPr>
          <w:trHeight w:val="239"/>
        </w:trPr>
        <w:tc>
          <w:tcPr>
            <w:tcW w:w="1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101.SCH #</w:t>
            </w:r>
          </w:p>
        </w:tc>
        <w:tc>
          <w:tcPr>
            <w:tcW w:w="100" w:type="dxa"/>
            <w:vAlign w:val="bottom"/>
          </w:tcPr>
          <w:p>
            <w:pPr>
              <w:spacing w:after="0"/>
              <w:rPr>
                <w:sz w:val="20"/>
                <w:szCs w:val="20"/>
                <w:color w:val="auto"/>
              </w:rPr>
            </w:pPr>
          </w:p>
        </w:tc>
        <w:tc>
          <w:tcPr>
            <w:tcW w:w="97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r>
        <w:trPr>
          <w:trHeight w:val="215"/>
        </w:trPr>
        <w:tc>
          <w:tcPr>
            <w:tcW w:w="1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shd w:val="clear" w:color="auto" w:fill="CFF0FC"/>
          </w:tcPr>
          <w:p>
            <w:pPr>
              <w:spacing w:after="0"/>
              <w:rPr>
                <w:sz w:val="18"/>
                <w:szCs w:val="18"/>
                <w:color w:val="auto"/>
              </w:rPr>
            </w:pPr>
          </w:p>
        </w:tc>
        <w:tc>
          <w:tcPr>
            <w:tcW w:w="978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w:t>
            </w:r>
          </w:p>
        </w:tc>
      </w:tr>
      <w:tr>
        <w:trPr>
          <w:trHeight w:val="248"/>
        </w:trPr>
        <w:tc>
          <w:tcPr>
            <w:tcW w:w="1360" w:type="dxa"/>
            <w:vAlign w:val="bottom"/>
            <w:shd w:val="clear" w:color="auto" w:fill="CFF0FC"/>
          </w:tcPr>
          <w:p>
            <w:pPr>
              <w:spacing w:after="0"/>
              <w:rPr>
                <w:sz w:val="21"/>
                <w:szCs w:val="21"/>
                <w:color w:val="auto"/>
              </w:rPr>
            </w:pPr>
          </w:p>
        </w:tc>
        <w:tc>
          <w:tcPr>
            <w:tcW w:w="52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2440" w:type="dxa"/>
            <w:vAlign w:val="bottom"/>
            <w:shd w:val="clear" w:color="auto" w:fill="CFF0FC"/>
          </w:tcPr>
          <w:p>
            <w:pPr>
              <w:spacing w:after="0"/>
              <w:rPr>
                <w:sz w:val="21"/>
                <w:szCs w:val="21"/>
                <w:color w:val="auto"/>
              </w:rPr>
            </w:pPr>
          </w:p>
        </w:tc>
        <w:tc>
          <w:tcPr>
            <w:tcW w:w="58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135"/>
        </w:trPr>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60" w:type="dxa"/>
            <w:vAlign w:val="bottom"/>
          </w:tcPr>
          <w:p>
            <w:pPr>
              <w:spacing w:after="0"/>
              <w:rPr>
                <w:sz w:val="11"/>
                <w:szCs w:val="1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8" w:name="page39"/>
    <w:bookmarkEnd w:id="38"/>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ALKERMES PLC</w:t>
      </w:r>
    </w:p>
    <w:p>
      <w:pPr>
        <w:spacing w:after="0" w:line="27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tbl>
      <w:tblPr>
        <w:tblLayout w:type="fixed"/>
        <w:tblInd w:w="340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34"/>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Richard F. Pops</w:t>
            </w:r>
          </w:p>
        </w:tc>
      </w:tr>
      <w:tr>
        <w:trPr>
          <w:trHeight w:val="238"/>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43"/>
        </w:trPr>
        <w:tc>
          <w:tcPr>
            <w:tcW w:w="440" w:type="dxa"/>
            <w:vAlign w:val="bottom"/>
          </w:tcPr>
          <w:p>
            <w:pPr>
              <w:spacing w:after="0"/>
              <w:rPr>
                <w:sz w:val="21"/>
                <w:szCs w:val="21"/>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3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234"/>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Blair C. Jackson</w:t>
            </w:r>
          </w:p>
        </w:tc>
      </w:tr>
      <w:tr>
        <w:trPr>
          <w:trHeight w:val="238"/>
        </w:trPr>
        <w:tc>
          <w:tcPr>
            <w:tcW w:w="440" w:type="dxa"/>
            <w:vAlign w:val="bottom"/>
          </w:tcPr>
          <w:p>
            <w:pPr>
              <w:spacing w:after="0"/>
              <w:rPr>
                <w:sz w:val="20"/>
                <w:szCs w:val="20"/>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43"/>
        </w:trPr>
        <w:tc>
          <w:tcPr>
            <w:tcW w:w="440" w:type="dxa"/>
            <w:vAlign w:val="bottom"/>
          </w:tcPr>
          <w:p>
            <w:pPr>
              <w:spacing w:after="0"/>
              <w:rPr>
                <w:sz w:val="21"/>
                <w:szCs w:val="21"/>
                <w:color w:val="auto"/>
              </w:rPr>
            </w:pPr>
          </w:p>
        </w:tc>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(Interim Principal Financial Officer)</w:t>
            </w:r>
          </w:p>
        </w:tc>
      </w:tr>
    </w:tbl>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Date: October 24, 2024</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251" w:right="91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900" w:right="140" w:hanging="518"/>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right="100" w:hanging="518"/>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518"/>
        <w:spacing w:after="0" w:line="276"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00"/>
        <w:spacing w:after="0"/>
        <w:tabs>
          <w:tab w:leader="none" w:pos="1080" w:val="left"/>
          <w:tab w:leader="none" w:pos="5660" w:val="left"/>
        </w:tabs>
        <w:rPr>
          <w:sz w:val="20"/>
          <w:szCs w:val="20"/>
          <w:color w:val="auto"/>
        </w:rPr>
      </w:pPr>
      <w:r>
        <w:rPr>
          <w:rFonts w:ascii="Times New Roman" w:cs="Times New Roman" w:eastAsia="Times New Roman" w:hAnsi="Times New Roman"/>
          <w:sz w:val="18"/>
          <w:szCs w:val="18"/>
          <w:color w:val="auto"/>
        </w:rPr>
        <w:t>Date:</w:t>
        <w:tab/>
        <w:t>October 24, 2024</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26035</wp:posOffset>
            </wp:positionV>
            <wp:extent cx="35401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Richard F. Pops</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Blair C. Jackson, certify that:</w:t>
      </w:r>
    </w:p>
    <w:p>
      <w:pPr>
        <w:spacing w:after="0" w:line="225"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Alkermes plc;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ind w:left="500"/>
        <w:spacing w:after="0"/>
        <w:tabs>
          <w:tab w:leader="none" w:pos="1080" w:val="left"/>
          <w:tab w:leader="none" w:pos="5880" w:val="left"/>
        </w:tabs>
        <w:rPr>
          <w:sz w:val="20"/>
          <w:szCs w:val="20"/>
          <w:color w:val="auto"/>
        </w:rPr>
      </w:pPr>
      <w:r>
        <w:rPr>
          <w:rFonts w:ascii="Times New Roman" w:cs="Times New Roman" w:eastAsia="Times New Roman" w:hAnsi="Times New Roman"/>
          <w:sz w:val="18"/>
          <w:szCs w:val="18"/>
          <w:color w:val="auto"/>
        </w:rPr>
        <w:t>Date:</w:t>
        <w:tab/>
        <w:t>October 24, 2024</w:t>
      </w:r>
      <w:r>
        <w:rPr>
          <w:sz w:val="20"/>
          <w:szCs w:val="20"/>
          <w:color w:val="auto"/>
        </w:rPr>
        <w:tab/>
      </w: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26035</wp:posOffset>
            </wp:positionV>
            <wp:extent cx="340296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3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7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3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Alkermes plc (the “Company”) for the period ended September 30, 2024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p>
      <w:pPr>
        <w:ind w:left="500"/>
        <w:spacing w:after="0"/>
        <w:tabs>
          <w:tab w:leader="none" w:pos="1080" w:val="left"/>
          <w:tab w:leader="none" w:pos="6080" w:val="left"/>
        </w:tabs>
        <w:rPr>
          <w:sz w:val="20"/>
          <w:szCs w:val="20"/>
          <w:color w:val="auto"/>
        </w:rPr>
      </w:pPr>
      <w:r>
        <w:rPr>
          <w:rFonts w:ascii="Times New Roman" w:cs="Times New Roman" w:eastAsia="Times New Roman" w:hAnsi="Times New Roman"/>
          <w:sz w:val="18"/>
          <w:szCs w:val="18"/>
          <w:color w:val="auto"/>
        </w:rPr>
        <w:t>Date:</w:t>
        <w:tab/>
        <w:t>October 24, 2024</w:t>
      </w:r>
      <w:r>
        <w:rPr>
          <w:sz w:val="20"/>
          <w:szCs w:val="20"/>
          <w:color w:val="auto"/>
        </w:rPr>
        <w:tab/>
      </w:r>
      <w:r>
        <w:rPr>
          <w:rFonts w:ascii="Times New Roman" w:cs="Times New Roman" w:eastAsia="Times New Roman" w:hAnsi="Times New Roman"/>
          <w:sz w:val="17"/>
          <w:szCs w:val="17"/>
          <w:color w:val="auto"/>
        </w:rPr>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Richard F. Pops</w:t>
      </w:r>
    </w:p>
    <w:p>
      <w:pPr>
        <w:spacing w:after="0" w:line="27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22" w:lineRule="exact"/>
        <w:rPr>
          <w:sz w:val="20"/>
          <w:szCs w:val="20"/>
          <w:color w:val="auto"/>
        </w:rPr>
      </w:pPr>
    </w:p>
    <w:p>
      <w:pPr>
        <w:ind w:left="500"/>
        <w:spacing w:after="0"/>
        <w:tabs>
          <w:tab w:leader="none" w:pos="1080" w:val="left"/>
          <w:tab w:leader="none" w:pos="6080" w:val="left"/>
        </w:tabs>
        <w:rPr>
          <w:sz w:val="20"/>
          <w:szCs w:val="20"/>
          <w:color w:val="auto"/>
        </w:rPr>
      </w:pPr>
      <w:r>
        <w:rPr>
          <w:rFonts w:ascii="Times New Roman" w:cs="Times New Roman" w:eastAsia="Times New Roman" w:hAnsi="Times New Roman"/>
          <w:sz w:val="18"/>
          <w:szCs w:val="18"/>
          <w:color w:val="auto"/>
        </w:rPr>
        <w:t>Date:</w:t>
        <w:tab/>
        <w:t>October 24, 2024</w:t>
      </w:r>
      <w:r>
        <w:rPr>
          <w:sz w:val="20"/>
          <w:szCs w:val="20"/>
          <w:color w:val="auto"/>
        </w:rPr>
        <w:tab/>
      </w:r>
      <w:r>
        <w:rPr>
          <w:rFonts w:ascii="Times New Roman" w:cs="Times New Roman" w:eastAsia="Times New Roman" w:hAnsi="Times New Roman"/>
          <w:sz w:val="17"/>
          <w:szCs w:val="17"/>
          <w:color w:val="auto"/>
        </w:rPr>
        <w:t>/s/ Blair C.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Blair C. Jackson</w:t>
      </w:r>
    </w:p>
    <w:p>
      <w:pPr>
        <w:spacing w:after="0" w:line="27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(Interim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decimal"/>
      <w:start w:val="1"/>
    </w:lvl>
  </w:abstractNum>
  <w:abstractNum w:abstractNumId="5">
    <w:nsid w:val="109CF92E"/>
    <w:multiLevelType w:val="hybridMultilevel"/>
    <w:lvl w:ilvl="0">
      <w:lvlJc w:val="left"/>
      <w:lvlText w:val="%1."/>
      <w:numFmt w:val="decimal"/>
      <w:start w:val="8"/>
    </w:lvl>
    <w:lvl w:ilvl="1">
      <w:lvlJc w:val="left"/>
      <w:lvlText w:val="%2"/>
      <w:numFmt w:val="decimal"/>
      <w:start w:val="1"/>
    </w:lvl>
  </w:abstractNum>
  <w:abstractNum w:abstractNumId="6">
    <w:nsid w:val="DED7263"/>
    <w:multiLevelType w:val="hybridMultilevel"/>
    <w:lvl w:ilvl="0">
      <w:lvlJc w:val="left"/>
      <w:lvlText w:val="%1"/>
      <w:numFmt w:val="decimal"/>
      <w:start w:val="1"/>
    </w:lvl>
    <w:lvl w:ilvl="1">
      <w:lvlJc w:val="left"/>
      <w:lvlText w:val="(%2)"/>
      <w:numFmt w:val="decimal"/>
      <w:start w:val="1"/>
    </w:lvl>
  </w:abstractNum>
  <w:abstractNum w:abstractNumId="7">
    <w:nsid w:val="7FDCC233"/>
    <w:multiLevelType w:val="hybridMultilevel"/>
    <w:lvl w:ilvl="0">
      <w:lvlJc w:val="left"/>
      <w:lvlText w:val="%1."/>
      <w:numFmt w:val="decimal"/>
      <w:start w:val="9"/>
    </w:lvl>
    <w:lvl w:ilvl="1">
      <w:lvlJc w:val="left"/>
      <w:lvlText w:val="%2"/>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7"/>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2024-10-24T08:27:15Z</dcterms:created>
  <dcterms:modified xsi:type="dcterms:W3CDTF">2024-10-24T08:27:15Z</dcterms:modified>
</cp:coreProperties>
</file>