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2026</w:t>
      </w:r>
    </w:p>
    <w:p>
      <w:pPr>
        <w:spacing w:after="0" w:line="20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ALKERMES PUBLIC LIMITED COMPANY</w:t>
      </w:r>
    </w:p>
    <w:p>
      <w:pPr>
        <w:spacing w:after="0" w:line="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24"/>
          </w:cols>
          <w:pgMar w:left="436" w:top="200" w:right="439" w:bottom="1440" w:gutter="0" w:footer="0" w:header="0"/>
        </w:sectPr>
      </w:pPr>
    </w:p>
    <w:p>
      <w:pPr>
        <w:spacing w:after="0" w:line="228" w:lineRule="exact"/>
        <w:rPr>
          <w:sz w:val="24"/>
          <w:szCs w:val="24"/>
          <w:color w:val="auto"/>
        </w:rPr>
      </w:pPr>
    </w:p>
    <w:p>
      <w:pPr>
        <w:ind w:left="2324"/>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ind w:left="1644"/>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984"/>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001-35299</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98-1007018</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4" w:space="720"/>
            <w:col w:w="2000" w:space="720"/>
            <w:col w:w="3180"/>
          </w:cols>
          <w:pgMar w:left="436" w:top="200" w:right="439" w:bottom="1440" w:gutter="0" w:footer="0" w:header="0"/>
          <w:type w:val="continuous"/>
        </w:sectPr>
      </w:pPr>
    </w:p>
    <w:p>
      <w:pPr>
        <w:spacing w:after="0" w:line="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Connaught House, 1 Burlington Road</w:t>
      </w:r>
    </w:p>
    <w:p>
      <w:pPr>
        <w:spacing w:after="0" w:line="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Dublin 4, Ireland D04 C5Y6</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024"/>
          </w:cols>
          <w:pgMar w:left="436" w:top="200" w:right="439" w:bottom="1440" w:gutter="0" w:footer="0" w:header="0"/>
          <w:type w:val="continuous"/>
        </w:sectPr>
      </w:pPr>
    </w:p>
    <w:p>
      <w:pPr>
        <w:spacing w:after="0" w:line="2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+ 353-1-772-8000</w:t>
      </w:r>
    </w:p>
    <w:p>
      <w:pPr>
        <w:spacing w:after="0" w:line="12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42"/>
        </w:trPr>
        <w:tc>
          <w:tcPr>
            <w:tcW w:w="45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ALKS</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200" w:right="439" w:bottom="1440" w:gutter="0" w:footer="0" w:header="0"/>
          <w:type w:val="continuous"/>
        </w:sectPr>
      </w:pPr>
    </w:p>
    <w:bookmarkStart w:id="1" w:name="page2"/>
    <w:bookmarkEnd w:id="1"/>
    <w:p>
      <w:pPr>
        <w:ind w:left="4"/>
        <w:spacing w:after="0"/>
        <w:tabs>
          <w:tab w:leader="none" w:pos="1284"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20"/>
          <w:szCs w:val="20"/>
          <w:b w:val="1"/>
          <w:bCs w:val="1"/>
          <w:color w:val="auto"/>
        </w:rPr>
        <w:t>Entry into a Material Definitive Agreement.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u w:val="single" w:color="auto"/>
          <w:color w:val="auto"/>
        </w:rPr>
        <w:t>Term Loan Credit Facilities</w:t>
      </w:r>
    </w:p>
    <w:p>
      <w:pPr>
        <w:spacing w:after="0" w:line="216" w:lineRule="exact"/>
        <w:rPr>
          <w:sz w:val="20"/>
          <w:szCs w:val="20"/>
          <w:color w:val="auto"/>
        </w:rPr>
      </w:pPr>
    </w:p>
    <w:p>
      <w:pPr>
        <w:ind w:left="4" w:firstLine="551"/>
        <w:spacing w:after="0" w:line="243" w:lineRule="auto"/>
        <w:rPr>
          <w:sz w:val="20"/>
          <w:szCs w:val="20"/>
          <w:color w:val="auto"/>
        </w:rPr>
      </w:pPr>
      <w:r>
        <w:rPr>
          <w:rFonts w:ascii="Times New Roman" w:cs="Times New Roman" w:eastAsia="Times New Roman" w:hAnsi="Times New Roman"/>
          <w:sz w:val="20"/>
          <w:szCs w:val="20"/>
          <w:color w:val="auto"/>
        </w:rPr>
        <w:t>On February 12, 2026, in connection with the Acquisition (as defined below), Alkermes plc (the “Company”) entered into a credit agreement (the “Credit Agreement”), by and among Alkermes plc, as the TopCo Borrower, Alkermes, Inc., as the U.S. Borrower, Alkermes Finance LLC, as the U.S. Co-Borrower, JPMorgan Chase Bank, N.A., as Administrative Agent, Joint Lead Arranger and Joint Bookrunner, BofA Securities, Inc., as Joint Lead Arranger and Joint Bookrunner, and the lenders party thereto. The Credit Agreement provides for (i) a senior secured term loan A facility in an aggregate principal amount of up to $750 million (the “TLA Facility”) and (ii) a senior secured term loan B facility in an aggregate principal amount of up to $775 million (the “TLB Facility” and together with the TLA Facility, the “Facilities”). The TLA Facility matures on February 12, 2031, and the TLB Facility matures on August 12, 2031. On the closing date of the Facilities (the “Closing Date”), we borrowed the full $1.525 billion available under the Facilities.</w:t>
      </w:r>
    </w:p>
    <w:p>
      <w:pPr>
        <w:spacing w:after="0" w:line="189" w:lineRule="exact"/>
        <w:rPr>
          <w:sz w:val="20"/>
          <w:szCs w:val="20"/>
          <w:color w:val="auto"/>
        </w:rPr>
      </w:pPr>
    </w:p>
    <w:p>
      <w:pPr>
        <w:ind w:left="4" w:right="120" w:firstLine="551"/>
        <w:spacing w:after="0" w:line="258" w:lineRule="auto"/>
        <w:rPr>
          <w:sz w:val="20"/>
          <w:szCs w:val="20"/>
          <w:color w:val="auto"/>
        </w:rPr>
      </w:pPr>
      <w:r>
        <w:rPr>
          <w:rFonts w:ascii="Times New Roman" w:cs="Times New Roman" w:eastAsia="Times New Roman" w:hAnsi="Times New Roman"/>
          <w:sz w:val="19"/>
          <w:szCs w:val="19"/>
          <w:color w:val="auto"/>
        </w:rPr>
        <w:t>Borrowings under the TLA Facility will bear interest at an annual rate of, at our option, either (i) the Term SOFR Rate (as defined in the Credit Agreement) plus a Secured Net Leverage Ratio (as defined in the Credit Agreement)-based margin, which will initially be 2.75% per annum or (ii) the Alternate Base Rate (as defined in the Credit Agreement) plus a Secured Net Leverage Ratio-based margin, which will initially be 1.75% per annum. Borrowings under the TLB Facility will bear interest at an annual rate of, at our option, either</w:t>
      </w:r>
    </w:p>
    <w:p>
      <w:pPr>
        <w:spacing w:after="0" w:line="1" w:lineRule="exact"/>
        <w:rPr>
          <w:sz w:val="20"/>
          <w:szCs w:val="20"/>
          <w:color w:val="auto"/>
        </w:rPr>
      </w:pPr>
    </w:p>
    <w:p>
      <w:pPr>
        <w:ind w:left="4" w:right="280" w:hanging="4"/>
        <w:spacing w:after="0" w:line="242" w:lineRule="auto"/>
        <w:tabs>
          <w:tab w:leader="none" w:pos="2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SOFR Rate plus a margin of 2.75% per annum or (ii) the Alternate Base Rate plus a margin of 1.75% per annum. We have agreed to pay certain fees and expenses in connection with the Facilities, as set forth in the Credit Agreement and certain related fee letters.</w:t>
      </w:r>
    </w:p>
    <w:p>
      <w:pPr>
        <w:spacing w:after="0" w:line="187" w:lineRule="exact"/>
        <w:rPr>
          <w:sz w:val="20"/>
          <w:szCs w:val="20"/>
          <w:color w:val="auto"/>
        </w:rPr>
      </w:pPr>
    </w:p>
    <w:p>
      <w:pPr>
        <w:ind w:left="4" w:right="40" w:firstLine="551"/>
        <w:spacing w:after="0" w:line="245" w:lineRule="auto"/>
        <w:rPr>
          <w:sz w:val="20"/>
          <w:szCs w:val="20"/>
          <w:color w:val="auto"/>
        </w:rPr>
      </w:pPr>
      <w:r>
        <w:rPr>
          <w:rFonts w:ascii="Times New Roman" w:cs="Times New Roman" w:eastAsia="Times New Roman" w:hAnsi="Times New Roman"/>
          <w:sz w:val="20"/>
          <w:szCs w:val="20"/>
          <w:color w:val="auto"/>
        </w:rPr>
        <w:t>The Credit Agreement (other than with respect to the TLB Facility) requires the maintenance of a maximum Secured Net Leverage Ratio and a minimum Consolidated Interest Coverage Ratio (as defined in the Credit Agreement), in each case, with the levels set forth in the Credit Agreement, as of the last day of any of our fiscal quarters ending after the Closing Date. In addition, the Credit Agreement contains customary affirmative and negative covenants, including limitations on indebtedness, liens, mergers, consolidations, sales of assets, investments, transactions with affiliates, restricted payments and sales and leasebacks. The Credit Agreement also contains certain customary events of default, including upon a change of control.</w:t>
      </w:r>
    </w:p>
    <w:p>
      <w:pPr>
        <w:spacing w:after="0" w:line="184" w:lineRule="exact"/>
        <w:rPr>
          <w:sz w:val="20"/>
          <w:szCs w:val="20"/>
          <w:color w:val="auto"/>
        </w:rPr>
      </w:pPr>
    </w:p>
    <w:p>
      <w:pPr>
        <w:ind w:left="4" w:right="760" w:firstLine="551"/>
        <w:spacing w:after="0" w:line="269" w:lineRule="auto"/>
        <w:rPr>
          <w:sz w:val="20"/>
          <w:szCs w:val="20"/>
          <w:color w:val="auto"/>
        </w:rPr>
      </w:pPr>
      <w:r>
        <w:rPr>
          <w:rFonts w:ascii="Times New Roman" w:cs="Times New Roman" w:eastAsia="Times New Roman" w:hAnsi="Times New Roman"/>
          <w:sz w:val="20"/>
          <w:szCs w:val="20"/>
          <w:color w:val="auto"/>
        </w:rPr>
        <w:t>The Credit Agreement is guaranteed by subsidiary guarantors and secured by a lien on substantially all of the assets of the borrowers and the subsidiary guarantors, whether owned as of the Closing Date or thereafter acquired.</w:t>
      </w:r>
    </w:p>
    <w:p>
      <w:pPr>
        <w:spacing w:after="0" w:line="159" w:lineRule="exact"/>
        <w:rPr>
          <w:sz w:val="20"/>
          <w:szCs w:val="20"/>
          <w:color w:val="auto"/>
        </w:rPr>
      </w:pPr>
    </w:p>
    <w:p>
      <w:pPr>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The foregoing description of the Credit Agreement does not purport to be complete, provides only a summary of the material terms of the Credit Agreement, and is subject to, and qualified in its entirety by reference to, the full text of the Credit Agreement, a copy of which is filed as Exhibit 10.1 to this Current Report on Form 8-K and is incorporated by reference into this Item 1.01.</w:t>
      </w:r>
    </w:p>
    <w:p>
      <w:pPr>
        <w:sectPr>
          <w:pgSz w:w="11900" w:h="16838" w:orient="portrait"/>
          <w:cols w:equalWidth="0" w:num="1">
            <w:col w:w="10964"/>
          </w:cols>
          <w:pgMar w:left="436" w:top="288" w:right="49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20"/>
          <w:szCs w:val="20"/>
          <w:b w:val="1"/>
          <w:bCs w:val="1"/>
          <w:color w:val="auto"/>
        </w:rPr>
        <w:t>Termination of a Material Definitive Agreement.</w:t>
      </w:r>
    </w:p>
    <w:p>
      <w:pPr>
        <w:spacing w:after="0" w:line="220" w:lineRule="exact"/>
        <w:rPr>
          <w:sz w:val="20"/>
          <w:szCs w:val="20"/>
          <w:color w:val="auto"/>
        </w:rPr>
      </w:pPr>
    </w:p>
    <w:p>
      <w:pPr>
        <w:ind w:firstLine="551"/>
        <w:spacing w:after="0" w:line="244" w:lineRule="auto"/>
        <w:rPr>
          <w:sz w:val="20"/>
          <w:szCs w:val="20"/>
          <w:color w:val="auto"/>
        </w:rPr>
      </w:pPr>
      <w:r>
        <w:rPr>
          <w:rFonts w:ascii="Times New Roman" w:cs="Times New Roman" w:eastAsia="Times New Roman" w:hAnsi="Times New Roman"/>
          <w:sz w:val="20"/>
          <w:szCs w:val="20"/>
          <w:color w:val="auto"/>
        </w:rPr>
        <w:t>On February 12, 2026, in connection with completion of the Acquisition (as described in Item 2.01 below) and the Company’s entry into the Credit Agreement (as described in Item 1.01 above), the Company terminated the previously disclosed amended and restated bridge term loan credit agreement by and among the Company, as the TopCo Borrower, Alkermes, Inc., as the U.S. Borrower, JPMorgan Chase Bank, N.A., as Administrative Agent, Sole Lead Arranger and Sole Bookrunner, and the lenders party thereto (the “Bridge Credit Agreement”) entered into on November 18, 2025, which provided for a senior secured bridge term loan facility in an aggregate amount of up to approximately $1.5 billion to fund the Acquisition. The Bridge Credit Agreement was terminated as the commitments under the Credit Agreement, together with the Company’s cash on hand, were sufficient to fund the Acquisition.</w:t>
      </w:r>
    </w:p>
    <w:p>
      <w:pPr>
        <w:spacing w:after="0" w:line="2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2.01</w:t>
      </w:r>
      <w:r>
        <w:rPr>
          <w:sz w:val="20"/>
          <w:szCs w:val="20"/>
          <w:color w:val="auto"/>
        </w:rPr>
        <w:tab/>
      </w:r>
      <w:r>
        <w:rPr>
          <w:rFonts w:ascii="Times New Roman" w:cs="Times New Roman" w:eastAsia="Times New Roman" w:hAnsi="Times New Roman"/>
          <w:sz w:val="20"/>
          <w:szCs w:val="20"/>
          <w:b w:val="1"/>
          <w:bCs w:val="1"/>
          <w:color w:val="auto"/>
        </w:rPr>
        <w:t>Completion of Acquisition or Disposition of Assets.</w:t>
      </w:r>
    </w:p>
    <w:p>
      <w:pPr>
        <w:spacing w:after="0" w:line="220" w:lineRule="exact"/>
        <w:rPr>
          <w:sz w:val="20"/>
          <w:szCs w:val="20"/>
          <w:color w:val="auto"/>
        </w:rPr>
      </w:pPr>
    </w:p>
    <w:p>
      <w:pPr>
        <w:ind w:right="60" w:firstLine="551"/>
        <w:spacing w:after="0" w:line="244" w:lineRule="auto"/>
        <w:rPr>
          <w:sz w:val="20"/>
          <w:szCs w:val="20"/>
          <w:color w:val="auto"/>
        </w:rPr>
      </w:pPr>
      <w:r>
        <w:rPr>
          <w:rFonts w:ascii="Times New Roman" w:cs="Times New Roman" w:eastAsia="Times New Roman" w:hAnsi="Times New Roman"/>
          <w:sz w:val="20"/>
          <w:szCs w:val="20"/>
          <w:color w:val="auto"/>
        </w:rPr>
        <w:t>On February 12, 2026, the Company and Avadel Pharmaceuticals plc (“Avadel”), completed the transactions contemplated by the previously announced Transaction Agreement (the “Original Transaction Agreement”) dated October 22, 2025, as amended by Amendment No.1 to the Transaction Agreement (the “Amendment”) dated November 18, 2025, by and between the Company and Avadel (as amended, the “Transaction Agreement”). Pursuant to a court-sanctioned scheme of arrangement under Chapter 1 of Part 9 of the Irish Companies Act 2014 (the “Scheme”), the Company acquired the entire issued and outstanding ordinary share capital of Avadel (the “Acquisition”) and Avadel became a wholly owned subsidiary of the Company. Capitalized terms used herein but not otherwise defined herein shall have the meanings assigned to them in the Transaction Agreement.</w:t>
      </w:r>
    </w:p>
    <w:p>
      <w:pPr>
        <w:spacing w:after="0" w:line="186" w:lineRule="exact"/>
        <w:rPr>
          <w:sz w:val="20"/>
          <w:szCs w:val="20"/>
          <w:color w:val="auto"/>
        </w:rPr>
      </w:pPr>
    </w:p>
    <w:p>
      <w:pPr>
        <w:ind w:right="260" w:firstLine="551"/>
        <w:spacing w:after="0" w:line="249" w:lineRule="auto"/>
        <w:rPr>
          <w:sz w:val="20"/>
          <w:szCs w:val="20"/>
          <w:color w:val="auto"/>
        </w:rPr>
      </w:pPr>
      <w:r>
        <w:rPr>
          <w:rFonts w:ascii="Times New Roman" w:cs="Times New Roman" w:eastAsia="Times New Roman" w:hAnsi="Times New Roman"/>
          <w:sz w:val="20"/>
          <w:szCs w:val="20"/>
          <w:color w:val="auto"/>
        </w:rPr>
        <w:t>The Acquisition was conditioned on, among other things, the sanction of the Scheme by the High Court of Ireland (the “High Court”) and the delivery of the order of the High Court sanctioning the Scheme (the “Court Order”) to the Registrar of Companies in Dublin, Ireland. On February 10, 2026, the High Court sanctioned the Scheme. On February 12, 2026, the Court Order was delivered to the Registrar of Companies, at which time the Scheme became effective (the “Effective Time”).</w:t>
      </w:r>
    </w:p>
    <w:p>
      <w:pPr>
        <w:spacing w:after="0" w:line="180" w:lineRule="exact"/>
        <w:rPr>
          <w:sz w:val="20"/>
          <w:szCs w:val="20"/>
          <w:color w:val="auto"/>
        </w:rPr>
      </w:pPr>
    </w:p>
    <w:p>
      <w:pPr>
        <w:ind w:right="140" w:firstLine="551"/>
        <w:spacing w:after="0" w:line="243" w:lineRule="auto"/>
        <w:rPr>
          <w:sz w:val="20"/>
          <w:szCs w:val="20"/>
          <w:color w:val="auto"/>
        </w:rPr>
      </w:pPr>
      <w:r>
        <w:rPr>
          <w:rFonts w:ascii="Times New Roman" w:cs="Times New Roman" w:eastAsia="Times New Roman" w:hAnsi="Times New Roman"/>
          <w:sz w:val="20"/>
          <w:szCs w:val="20"/>
          <w:color w:val="auto"/>
        </w:rPr>
        <w:t>At the Effective Time, the Company acquired all of the issued and outstanding ordinary shares of Avadel, nominal value $0.01 per share (the “Avadel Shares”), other than Avadel Shares held by Alkermes or any of its concert parties (if any), and each holder of Avadel Shares outstanding as of 11:59 p.m., New York City time, on February 11, 2026, the business day prior to the occurrence of the Effective Time, became entitled to receive (i) $21.00 in cash (the “Cash Consideration”) for each Avadel Share and (ii) one non-transferable contingent value right (a “CVR”) for each Avadel Share, in each case in accordance with the terms of the Scheme and the Contingent Value Rights Agreement entered into at or prior to the Effective Time (the “CVR Agreement”), substantially in the form attached as Exhibit A to the Original Transaction Agreement. Each CVR represents a contractual right to receive a potential additional cash payment of $1.50 per Avadel Share upon the achievement of the milestone set forth in the CVR Agreement prior to the milestone expiration set forth in the CVR Agreement, subject to the terms and conditions thereof.</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Pursuant to the Transaction Agreement, at the Effective Time:</w:t>
      </w:r>
    </w:p>
    <w:p>
      <w:pPr>
        <w:spacing w:after="0" w:line="243" w:lineRule="exact"/>
        <w:rPr>
          <w:sz w:val="20"/>
          <w:szCs w:val="20"/>
          <w:color w:val="auto"/>
        </w:rPr>
      </w:pPr>
    </w:p>
    <w:p>
      <w:pPr>
        <w:ind w:left="1180" w:right="60" w:hanging="644"/>
        <w:spacing w:after="0" w:line="246" w:lineRule="auto"/>
        <w:tabs>
          <w:tab w:leader="none" w:pos="11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option to purchase Avadel Shares granted under any Avadel equity incentive plan, program or arrangement under which equity awards were outstanding (the “Avadel Share Plans”) (each, an “Avadel Option”) having an exercise price less than the Cash Consideration (each such option, an “Avadel Cash-Out Option”) that was outstanding immediately prior to the Effective Time, whether or not vested, was cancelled and converted into the right to receive (without interest), in consideration of the cancellation</w:t>
      </w:r>
    </w:p>
    <w:p>
      <w:pPr>
        <w:sectPr>
          <w:pgSz w:w="11900" w:h="16838" w:orient="portrait"/>
          <w:cols w:equalWidth="0" w:num="1">
            <w:col w:w="11000"/>
          </w:cols>
          <w:pgMar w:left="440" w:top="288" w:right="459" w:bottom="1440" w:gutter="0" w:footer="0" w:header="0"/>
        </w:sectPr>
      </w:pPr>
    </w:p>
    <w:bookmarkStart w:id="3" w:name="page4"/>
    <w:bookmarkEnd w:id="3"/>
    <w:p>
      <w:pPr>
        <w:ind w:left="1200" w:right="8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such Avadel Cash-Out Option, (A) an amount in cash (less applicable tax and any other mandatory withholdings), equal to the product of (x) the total number of Avadel Shares subject to such Avadel Cash-Out Option immediately prior to the Effective Time multiplied by (y) the excess of the Cash Consideration over the applicable exercise price per Avadel Share under such Avadel Cash-Out Option, and (B) one (1) CVR for each Avadel Share subject to such Avadel Cash-Out Option immediately prior to the Effective Time (without regard to vesting);</w:t>
      </w:r>
    </w:p>
    <w:p>
      <w:pPr>
        <w:spacing w:after="0" w:line="212" w:lineRule="exact"/>
        <w:rPr>
          <w:sz w:val="20"/>
          <w:szCs w:val="20"/>
          <w:color w:val="auto"/>
        </w:rPr>
      </w:pPr>
    </w:p>
    <w:p>
      <w:pPr>
        <w:ind w:left="1180" w:hanging="644"/>
        <w:spacing w:after="0" w:line="254" w:lineRule="auto"/>
        <w:tabs>
          <w:tab w:leader="none" w:pos="11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Avadel Option that is not an Avadel Cash-Out Option and any Avadel Option with an exercise price equal to or greater than the Cash Consideration that was outstanding immediately prior to the Effective Time, whether or not vested, was cancelled for no consideration;</w:t>
      </w:r>
    </w:p>
    <w:p>
      <w:pPr>
        <w:spacing w:after="0" w:line="201" w:lineRule="exact"/>
        <w:rPr>
          <w:rFonts w:ascii="Times New Roman" w:cs="Times New Roman" w:eastAsia="Times New Roman" w:hAnsi="Times New Roman"/>
          <w:sz w:val="20"/>
          <w:szCs w:val="20"/>
          <w:color w:val="auto"/>
        </w:rPr>
      </w:pPr>
    </w:p>
    <w:p>
      <w:pPr>
        <w:ind w:left="1180" w:right="40" w:hanging="644"/>
        <w:spacing w:after="0" w:line="243" w:lineRule="auto"/>
        <w:tabs>
          <w:tab w:leader="none" w:pos="11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award of restricted share units representing the right to receive one or more Avadel Shares or the cash value thereof upon vesting and settlement whether granted pursuant to the Company Share Plans or otherwise (each, an “Avadel RSU Award”) that was outstanding was cancelled and, in exchange therefor, the holder of such cancelled Avadel RSU Award was entitled to receive (without interest), in consideration of the cancellation of such Avadel RSU Award, (A) an amount in cash (less applicable tax or any other mandatory withholdings) equal to the product of (x) the total number of Avadel Shares subject to such Avadel RSU Award immediately prior to the Effective Time multiplied by (y) the Cash Consideration and (B) one (1) CVR for each Avadel Share subject to such Avadel RSU Award immediately prior to the Effective Time (without regard to vesting); and</w:t>
      </w:r>
    </w:p>
    <w:p>
      <w:pPr>
        <w:spacing w:after="0" w:line="216" w:lineRule="exact"/>
        <w:rPr>
          <w:rFonts w:ascii="Times New Roman" w:cs="Times New Roman" w:eastAsia="Times New Roman" w:hAnsi="Times New Roman"/>
          <w:sz w:val="20"/>
          <w:szCs w:val="20"/>
          <w:color w:val="auto"/>
        </w:rPr>
      </w:pPr>
    </w:p>
    <w:p>
      <w:pPr>
        <w:ind w:left="1180" w:right="80" w:hanging="644"/>
        <w:spacing w:after="0" w:line="249" w:lineRule="auto"/>
        <w:tabs>
          <w:tab w:leader="none" w:pos="11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award of Avadel Shares subject to vesting restrictions or forfeiture back to Avadel (each, an “Avadel Restricted Stock Award”), whether granted pursuant to the Avadel Share Plans or otherwise that was outstanding immediately prior to the Effective Time vested in full as of immediately prior to the Effective Time and was treated in the same manner as all other Avadel Shares.</w:t>
      </w:r>
    </w:p>
    <w:p>
      <w:pPr>
        <w:spacing w:after="0" w:line="180" w:lineRule="exact"/>
        <w:rPr>
          <w:sz w:val="20"/>
          <w:szCs w:val="20"/>
          <w:color w:val="auto"/>
        </w:rPr>
      </w:pPr>
    </w:p>
    <w:p>
      <w:pPr>
        <w:ind w:right="60" w:firstLine="551"/>
        <w:spacing w:after="0" w:line="249" w:lineRule="auto"/>
        <w:rPr>
          <w:sz w:val="20"/>
          <w:szCs w:val="20"/>
          <w:color w:val="auto"/>
        </w:rPr>
      </w:pPr>
      <w:r>
        <w:rPr>
          <w:rFonts w:ascii="Times New Roman" w:cs="Times New Roman" w:eastAsia="Times New Roman" w:hAnsi="Times New Roman"/>
          <w:sz w:val="20"/>
          <w:szCs w:val="20"/>
          <w:color w:val="auto"/>
        </w:rPr>
        <w:t>In connection with the completion of the Acquisition, trading of the Avadel Shares on The Nasdaq Global Market (“Nasdaq”) was halted and the Avadel Shares will be delisted from Nasdaq. Pursuant to the terms of the Transaction Agreement, the Company and Avadel will take steps to cause the Avadel Shares to be deregistered under the Securities Exchange Act of 1934, as amended (the “Exchange Act”), as promptly as practicable following the Effective Time.</w:t>
      </w:r>
    </w:p>
    <w:p>
      <w:pPr>
        <w:spacing w:after="0" w:line="180" w:lineRule="exact"/>
        <w:rPr>
          <w:sz w:val="20"/>
          <w:szCs w:val="20"/>
          <w:color w:val="auto"/>
        </w:rPr>
      </w:pPr>
    </w:p>
    <w:p>
      <w:pPr>
        <w:ind w:right="100" w:firstLine="551"/>
        <w:spacing w:after="0" w:line="245" w:lineRule="auto"/>
        <w:rPr>
          <w:sz w:val="20"/>
          <w:szCs w:val="20"/>
          <w:color w:val="auto"/>
        </w:rPr>
      </w:pPr>
      <w:r>
        <w:rPr>
          <w:rFonts w:ascii="Times New Roman" w:cs="Times New Roman" w:eastAsia="Times New Roman" w:hAnsi="Times New Roman"/>
          <w:sz w:val="20"/>
          <w:szCs w:val="20"/>
          <w:color w:val="auto"/>
        </w:rPr>
        <w:t>The foregoing descriptions of the Original Transaction Agreement, the Amendment, and Appendix III to the Rule 2.7 Announcement (the “Conditions Appendix”) do not purport to be complete and are subject to, and qualified in their entireties by, the full text of the Original Transaction Agreement, the Amendment and the Conditions Appendix, copies of which are incorporated by reference as Exhibits 2.1, 2.2 and 2.3 to this Current Report on Form 8-K and incorporated by reference into this Item 2.01. References to the Transaction Agreement or the Original Transaction Agreement from and after the entry into the Amendment on November 18, 2025 refer to the Original Transaction Agreement as amended by the Amendment.</w:t>
      </w:r>
    </w:p>
    <w:p>
      <w:pPr>
        <w:sectPr>
          <w:pgSz w:w="11900" w:h="16838" w:orient="portrait"/>
          <w:cols w:equalWidth="0" w:num="1">
            <w:col w:w="10980"/>
          </w:cols>
          <w:pgMar w:left="440" w:top="29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Item 2.03</w:t>
      </w:r>
    </w:p>
    <w:p>
      <w:pPr>
        <w:spacing w:after="0" w:line="20" w:lineRule="exact"/>
        <w:rPr>
          <w:sz w:val="20"/>
          <w:szCs w:val="20"/>
          <w:color w:val="auto"/>
        </w:rPr>
      </w:pPr>
      <w:r>
        <w:rPr>
          <w:sz w:val="20"/>
          <w:szCs w:val="20"/>
          <w:color w:val="auto"/>
        </w:rPr>
        <w:br w:type="column"/>
      </w:r>
    </w:p>
    <w:p>
      <w:pPr>
        <w:ind w:right="840"/>
        <w:spacing w:after="0" w:line="273" w:lineRule="auto"/>
        <w:rPr>
          <w:sz w:val="20"/>
          <w:szCs w:val="20"/>
          <w:color w:val="auto"/>
        </w:rPr>
      </w:pPr>
      <w:r>
        <w:rPr>
          <w:rFonts w:ascii="Times New Roman" w:cs="Times New Roman" w:eastAsia="Times New Roman" w:hAnsi="Times New Roman"/>
          <w:sz w:val="20"/>
          <w:szCs w:val="20"/>
          <w:b w:val="1"/>
          <w:bCs w:val="1"/>
          <w:color w:val="auto"/>
        </w:rPr>
        <w:t>Creation of a Direct Financial Obligation or an Obligation under an Off-Balance Sheet Arrangement of a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-426085</wp:posOffset>
            </wp:positionV>
            <wp:extent cx="71748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780" w:space="520"/>
            <w:col w:w="9720"/>
          </w:cols>
          <w:pgMar w:left="440" w:top="288" w:right="439" w:bottom="1440" w:gutter="0" w:footer="0" w:header="0"/>
        </w:sectPr>
      </w:pPr>
    </w:p>
    <w:p>
      <w:pPr>
        <w:ind w:right="260" w:firstLine="551"/>
        <w:spacing w:after="0" w:line="254" w:lineRule="auto"/>
        <w:rPr>
          <w:sz w:val="20"/>
          <w:szCs w:val="20"/>
          <w:color w:val="auto"/>
        </w:rPr>
      </w:pPr>
      <w:r>
        <w:rPr>
          <w:rFonts w:ascii="Times New Roman" w:cs="Times New Roman" w:eastAsia="Times New Roman" w:hAnsi="Times New Roman"/>
          <w:sz w:val="20"/>
          <w:szCs w:val="20"/>
          <w:color w:val="auto"/>
        </w:rPr>
        <w:t>On February 12, 2026, the Company entered into the Credit Agreement as described under Item 1.01 above. The foregoing description of the Credit Agreement set forth in Item 1.01 and the full text of the Credit Agreement, a copy of which is filed herewith as Exhibit 10.1, are incorporated by reference into this Item 2.03.</w:t>
      </w:r>
    </w:p>
    <w:p>
      <w:pPr>
        <w:spacing w:after="0" w:line="174" w:lineRule="exact"/>
        <w:rPr>
          <w:sz w:val="20"/>
          <w:szCs w:val="20"/>
          <w:color w:val="auto"/>
        </w:rPr>
      </w:pPr>
    </w:p>
    <w:p>
      <w:pPr>
        <w:ind w:right="920" w:firstLine="551"/>
        <w:spacing w:after="0" w:line="269" w:lineRule="auto"/>
        <w:rPr>
          <w:sz w:val="20"/>
          <w:szCs w:val="20"/>
          <w:color w:val="auto"/>
        </w:rPr>
      </w:pPr>
      <w:r>
        <w:rPr>
          <w:rFonts w:ascii="Times New Roman" w:cs="Times New Roman" w:eastAsia="Times New Roman" w:hAnsi="Times New Roman"/>
          <w:sz w:val="20"/>
          <w:szCs w:val="20"/>
          <w:color w:val="auto"/>
        </w:rPr>
        <w:t>On February 12, 2026, we terminated the previously disclosed Bridge Credit Agreement entered into in order to fund the Acquisition, as described in Item 1.02 above.</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20"/>
          <w:szCs w:val="20"/>
          <w:b w:val="1"/>
          <w:bCs w:val="1"/>
          <w:color w:val="auto"/>
        </w:rPr>
        <w:t>Regulation FD Disclosure.</w:t>
      </w:r>
    </w:p>
    <w:p>
      <w:pPr>
        <w:spacing w:after="0" w:line="220" w:lineRule="exact"/>
        <w:rPr>
          <w:sz w:val="20"/>
          <w:szCs w:val="20"/>
          <w:color w:val="auto"/>
        </w:rPr>
      </w:pPr>
    </w:p>
    <w:p>
      <w:pPr>
        <w:jc w:val="both"/>
        <w:ind w:right="900" w:firstLine="551"/>
        <w:spacing w:after="0" w:line="295" w:lineRule="auto"/>
        <w:rPr>
          <w:sz w:val="20"/>
          <w:szCs w:val="20"/>
          <w:color w:val="auto"/>
        </w:rPr>
      </w:pPr>
      <w:r>
        <w:rPr>
          <w:rFonts w:ascii="Times New Roman" w:cs="Times New Roman" w:eastAsia="Times New Roman" w:hAnsi="Times New Roman"/>
          <w:sz w:val="19"/>
          <w:szCs w:val="19"/>
          <w:color w:val="auto"/>
        </w:rPr>
        <w:t>On February 12, 2026, the Company and Avadel issued a joint press release announcing the successful completion of the Acquisition. A copy of the press release is furnished herewith as Exhibit 99.1 and incorporated by reference into this Item 7.01.</w:t>
      </w:r>
    </w:p>
    <w:p>
      <w:pPr>
        <w:spacing w:after="0" w:line="138" w:lineRule="exact"/>
        <w:rPr>
          <w:sz w:val="20"/>
          <w:szCs w:val="20"/>
          <w:color w:val="auto"/>
        </w:rPr>
      </w:pPr>
    </w:p>
    <w:p>
      <w:pPr>
        <w:jc w:val="both"/>
        <w:ind w:right="60" w:firstLine="551"/>
        <w:spacing w:after="0" w:line="254" w:lineRule="auto"/>
        <w:rPr>
          <w:sz w:val="20"/>
          <w:szCs w:val="20"/>
          <w:color w:val="auto"/>
        </w:rPr>
      </w:pPr>
      <w:r>
        <w:rPr>
          <w:rFonts w:ascii="Times New Roman" w:cs="Times New Roman" w:eastAsia="Times New Roman" w:hAnsi="Times New Roman"/>
          <w:sz w:val="20"/>
          <w:szCs w:val="20"/>
          <w:color w:val="auto"/>
        </w:rPr>
        <w:t>The information in this Item 7.01, and in Exhibit 99.1 furnished herewith, shall not be deemed “filed” for purposes of Section 18 of the Exchange Act, or otherwise subject to the liabilities of that section, nor incorporated by reference in any filing under the Securities Act of 1933, as amended, or the Exchange Act, except as shall be expressly set forth by specific reference in such a filing.</w:t>
      </w:r>
    </w:p>
    <w:p>
      <w:pPr>
        <w:spacing w:after="0" w:line="1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20"/>
          <w:szCs w:val="20"/>
          <w:b w:val="1"/>
          <w:bCs w:val="1"/>
          <w:color w:val="auto"/>
        </w:rPr>
        <w:t>Financial Statements and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Financial statements of business acquired.</w:t>
      </w:r>
    </w:p>
    <w:p>
      <w:pPr>
        <w:spacing w:after="0" w:line="21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The financial statements required by this Item 9.01(a) are not included in this Current Report on Form 8-K. The Company intends to file such financial statements by amendment to this Current Report on Form 8-K not later than 71 calendar days after the date this Current Report on Form 8-K is required to be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Pro forma financial information.</w:t>
      </w:r>
    </w:p>
    <w:p>
      <w:pPr>
        <w:spacing w:after="0" w:line="216"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The pro forma financial information required by this Item 9.01(b) is not included in this Current Report on Form 8-K. The Company intends to file such pro forma financial information by amendment to this Current Report on Form 8-K not later than 71 calendar days after the date this Current Report on Form 8-K is required to be filed.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 Exhibits.</w:t>
            </w:r>
          </w:p>
        </w:tc>
        <w:tc>
          <w:tcPr>
            <w:tcW w:w="15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14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5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351"/>
        </w:trPr>
        <w:tc>
          <w:tcPr>
            <w:tcW w:w="1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2.1</w:t>
            </w:r>
          </w:p>
        </w:tc>
        <w:tc>
          <w:tcPr>
            <w:tcW w:w="340" w:type="dxa"/>
            <w:vAlign w:val="bottom"/>
          </w:tcPr>
          <w:p>
            <w:pPr>
              <w:spacing w:after="0"/>
              <w:rPr>
                <w:sz w:val="24"/>
                <w:szCs w:val="24"/>
                <w:color w:val="auto"/>
              </w:rPr>
            </w:pPr>
          </w:p>
        </w:tc>
        <w:tc>
          <w:tcPr>
            <w:tcW w:w="9320" w:type="dxa"/>
            <w:vAlign w:val="bottom"/>
            <w:tcBorders>
              <w:top w:val="single" w:sz="8" w:color="auto"/>
              <w:bottom w:val="single" w:sz="8" w:color="0000EE"/>
            </w:tcBorders>
            <w:gridSpan w:val="6"/>
          </w:tcPr>
          <w:p>
            <w:pPr>
              <w:spacing w:after="0"/>
              <w:rPr>
                <w:rFonts w:ascii="Times New Roman" w:cs="Times New Roman" w:eastAsia="Times New Roman" w:hAnsi="Times New Roman"/>
                <w:sz w:val="20"/>
                <w:szCs w:val="20"/>
                <w:color w:val="0000EE"/>
                <w:w w:val="98"/>
              </w:rPr>
            </w:pPr>
            <w:hyperlink r:id="rId12">
              <w:r>
                <w:rPr>
                  <w:rFonts w:ascii="Times New Roman" w:cs="Times New Roman" w:eastAsia="Times New Roman" w:hAnsi="Times New Roman"/>
                  <w:sz w:val="20"/>
                  <w:szCs w:val="20"/>
                  <w:color w:val="0000EE"/>
                  <w:w w:val="98"/>
                </w:rPr>
                <w:t>Transaction Agreement, dated as of October 22, 2025, by and between Alkermes plc and Avadel Pharmaceuticals plc,</w:t>
              </w:r>
            </w:hyperlink>
          </w:p>
        </w:tc>
        <w:tc>
          <w:tcPr>
            <w:tcW w:w="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80" w:type="dxa"/>
            <w:vAlign w:val="bottom"/>
            <w:gridSpan w:val="7"/>
          </w:tcPr>
          <w:p>
            <w:pPr>
              <w:spacing w:after="0" w:line="209"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incorporated by reference to Exhibit 2.1 to the Current Report on Form 8-K filed by the Company with the SEC on</w:t>
              </w:r>
            </w:hyperlink>
          </w:p>
        </w:tc>
        <w:tc>
          <w:tcPr>
            <w:tcW w:w="0" w:type="dxa"/>
            <w:vAlign w:val="bottom"/>
          </w:tcPr>
          <w:p>
            <w:pPr>
              <w:spacing w:after="0"/>
              <w:rPr>
                <w:sz w:val="1"/>
                <w:szCs w:val="1"/>
                <w:color w:val="auto"/>
              </w:rPr>
            </w:pPr>
          </w:p>
        </w:tc>
      </w:tr>
      <w:tr>
        <w:trPr>
          <w:trHeight w:val="210"/>
        </w:trPr>
        <w:tc>
          <w:tcPr>
            <w:tcW w:w="1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2.2</w:t>
            </w:r>
          </w:p>
        </w:tc>
        <w:tc>
          <w:tcPr>
            <w:tcW w:w="340" w:type="dxa"/>
            <w:vAlign w:val="bottom"/>
          </w:tcPr>
          <w:p>
            <w:pPr>
              <w:spacing w:after="0"/>
              <w:rPr>
                <w:sz w:val="18"/>
                <w:szCs w:val="18"/>
                <w:color w:val="auto"/>
              </w:rPr>
            </w:pPr>
          </w:p>
        </w:tc>
        <w:tc>
          <w:tcPr>
            <w:tcW w:w="9100" w:type="dxa"/>
            <w:vAlign w:val="bottom"/>
            <w:tcBorders>
              <w:top w:val="single" w:sz="8" w:color="0000EE"/>
            </w:tcBorders>
            <w:gridSpan w:val="3"/>
          </w:tcPr>
          <w:p>
            <w:pPr>
              <w:spacing w:after="0" w:line="209"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October 22, 2025.*</w:t>
              </w:r>
            </w:hyperlink>
          </w:p>
        </w:tc>
        <w:tc>
          <w:tcPr>
            <w:tcW w:w="4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240" w:type="dxa"/>
            <w:vAlign w:val="bottom"/>
            <w:tcBorders>
              <w:bottom w:val="single" w:sz="8" w:color="0000EE"/>
            </w:tcBorders>
            <w:gridSpan w:val="5"/>
          </w:tcPr>
          <w:p>
            <w:pPr>
              <w:spacing w:after="0" w:line="209"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Amendment No. 1 to the Transaction Agreement, dated as of November 18, 2025, by and between Alkermes plc and</w:t>
              </w:r>
            </w:hyperlink>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80" w:type="dxa"/>
            <w:vAlign w:val="bottom"/>
            <w:gridSpan w:val="7"/>
          </w:tcPr>
          <w:p>
            <w:pPr>
              <w:spacing w:after="0" w:line="20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Avadel Pharmaceuticals plc, incorporated by reference to Exhibit 2.1 to the Current Report on Form 8-K filed by the</w:t>
              </w:r>
            </w:hyperlink>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tcBorders>
              <w:top w:val="single" w:sz="8" w:color="0000EE"/>
              <w:bottom w:val="single" w:sz="8" w:color="0000EE"/>
            </w:tcBorders>
            <w:gridSpan w:val="2"/>
          </w:tcPr>
          <w:p>
            <w:pPr>
              <w:spacing w:after="0" w:line="209"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Company with the SEC on November 19, 2025.</w:t>
              </w:r>
            </w:hyperlink>
          </w:p>
        </w:tc>
        <w:tc>
          <w:tcPr>
            <w:tcW w:w="5420" w:type="dxa"/>
            <w:vAlign w:val="bottom"/>
            <w:tcBorders>
              <w:top w:val="single" w:sz="8" w:color="0000EE"/>
            </w:tcBorders>
            <w:gridSpan w:val="2"/>
          </w:tcPr>
          <w:p>
            <w:pPr>
              <w:spacing w:after="0"/>
              <w:rPr>
                <w:sz w:val="18"/>
                <w:szCs w:val="18"/>
                <w:color w:val="auto"/>
              </w:rPr>
            </w:pPr>
          </w:p>
        </w:tc>
        <w:tc>
          <w:tcPr>
            <w:tcW w:w="3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9120" w:type="dxa"/>
            <w:vAlign w:val="bottom"/>
            <w:tcBorders>
              <w:bottom w:val="single" w:sz="8" w:color="0000EE"/>
            </w:tcBorders>
            <w:gridSpan w:val="3"/>
          </w:tcPr>
          <w:p>
            <w:pPr>
              <w:spacing w:after="0"/>
              <w:rPr>
                <w:rFonts w:ascii="Times New Roman" w:cs="Times New Roman" w:eastAsia="Times New Roman" w:hAnsi="Times New Roman"/>
                <w:sz w:val="20"/>
                <w:szCs w:val="20"/>
                <w:color w:val="0000EE"/>
                <w:w w:val="98"/>
              </w:rPr>
            </w:pPr>
            <w:hyperlink r:id="rId15">
              <w:r>
                <w:rPr>
                  <w:rFonts w:ascii="Times New Roman" w:cs="Times New Roman" w:eastAsia="Times New Roman" w:hAnsi="Times New Roman"/>
                  <w:sz w:val="20"/>
                  <w:szCs w:val="20"/>
                  <w:color w:val="0000EE"/>
                  <w:w w:val="98"/>
                </w:rPr>
                <w:t>Appendix III to the Rule 2.7 Announcement, dated as of October 22, 2025 (Conditions Appendix), incorporated by</w:t>
              </w:r>
            </w:hyperlink>
          </w:p>
        </w:tc>
        <w:tc>
          <w:tcPr>
            <w:tcW w:w="4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w:t>
            </w:r>
          </w:p>
        </w:tc>
        <w:tc>
          <w:tcPr>
            <w:tcW w:w="9520" w:type="dxa"/>
            <w:vAlign w:val="bottom"/>
            <w:gridSpan w:val="6"/>
          </w:tcPr>
          <w:p>
            <w:pPr>
              <w:spacing w:after="0" w:line="209"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reference to Exhibit 2.2 to the Current Report on Form 8-K filed by the Company with the SEC on October 22, 2025.</w:t>
              </w:r>
            </w:hyperlink>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952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9"/>
              </w:rPr>
              <w:t>Credit Agreement, dated as of February 12, 2026 by and among Alkermes plc, as the TopCo Borrower, Alkermes, Inc.,</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tcPr>
          <w:p>
            <w:pPr>
              <w:spacing w:after="0"/>
              <w:rPr>
                <w:sz w:val="18"/>
                <w:szCs w:val="18"/>
                <w:color w:val="auto"/>
              </w:rPr>
            </w:pPr>
          </w:p>
        </w:tc>
        <w:tc>
          <w:tcPr>
            <w:tcW w:w="9520" w:type="dxa"/>
            <w:vAlign w:val="bottom"/>
            <w:tcBorders>
              <w:bottom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8"/>
              </w:rPr>
              <w:t>as the U.S. Borrower, Alkermes Finance LLC, as the U.S. Co-Borrower, JPMorgan Chase Bank, N.A., as administrative</w:t>
            </w:r>
          </w:p>
        </w:tc>
        <w:tc>
          <w:tcPr>
            <w:tcW w:w="0" w:type="dxa"/>
            <w:vAlign w:val="bottom"/>
          </w:tcPr>
          <w:p>
            <w:pPr>
              <w:spacing w:after="0"/>
              <w:rPr>
                <w:sz w:val="1"/>
                <w:szCs w:val="1"/>
                <w:color w:val="auto"/>
              </w:rPr>
            </w:pPr>
          </w:p>
        </w:tc>
      </w:tr>
      <w:tr>
        <w:trPr>
          <w:trHeight w:val="210"/>
        </w:trPr>
        <w:tc>
          <w:tcPr>
            <w:tcW w:w="1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99.1</w:t>
            </w:r>
          </w:p>
        </w:tc>
        <w:tc>
          <w:tcPr>
            <w:tcW w:w="4660" w:type="dxa"/>
            <w:vAlign w:val="bottom"/>
            <w:tcBorders>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8"/>
              </w:rPr>
              <w:t>agent, and the arrangers, agents and lenders party thereto.*</w:t>
            </w:r>
          </w:p>
        </w:tc>
        <w:tc>
          <w:tcPr>
            <w:tcW w:w="48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952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color w:val="0000EE"/>
              </w:rPr>
              <w:t>Press release issued by Alkermes plc and Avadel Pharmaceuticals plc dated February 12, 2026.</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7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0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300" w:hanging="4"/>
        <w:spacing w:after="0" w:line="269" w:lineRule="auto"/>
        <w:tabs>
          <w:tab w:leader="none" w:pos="15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have been omitted pursuant to Item 601(a)(5) of Regulation S-K. The registrant agrees to furnish supplementally a copy of any omitted schedule or exhibit to the SEC upon request.</w:t>
      </w:r>
    </w:p>
    <w:p>
      <w:pPr>
        <w:sectPr>
          <w:pgSz w:w="11900" w:h="16838" w:orient="portrait"/>
          <w:cols w:equalWidth="0" w:num="1">
            <w:col w:w="10964"/>
          </w:cols>
          <w:pgMar w:left="436" w:top="274" w:right="49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ALKERMES PLC</w:t>
      </w:r>
    </w:p>
    <w:p>
      <w:pPr>
        <w:spacing w:after="0" w:line="22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0"/>
          <w:szCs w:val="20"/>
          <w:color w:val="auto"/>
        </w:rPr>
        <w:t>Date: February 12, 2026</w:t>
      </w:r>
      <w:r>
        <w:rPr>
          <w:sz w:val="20"/>
          <w:szCs w:val="20"/>
          <w:color w:val="auto"/>
        </w:rPr>
        <w:tab/>
      </w:r>
      <w:r>
        <w:rPr>
          <w:rFonts w:ascii="Times New Roman" w:cs="Times New Roman" w:eastAsia="Times New Roman" w:hAnsi="Times New Roman"/>
          <w:sz w:val="20"/>
          <w:szCs w:val="20"/>
          <w:color w:val="auto"/>
        </w:rPr>
        <w:t>By:  /s/ David J. Gaffin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13970</wp:posOffset>
            </wp:positionV>
            <wp:extent cx="314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David J. Gaffin</w:t>
      </w:r>
    </w:p>
    <w:p>
      <w:pPr>
        <w:ind w:left="6060"/>
        <w:spacing w:after="0"/>
        <w:rPr>
          <w:sz w:val="20"/>
          <w:szCs w:val="20"/>
          <w:color w:val="auto"/>
        </w:rPr>
      </w:pPr>
      <w:r>
        <w:rPr>
          <w:rFonts w:ascii="Times New Roman" w:cs="Times New Roman" w:eastAsia="Times New Roman" w:hAnsi="Times New Roman"/>
          <w:sz w:val="20"/>
          <w:szCs w:val="20"/>
          <w:color w:val="auto"/>
        </w:rPr>
        <w:t>Title:   Secretary</w:t>
      </w:r>
    </w:p>
    <w:p>
      <w:pPr>
        <w:sectPr>
          <w:pgSz w:w="11900" w:h="16838" w:orient="portrait"/>
          <w:cols w:equalWidth="0" w:num="1">
            <w:col w:w="10820"/>
          </w:cols>
          <w:pgMar w:left="440" w:top="288" w:right="6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173990</wp:posOffset>
            </wp:positionV>
            <wp:extent cx="168021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6802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February 12, 2026</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ALKERMES PLC,</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the TopCo Borrower,</w:t>
      </w:r>
    </w:p>
    <w:p>
      <w:pPr>
        <w:spacing w:after="0" w:line="21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ALKERMES, INC.,</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the U.S. Borrower,</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ALKERMES FINANCE LLC,</w:t>
      </w:r>
    </w:p>
    <w:p>
      <w:pPr>
        <w:spacing w:after="0" w:line="2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as the U.S. Co-Borrower</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365760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408305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JPMORGAN CHASE BANK, N.A. and BOFA SECURITIES, INC.,</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1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16" w:lineRule="exact"/>
        <w:rPr>
          <w:sz w:val="20"/>
          <w:szCs w:val="20"/>
          <w:color w:val="auto"/>
        </w:rPr>
      </w:pPr>
    </w:p>
    <w:p>
      <w:pPr>
        <w:jc w:val="center"/>
        <w:ind w:left="380" w:right="1400"/>
        <w:spacing w:after="0" w:line="254" w:lineRule="auto"/>
        <w:rPr>
          <w:sz w:val="20"/>
          <w:szCs w:val="20"/>
          <w:color w:val="auto"/>
        </w:rPr>
      </w:pPr>
      <w:r>
        <w:rPr>
          <w:rFonts w:ascii="Times New Roman" w:cs="Times New Roman" w:eastAsia="Times New Roman" w:hAnsi="Times New Roman"/>
          <w:sz w:val="20"/>
          <w:szCs w:val="20"/>
          <w:color w:val="auto"/>
        </w:rPr>
        <w:t>PNC CAPITAL MARKETS LLC, DNB CARNEGIE, INC., U.S. BANK NATIONAL ASSOCIATION, FIFTH THIRD BANK, NATIONAL ASSOCIATION, CAPITAL ONE, NATIONAL ASSOCIATION, CITIZENS BANK, N.A. and TRUIST BANK,</w:t>
      </w:r>
    </w:p>
    <w:p>
      <w:pPr>
        <w:spacing w:after="0" w:line="17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as Co-Documentation Agents</w:t>
      </w:r>
    </w:p>
    <w:p>
      <w:pPr>
        <w:sectPr>
          <w:pgSz w:w="11900" w:h="16838" w:orient="portrait"/>
          <w:cols w:equalWidth="0" w:num="1">
            <w:col w:w="10020"/>
          </w:cols>
          <w:pgMar w:left="1440" w:top="117" w:right="4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3605530</wp:posOffset>
            </wp:positionV>
            <wp:extent cx="6990715" cy="1409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99071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20"/>
          <w:szCs w:val="20"/>
          <w:b w:val="1"/>
          <w:bCs w:val="1"/>
          <w:color w:val="auto"/>
        </w:rPr>
        <w:t>NOTICE: Under the Credit Reporting Act 2013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The Central Credit Register is maintained and operated by the Central Bank of Ireland. For information on your rights and duties under the Credit Reporting Act 2013 please refer to the factsheet prepared by the Central Bank of Ireland. This factsheet is available at: </w:t>
      </w:r>
      <w:r>
        <w:rPr>
          <w:rFonts w:ascii="Times New Roman" w:cs="Times New Roman" w:eastAsia="Times New Roman" w:hAnsi="Times New Roman"/>
          <w:sz w:val="20"/>
          <w:szCs w:val="20"/>
          <w:b w:val="1"/>
          <w:bCs w:val="1"/>
          <w:u w:val="single" w:color="auto"/>
          <w:color w:val="0563C1"/>
        </w:rPr>
        <w:t>www.centralcreditregister.ie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60"/>
          </w:cols>
          <w:pgMar w:left="560" w:top="1440" w:right="5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19"/>
                <w:szCs w:val="19"/>
                <w:color w:val="auto"/>
              </w:rPr>
            </w:pPr>
          </w:p>
        </w:tc>
        <w:tc>
          <w:tcPr>
            <w:tcW w:w="9080" w:type="dxa"/>
            <w:vAlign w:val="bottom"/>
            <w:gridSpan w:val="3"/>
          </w:tcPr>
          <w:p>
            <w:pPr>
              <w:ind w:left="29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20" w:type="dxa"/>
            <w:vAlign w:val="bottom"/>
          </w:tcPr>
          <w:p>
            <w:pPr>
              <w:spacing w:after="0"/>
              <w:rPr>
                <w:sz w:val="19"/>
                <w:szCs w:val="19"/>
                <w:color w:val="auto"/>
              </w:rPr>
            </w:pPr>
          </w:p>
        </w:tc>
      </w:tr>
      <w:tr>
        <w:trPr>
          <w:trHeight w:val="493"/>
        </w:trPr>
        <w:tc>
          <w:tcPr>
            <w:tcW w:w="1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323"/>
        </w:trPr>
        <w:tc>
          <w:tcPr>
            <w:tcW w:w="10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1.01</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Defined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1.02  Classification of Loans and Borrowings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1.03</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Terms 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1.04  Accounting Terms; GAAP; Pro Forma Calculations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1.05  Interest Rates; Benchmark Notification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1.06</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Leverage Ratios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1.07</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Divisions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1.08  Limited Conditionality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1.09</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Irish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8"/>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1.10  Delayed Draw Term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38"/>
        </w:trPr>
        <w:tc>
          <w:tcPr>
            <w:tcW w:w="10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0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2.01</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2.02  Loans and Borrowings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2.03  Requests for Borrowings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2.04</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2.05</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2.06</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2.07  Funding of Borrowings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2.08</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Interest Elections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2.09  Termination of 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2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2.10  Repayment and Amortization of Loans; Evidence of Debt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2.11  Prepayment of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2.12</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Fees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2.13</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2.14  Alternate Rate of 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2.15</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Increased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2.16  Break Funding 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2.17</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2.18  Payments Generally; Allocations of Proceeds; Pro Rata Treatment; Sharing of Setoffs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2.19  Mitigation Obligations; Replacement of Lenders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2.20</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Incremental Facilities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2.21</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Defaulting Lenders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2.22</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Refinancing Facilities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0"/>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2.23  Extension of Term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2.24</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Borrower Appointment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2.25</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Loan Repurchases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2.26</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Illegality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8"/>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2.27</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MIRE Event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38"/>
        </w:trPr>
        <w:tc>
          <w:tcPr>
            <w:tcW w:w="10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09"/>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3.01  Organization; Powers; Subsidiaries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3.02</w:t>
            </w:r>
          </w:p>
        </w:tc>
        <w:tc>
          <w:tcPr>
            <w:tcW w:w="90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1054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auto"/>
              </w:rPr>
              <w:t>Section 3.03  Governmental Approvals; No Conflicts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0960"/>
          </w:cols>
          <w:pgMar w:left="440" w:top="247"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3.04  Financial Condition; No Material Adverse Change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3.05</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3.06  Litigation, Environmental and Labor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3.07  Compliance with Laws and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3.08  Investment Company Status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3.09</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3.10</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ERISA</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3.15</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Solvency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3.16</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3.17  Security Interest in Collateral</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3.18  Anti-Corruption Laws and Sanctions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3.19</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Intentionally Omitted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3.20  Centre of main interests and establishment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3.21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Margin Regulations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3.22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Acquisition Documents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8"/>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3.23  Plan Assets; Prohibited Transactions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38"/>
        </w:trPr>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0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4.01  Conditions to the Closing Date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4.02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8"/>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4.03  Actions During Certain Funds Period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38"/>
        </w:trPr>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0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5.01  Financial Statements and 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5.02  Notices of Material Events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5.03  Existence; Conduct of Business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5.04  Payment of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5.05  Maintenance of Properties; 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5.06  Books and Records; Inspection Rights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5.07  Compliance with Laws and Material Contractual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5.08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5.09  Subsidiary Guarantors; Pledges; Additional Collateral; Further Assurances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5.10  Post- Closing Date Covenants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5.11  Scheme and Offer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5.12  Centre of main interests and establishment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8"/>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5.13  Designation of Subsidiaries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38"/>
        </w:trPr>
        <w:tc>
          <w:tcPr>
            <w:tcW w:w="9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30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6.01</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Indebtedness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6.02</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6.03</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Fundamental Changes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6.04</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Dispositions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30"/>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6.05  Investments, Loans, Advances, Guarantees and Acquisitions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6.06</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Swap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29"/>
        </w:trPr>
        <w:tc>
          <w:tcPr>
            <w:tcW w:w="90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6.07  Transactions with Affiliates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6.08</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Restricted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8"/>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6.09</w:t>
            </w:r>
          </w:p>
        </w:tc>
        <w:tc>
          <w:tcPr>
            <w:tcW w:w="7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Restrictive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960"/>
          </w:cols>
          <w:pgMar w:left="440" w:top="265"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6.10  Junior Indebtedness and Amendments to Junior Indebtedness Documents and Organizational Documents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6.11  Sale and Leaseback Transactions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6.12  Material Intellectual Property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6.13</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Covenants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8"/>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6.14  Covenant Suspension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338"/>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30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7.01  Events of Default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7.02  Remedies Upon an Event of Default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8"/>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7.03  Application of Payments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338"/>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30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8.01  Authorization and Action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8.02  Administrative Agent’s Reliance, Limitation of Liability, etc.</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8.03  Posting of Communications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8.04  The Administrative Agent Individually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8.05  Successor Administrative Agent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8.06  Acknowledgements of Lenders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8.07</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Collateral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8.08</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Credit Bidding</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58"/>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8.09  Certain ERISA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338"/>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30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9.01</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9.02</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Waivers; Amendments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9.03  Expenses; Limitation of Liability; Indemnity, etc.</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9.04  Successors and Assigns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9.05</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9.06  Counterparts; Integration; Effectiveness; Electronic Execution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9.07</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Severability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9.08  Right of Setoff</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9.09  Governing Law; Jurisdiction; Consent to Service of Process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9.10  WAIVER OF JURY TRIAL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9.11</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Headings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9.12</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9.13  USA PATRIOT Act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9.14  Releases of Subsidiary Guarantors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9.15  Appointment for Perfection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9.16  Interest Rate Limitation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9.17  No Fiduciary Duty, etc.</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29"/>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9.18  Acknowledgement and Consent to Bail-In of Affected Financial Institutions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9.19  Acknowledgement Regarding Any Supported QFCs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30"/>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9.20</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Marketing Consent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30"/>
        </w:trPr>
        <w:tc>
          <w:tcPr>
            <w:tcW w:w="102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Section 9.21  Obligation Joint and Several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r>
      <w:tr>
        <w:trPr>
          <w:trHeight w:val="229"/>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9.22</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58"/>
        </w:trPr>
        <w:tc>
          <w:tcPr>
            <w:tcW w:w="1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Section 9.23</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Process Agent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960"/>
          </w:cols>
          <w:pgMar w:left="440" w:top="26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 and Exhibits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SCHEDULES:</w:t>
            </w:r>
          </w:p>
        </w:tc>
        <w:tc>
          <w:tcPr>
            <w:tcW w:w="6260" w:type="dxa"/>
            <w:vAlign w:val="bottom"/>
          </w:tcPr>
          <w:p>
            <w:pPr>
              <w:spacing w:after="0"/>
              <w:rPr>
                <w:sz w:val="19"/>
                <w:szCs w:val="19"/>
                <w:color w:val="auto"/>
              </w:rPr>
            </w:pPr>
          </w:p>
        </w:tc>
      </w:tr>
      <w:tr>
        <w:trPr>
          <w:trHeight w:val="443"/>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Schedule 2.01</w:t>
            </w:r>
          </w:p>
        </w:tc>
        <w:tc>
          <w:tcPr>
            <w:tcW w:w="280" w:type="dxa"/>
            <w:vAlign w:val="bottom"/>
          </w:tcPr>
          <w:p>
            <w:pPr>
              <w:spacing w:after="0"/>
              <w:rPr>
                <w:sz w:val="24"/>
                <w:szCs w:val="24"/>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Commitments</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3.01</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Subsidiaries</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3.06</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Litigation</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3.07(b)</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Healthcare and Regulatory Matters</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6.01</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6.02</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6.05</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6.07</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Transactions with Affiliates</w:t>
            </w:r>
          </w:p>
        </w:tc>
      </w:tr>
      <w:tr>
        <w:trPr>
          <w:trHeight w:val="258"/>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6.09</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Restrictive Agreements</w:t>
            </w:r>
          </w:p>
        </w:tc>
      </w:tr>
      <w:tr>
        <w:trPr>
          <w:trHeight w:val="39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EXHIBITS:</w:t>
            </w:r>
          </w:p>
        </w:tc>
        <w:tc>
          <w:tcPr>
            <w:tcW w:w="6260" w:type="dxa"/>
            <w:vAlign w:val="bottom"/>
          </w:tcPr>
          <w:p>
            <w:pPr>
              <w:spacing w:after="0"/>
              <w:rPr>
                <w:sz w:val="24"/>
                <w:szCs w:val="24"/>
                <w:color w:val="auto"/>
              </w:rPr>
            </w:pPr>
          </w:p>
        </w:tc>
      </w:tr>
      <w:tr>
        <w:trPr>
          <w:trHeight w:val="443"/>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520" w:type="dxa"/>
            <w:vAlign w:val="bottom"/>
            <w:gridSpan w:val="2"/>
          </w:tcPr>
          <w:p>
            <w:pPr>
              <w:spacing w:after="0"/>
              <w:rPr>
                <w:sz w:val="24"/>
                <w:szCs w:val="24"/>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B</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C</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D</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List of Closing Date Documents</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Closing Certificate</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F-1</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U.S. Tax Certificate (Foreign Lenders That Are Not Partnerships)</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F-2</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Form of U.S. Tax Certificate (Foreign Participants That Are Not Partnerships)</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F-3</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U.S. Tax Certificate (Foreign Participants That Are Partnerships)</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F-4</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U.S. Tax Certificate (Foreign Lenders That Are Partnerships)</w:t>
            </w:r>
          </w:p>
        </w:tc>
      </w:tr>
      <w:tr>
        <w:trPr>
          <w:trHeight w:val="230"/>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G-1</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G-2</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H-1</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Initial Tranche A Term Loan Note</w:t>
            </w:r>
          </w:p>
        </w:tc>
      </w:tr>
      <w:tr>
        <w:trPr>
          <w:trHeight w:val="243"/>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H-2</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Initial Tranche B Term Loan Note</w:t>
            </w:r>
          </w:p>
        </w:tc>
      </w:tr>
      <w:tr>
        <w:trPr>
          <w:trHeight w:val="258"/>
        </w:trPr>
        <w:tc>
          <w:tcPr>
            <w:tcW w:w="1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I</w:t>
            </w:r>
          </w:p>
        </w:tc>
        <w:tc>
          <w:tcPr>
            <w:tcW w:w="6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378"/>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60" w:type="dxa"/>
            <w:vAlign w:val="bottom"/>
          </w:tcPr>
          <w:p>
            <w:pPr>
              <w:ind w:left="3840"/>
              <w:spacing w:after="0"/>
              <w:rPr>
                <w:sz w:val="20"/>
                <w:szCs w:val="20"/>
                <w:color w:val="auto"/>
              </w:rPr>
            </w:pPr>
            <w:r>
              <w:rPr>
                <w:rFonts w:ascii="Times New Roman" w:cs="Times New Roman" w:eastAsia="Times New Roman" w:hAnsi="Times New Roman"/>
                <w:sz w:val="20"/>
                <w:szCs w:val="20"/>
                <w:color w:val="auto"/>
              </w:rPr>
              <w:t>iv</w:t>
            </w:r>
          </w:p>
        </w:tc>
      </w:tr>
    </w:tbl>
    <w:p>
      <w:pPr>
        <w:sectPr>
          <w:pgSz w:w="11900" w:h="16838" w:orient="portrait"/>
          <w:cols w:equalWidth="0" w:num="1">
            <w:col w:w="10019"/>
          </w:cols>
          <w:pgMar w:left="440" w:top="265" w:right="1440" w:bottom="1440" w:gutter="0" w:footer="0" w:header="0"/>
        </w:sectPr>
      </w:pPr>
    </w:p>
    <w:bookmarkStart w:id="13" w:name="page14"/>
    <w:bookmarkEnd w:id="13"/>
    <w:p>
      <w:pPr>
        <w:jc w:val="both"/>
        <w:ind w:left="4" w:firstLine="55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February 12, 2026, among ALKERMES PLC, a company incorporated under the laws of Ireland (registered number 498284) (the “</w:t>
      </w:r>
      <w:r>
        <w:rPr>
          <w:rFonts w:ascii="Times New Roman" w:cs="Times New Roman" w:eastAsia="Times New Roman" w:hAnsi="Times New Roman"/>
          <w:sz w:val="20"/>
          <w:szCs w:val="20"/>
          <w:u w:val="single" w:color="auto"/>
          <w:color w:val="auto"/>
        </w:rPr>
        <w:t>TopCo Borrower</w:t>
      </w:r>
      <w:r>
        <w:rPr>
          <w:rFonts w:ascii="Times New Roman" w:cs="Times New Roman" w:eastAsia="Times New Roman" w:hAnsi="Times New Roman"/>
          <w:sz w:val="20"/>
          <w:szCs w:val="20"/>
          <w:color w:val="auto"/>
        </w:rPr>
        <w:t>”), Alkermes, Inc., a Pennsylvania corporation and an indirect wholly-owned subsidiary of the TopCo Borrower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Alkermes Finance LLC, a Delaware limited liability company and an indirect wholly owned subsidiary of the TopCo Borrower (the “</w:t>
      </w:r>
      <w:r>
        <w:rPr>
          <w:rFonts w:ascii="Times New Roman" w:cs="Times New Roman" w:eastAsia="Times New Roman" w:hAnsi="Times New Roman"/>
          <w:sz w:val="20"/>
          <w:szCs w:val="20"/>
          <w:u w:val="single" w:color="auto"/>
          <w:color w:val="auto"/>
        </w:rPr>
        <w:t>U.S. Co-Borrower</w:t>
      </w:r>
      <w:r>
        <w:rPr>
          <w:rFonts w:ascii="Times New Roman" w:cs="Times New Roman" w:eastAsia="Times New Roman" w:hAnsi="Times New Roman"/>
          <w:sz w:val="20"/>
          <w:szCs w:val="20"/>
          <w:color w:val="auto"/>
        </w:rPr>
        <w:t>” and together with the U.S. Borrower and the TopCo Borrower,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Lenders from time to time party hereto and JPMORGAN CHASE BANK, N.A., as Administrative Agent.</w:t>
      </w:r>
    </w:p>
    <w:p>
      <w:pPr>
        <w:spacing w:after="0" w:line="18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16"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such Loan, or the Loans comprising such Borrowing, bearing interest at a rate determined by reference to the Alternate Base Rate.</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Acceptance Condition</w:t>
      </w:r>
      <w:r>
        <w:rPr>
          <w:rFonts w:ascii="Times New Roman" w:cs="Times New Roman" w:eastAsia="Times New Roman" w:hAnsi="Times New Roman"/>
          <w:sz w:val="20"/>
          <w:szCs w:val="20"/>
          <w:color w:val="auto"/>
        </w:rPr>
        <w:t>” means the condition with respect to the number of acceptances to the Offer which must be secured in order for the Offer to become or be declared unconditional.</w:t>
      </w:r>
    </w:p>
    <w:p>
      <w:pPr>
        <w:spacing w:after="0" w:line="159"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Product</w:t>
      </w:r>
      <w:r>
        <w:rPr>
          <w:rFonts w:ascii="Times New Roman" w:cs="Times New Roman" w:eastAsia="Times New Roman" w:hAnsi="Times New Roman"/>
          <w:sz w:val="20"/>
          <w:szCs w:val="20"/>
          <w:color w:val="auto"/>
        </w:rPr>
        <w:t>” means any Product and/or related Intellectual Property acquired or licensed by a Loan Party or any Restricted Subsidiary from a Third Party to facilitate the advertisement, design, development, importing, exporting, production, handling, manufacturing, labeling, offering for sale, promotion, sale, testing, use, holding, possession, distribution, storage, security, recordkeeping, or supply of such Product by a Loan Party or a Restricted Subsidiary.</w:t>
      </w:r>
    </w:p>
    <w:p>
      <w:pPr>
        <w:spacing w:after="0" w:line="180" w:lineRule="exact"/>
        <w:rPr>
          <w:sz w:val="20"/>
          <w:szCs w:val="20"/>
          <w:color w:val="auto"/>
        </w:rPr>
      </w:pPr>
    </w:p>
    <w:p>
      <w:pPr>
        <w:jc w:val="both"/>
        <w:ind w:left="4" w:right="20" w:firstLine="551"/>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the purchase, inbound license or other acquisition, or option to purchase, license or otherwise acquire, whether through a single transaction or a series of related transactions, of (a) a majority of the Equity Interests, whether by purchase of such Equity Interests or upon the exercise of an option or warrant for, or conversion of securities into, such Equity Interests, of another Person,</w:t>
      </w:r>
    </w:p>
    <w:p>
      <w:pPr>
        <w:ind w:left="4" w:right="20" w:hanging="4"/>
        <w:spacing w:after="0" w:line="246" w:lineRule="auto"/>
        <w:tabs>
          <w:tab w:leader="none" w:pos="2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of another Person which constitute all or substantially all of the assets of such Person or of a division, line of business or other business unit of such Person, or (c) assets consisting of an Acquired Product, royalty rights or similar assets of such Person.</w:t>
      </w:r>
    </w:p>
    <w:p>
      <w:pPr>
        <w:spacing w:after="0" w:line="182" w:lineRule="exact"/>
        <w:rPr>
          <w:sz w:val="20"/>
          <w:szCs w:val="20"/>
          <w:color w:val="auto"/>
        </w:rPr>
      </w:pPr>
    </w:p>
    <w:p>
      <w:pPr>
        <w:jc w:val="both"/>
        <w:ind w:left="4"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Agreement</w:t>
      </w:r>
      <w:r>
        <w:rPr>
          <w:rFonts w:ascii="Times New Roman" w:cs="Times New Roman" w:eastAsia="Times New Roman" w:hAnsi="Times New Roman"/>
          <w:sz w:val="20"/>
          <w:szCs w:val="20"/>
          <w:color w:val="auto"/>
        </w:rPr>
        <w:t>” means the Transaction Agreement, dated as of October 22, 2025, by and among ALKERMES PLC, an Irish public limited company with registered number 498284 having its registered office at Connaught House, 1 Burlington Road, Dublin 4, Ireland D04 C5Y6, and AVADEL PHARMACEUTICALS PLC, an Irish public limited company with registered number 572535 having its registered office at 10 Earslfort Terrace, Dublin 2, Ireland (as amended by the Acquisition Agreement Amendment and as further amended by any amendments thereto from time to time after November 18, 2025 that do not constitute Materially Adverse Amendments or that have been approved by the Required Lenders).</w:t>
      </w:r>
    </w:p>
    <w:p>
      <w:pPr>
        <w:spacing w:after="0" w:line="184"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Agreement Amendment</w:t>
      </w:r>
      <w:r>
        <w:rPr>
          <w:rFonts w:ascii="Times New Roman" w:cs="Times New Roman" w:eastAsia="Times New Roman" w:hAnsi="Times New Roman"/>
          <w:sz w:val="20"/>
          <w:szCs w:val="20"/>
          <w:color w:val="auto"/>
        </w:rPr>
        <w:t>” means that certain Amendment No. 1 to the Transaction Agreement, dated as of November 18, 2025, by and among ALKERMES PLC, an Irish public limited company with registered number 498284 having its registered office at Connaught House, 1 Burlington Road, Dublin 4, Ireland D04 C5Y6, and AVADEL PHARMACEUTICALS PLC, an Irish public limited company with registered number 572535 having its registered office at 10 Earslfort Terrace, Dublin 2, Ireland.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5" w:right="439" w:bottom="1440" w:gutter="0" w:footer="0" w:header="0"/>
        </w:sectPr>
      </w:pPr>
    </w:p>
    <w:bookmarkStart w:id="14" w:name="page15"/>
    <w:bookmarkEnd w:id="14"/>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Acquisition Consideration</w:t>
      </w:r>
      <w:r>
        <w:rPr>
          <w:rFonts w:ascii="Times New Roman" w:cs="Times New Roman" w:eastAsia="Times New Roman" w:hAnsi="Times New Roman"/>
          <w:sz w:val="20"/>
          <w:szCs w:val="20"/>
          <w:color w:val="auto"/>
        </w:rPr>
        <w:t xml:space="preserve">” means the sum of the cash purchase price for any Permitted Acquisition payable in respect of such Permitted Acquisition (and which, for the avoidance of doubt, but subject to the proviso in this definition, shall include purchase price adjustment, royalty, earnout, contingent payment, progress payments, milestone payments or other deferred payment of a similar nature) plus the aggregate amount of Indebtedness (of the type that are described in clauses (a) through (g) and (l) of the definition of “Indebtedness”) assumed on such date in connection with such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Acquisition Consideration shall not include any sales-based milestone payments or royalty payments to be made after the closing of any Permitted Acquisition and any future payment that is subject to a contingency shall only be considered Acquisition Consideration up to the amount of the reserve, if any, required under GAAP at the time of such sale to be established in respect thereof by the TopCo Borrower or any of its Restricted Subsidiaries.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Documents</w:t>
      </w:r>
      <w:r>
        <w:rPr>
          <w:rFonts w:ascii="Times New Roman" w:cs="Times New Roman" w:eastAsia="Times New Roman" w:hAnsi="Times New Roman"/>
          <w:sz w:val="20"/>
          <w:szCs w:val="20"/>
          <w:color w:val="auto"/>
        </w:rPr>
        <w:t>” means the Scheme Documents or the Offer Documents (as the case may be).</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in its capacity as administrative agent for the Lenders hereunder.</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Fee Letter</w:t>
      </w:r>
      <w:r>
        <w:rPr>
          <w:rFonts w:ascii="Times New Roman" w:cs="Times New Roman" w:eastAsia="Times New Roman" w:hAnsi="Times New Roman"/>
          <w:sz w:val="20"/>
          <w:szCs w:val="20"/>
          <w:color w:val="auto"/>
        </w:rPr>
        <w:t>” means that certain amended and restated agent fee letter, dated as of December 24, 2025, between the TopCo Borrower, the U.S. Borrower and JPMorgan Chase Bank, N.A, as amended, restated, supplemented or otherwise modified from time to time.</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introductory paragraph.</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Allocation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greatest of (a) the Prime Rate in effect on such day, (b) the NYFRB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 xml:space="preserve"> of 1% and (c) the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(for the avoidance of doubt, only until the Benchmark Replacement has been determined pursuant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then the Alternate Base Rate shall be the greater of </w:t>
      </w:r>
      <w:r>
        <w:rPr>
          <w:rFonts w:ascii="Times New Roman" w:cs="Times New Roman" w:eastAsia="Times New Roman" w:hAnsi="Times New Roman"/>
          <w:sz w:val="20"/>
          <w:szCs w:val="20"/>
          <w:u w:val="single" w:color="auto"/>
          <w:color w:val="auto"/>
        </w:rPr>
        <w:t>clauses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5" w:right="439" w:bottom="1440" w:gutter="0" w:footer="0" w:header="0"/>
        </w:sectPr>
      </w:pPr>
    </w:p>
    <w:bookmarkStart w:id="15" w:name="page16"/>
    <w:bookmarkEnd w:id="15"/>
    <w:p>
      <w:pPr>
        <w:jc w:val="both"/>
        <w:ind w:left="4" w:right="20" w:hanging="4"/>
        <w:spacing w:after="0" w:line="254" w:lineRule="auto"/>
        <w:tabs>
          <w:tab w:leader="none" w:pos="273" w:val="left"/>
        </w:tabs>
        <w:numPr>
          <w:ilvl w:val="0"/>
          <w:numId w:val="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For the avoidance of doubt, if the Alternate Base Rate as determined pursuant to the foregoing would be less than the Floor, such rate shall be deemed to be the Floor for purposes of this Agreement.</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TopCo Borrower or any of its Restricted Subsidiaries from time to time concerning or relating to bribery or corruption, including the U.S. Foreign Corrupt Practices Act of 1977.</w:t>
      </w:r>
    </w:p>
    <w:p>
      <w:pPr>
        <w:spacing w:after="0" w:line="174"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Facilities Percentage</w:t>
      </w:r>
      <w:r>
        <w:rPr>
          <w:rFonts w:ascii="Times New Roman" w:cs="Times New Roman" w:eastAsia="Times New Roman" w:hAnsi="Times New Roman"/>
          <w:sz w:val="20"/>
          <w:szCs w:val="20"/>
          <w:color w:val="auto"/>
        </w:rPr>
        <w:t xml:space="preserve">” means with respect to any Lender, (a) (i) prior to the Closing Date, a percentage equal to a fraction the numerator of which is such Lender’s Initial Term Commitments and the denominator of which is the aggregate Initial Term Commitments of all Lenders (if the Initial Term Commitments have been terminated or expired, the Applicable Facilities Percentages shall be determined based upon the Initial Term Commitments most recently in effect, giving effect to any assignments);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when a Defaulting Lender shall exist, any such Defaulting Lender’s Initial Term Commitments shall be disregarded in such calculation and (ii) on and after the Closing Date, a percentage equal to a fraction the numerator of which is the outstanding principal amount of such Lender’s Initial Term Loans and the denominator of which is the outstanding principal amount of the Initial Term Loans of all Lenders.</w:t>
      </w:r>
    </w:p>
    <w:p>
      <w:pPr>
        <w:spacing w:after="0" w:line="189"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(a) with respect to the Initial Tranche A Term Facility, (i) prior to the Closing Date, a percentage equal to a fraction the numerator of which is such Initial Tranche A Term Lender’s Initial Tranche A Term Commitment and the denominator of which is the aggregate Initial Tranche A Term Commitments of all Initial Tranche A Term Lenders (if the Initial Tranche A Term Commitments have been terminated or expired, the Applicable Percentages shall be determined based upon the Initial Tranche A Term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when a Defaulting Lender shall exist, any such Defaulting Lender’s Initial Tranche A Term Commitment shall be disregarded in such calculation and (ii) on and after the Closing Date, a percentage equal to a fraction the numerator of which is the outstanding principal amount of such Initial Tranche A Term Lender’s Initial Tranche A Term Loan and the denominator of which is the outstanding principal amount of the Initial Tranche A Term Loans of all Initial Tranche A Term Lenders and (b) with respect to the Initial Tranche B Term Facility, (i) prior to the Closing Date, a percentage equal to a fraction the numerator of which is such Initial Tranche B Term Lender’s Initial Tranche B Term Commitment and the denominator of which is the aggregate Initial Tranche B Term Commitments of all Initial Tranche B Term Lenders (if the Initial Tranche B Term Commitments have been terminated or expired, the Applicable Percentages shall be determined based upon the Initial Tranche B Term Commitments most recently in effect, giving effect to any assignments);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when a Defaulting Lender shall exist, any such Defaulting Lender’s Initial Tranche B Term Commitment shall be disregarded in such calculation and (ii) on and after the Closing Date, a percentage equal to a fraction the numerator of which is the outstanding principal amount of such Initial Tranche B Term Lender’s Initial Tranche B Term Loan and the denominator of which is the outstanding principal amount of the Initial Tranche B Term Loans of all Initial Tranche B Term Lenders.</w:t>
      </w:r>
    </w:p>
    <w:p>
      <w:pPr>
        <w:spacing w:after="0" w:line="187"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Pledge Percentage</w:t>
      </w:r>
      <w:r>
        <w:rPr>
          <w:rFonts w:ascii="Times New Roman" w:cs="Times New Roman" w:eastAsia="Times New Roman" w:hAnsi="Times New Roman"/>
          <w:sz w:val="20"/>
          <w:szCs w:val="20"/>
          <w:color w:val="auto"/>
        </w:rPr>
        <w:t>” means (a) 100% except as otherwise described in clause (b), and (b) 65%, in the case of a pledge by the U.S. Borrower, the U.S. Co-Borrower or any Domestic Subsidiary (that is not an Excluded Subsidiary) of its voting Equity Interests in a Foreign Subsidiary (other than an Irish Subsidiary) treated as a CFC or a Domestic Foreign Holding Company.</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5" w:right="439" w:bottom="1440" w:gutter="0" w:footer="0" w:header="0"/>
        </w:sectPr>
      </w:pPr>
    </w:p>
    <w:bookmarkStart w:id="16" w:name="page17"/>
    <w:bookmarkEnd w:id="16"/>
    <w:p>
      <w:pPr>
        <w:ind w:left="4" w:right="20" w:firstLine="547"/>
        <w:spacing w:after="0" w:line="273" w:lineRule="auto"/>
        <w:tabs>
          <w:tab w:leader="none" w:pos="83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the Initial Tranche B Term Loans, (i) with respect to any ABR Loan, 1.75%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and (ii) with respect to any Term Benchmark Loan or any RFR Loan, 2.75%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and</w:t>
      </w:r>
    </w:p>
    <w:p>
      <w:pPr>
        <w:spacing w:after="0" w:line="155" w:lineRule="exact"/>
        <w:rPr>
          <w:rFonts w:ascii="Times New Roman" w:cs="Times New Roman" w:eastAsia="Times New Roman" w:hAnsi="Times New Roman"/>
          <w:sz w:val="20"/>
          <w:szCs w:val="20"/>
          <w:color w:val="auto"/>
        </w:rPr>
      </w:pPr>
    </w:p>
    <w:p>
      <w:pPr>
        <w:jc w:val="both"/>
        <w:ind w:left="4" w:right="20" w:firstLine="547"/>
        <w:spacing w:after="0" w:line="254" w:lineRule="auto"/>
        <w:tabs>
          <w:tab w:leader="none" w:pos="83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Initial Tranche A Term Loans, with respect to any ABR Loan, any Term Benchmark Loan or any RFR Loan, the applicable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set forth below under the caption “ABR Spread”, “Term Benchmark Spread” or “RFR Spread”, as the case may be:</w:t>
      </w:r>
    </w:p>
    <w:p>
      <w:pPr>
        <w:spacing w:after="0" w:line="204" w:lineRule="exact"/>
        <w:rPr>
          <w:sz w:val="20"/>
          <w:szCs w:val="20"/>
          <w:color w:val="auto"/>
        </w:rPr>
      </w:pPr>
    </w:p>
    <w:tbl>
      <w:tblPr>
        <w:tblLayout w:type="fixed"/>
        <w:tblInd w:w="14" w:type="dxa"/>
        <w:tblCellMar>
          <w:top w:w="0" w:type="dxa"/>
          <w:left w:w="0" w:type="dxa"/>
          <w:bottom w:w="0" w:type="dxa"/>
          <w:right w:w="0" w:type="dxa"/>
        </w:tblCellMar>
      </w:tblPr>
      <w:tr>
        <w:trPr>
          <w:trHeight w:val="203"/>
        </w:trPr>
        <w:tc>
          <w:tcPr>
            <w:tcW w:w="3860" w:type="dxa"/>
            <w:vAlign w:val="bottom"/>
            <w:tcBorders>
              <w:top w:val="single" w:sz="8" w:color="auto"/>
              <w:left w:val="single" w:sz="8" w:color="auto"/>
              <w:right w:val="single" w:sz="8" w:color="auto"/>
            </w:tcBorders>
            <w:gridSpan w:val="5"/>
            <w:vMerge w:val="restart"/>
            <w:shd w:val="clear" w:color="auto" w:fill="B2B2B2"/>
          </w:tcPr>
          <w:p>
            <w:pPr>
              <w:jc w:val="center"/>
              <w:ind w:left="41"/>
              <w:spacing w:after="0"/>
              <w:rPr>
                <w:sz w:val="20"/>
                <w:szCs w:val="20"/>
                <w:color w:val="auto"/>
              </w:rPr>
            </w:pPr>
            <w:r>
              <w:rPr>
                <w:rFonts w:ascii="Times New Roman" w:cs="Times New Roman" w:eastAsia="Times New Roman" w:hAnsi="Times New Roman"/>
                <w:sz w:val="20"/>
                <w:szCs w:val="20"/>
                <w:color w:val="auto"/>
                <w:w w:val="99"/>
              </w:rPr>
              <w:t>Secured Net Leverage Ratio</w:t>
            </w:r>
          </w:p>
        </w:tc>
        <w:tc>
          <w:tcPr>
            <w:tcW w:w="3640" w:type="dxa"/>
            <w:vAlign w:val="bottom"/>
            <w:tcBorders>
              <w:top w:val="single" w:sz="8" w:color="auto"/>
              <w:right w:val="single" w:sz="8" w:color="auto"/>
            </w:tcBorders>
            <w:gridSpan w:val="3"/>
            <w:vMerge w:val="restart"/>
            <w:shd w:val="clear" w:color="auto" w:fill="B2B2B2"/>
          </w:tcPr>
          <w:p>
            <w:pPr>
              <w:jc w:val="center"/>
              <w:spacing w:after="0"/>
              <w:rPr>
                <w:sz w:val="20"/>
                <w:szCs w:val="20"/>
                <w:color w:val="auto"/>
              </w:rPr>
            </w:pPr>
            <w:r>
              <w:rPr>
                <w:rFonts w:ascii="Times New Roman" w:cs="Times New Roman" w:eastAsia="Times New Roman" w:hAnsi="Times New Roman"/>
                <w:sz w:val="20"/>
                <w:szCs w:val="20"/>
                <w:color w:val="auto"/>
                <w:w w:val="98"/>
              </w:rPr>
              <w:t>ABR Spread</w:t>
            </w:r>
          </w:p>
        </w:tc>
        <w:tc>
          <w:tcPr>
            <w:tcW w:w="720" w:type="dxa"/>
            <w:vAlign w:val="bottom"/>
            <w:tcBorders>
              <w:top w:val="single" w:sz="8" w:color="auto"/>
            </w:tcBorders>
            <w:shd w:val="clear" w:color="auto" w:fill="B2B2B2"/>
          </w:tcPr>
          <w:p>
            <w:pPr>
              <w:spacing w:after="0"/>
              <w:rPr>
                <w:sz w:val="17"/>
                <w:szCs w:val="17"/>
                <w:color w:val="auto"/>
              </w:rPr>
            </w:pPr>
          </w:p>
        </w:tc>
        <w:tc>
          <w:tcPr>
            <w:tcW w:w="2820" w:type="dxa"/>
            <w:vAlign w:val="bottom"/>
            <w:tcBorders>
              <w:top w:val="single" w:sz="8" w:color="auto"/>
              <w:right w:val="single" w:sz="8" w:color="auto"/>
            </w:tcBorders>
            <w:gridSpan w:val="4"/>
            <w:shd w:val="clear" w:color="auto" w:fill="B2B2B2"/>
          </w:tcPr>
          <w:p>
            <w:pPr>
              <w:jc w:val="center"/>
              <w:ind w:right="680"/>
              <w:spacing w:after="0" w:line="203" w:lineRule="exact"/>
              <w:rPr>
                <w:sz w:val="20"/>
                <w:szCs w:val="20"/>
                <w:color w:val="auto"/>
              </w:rPr>
            </w:pPr>
            <w:r>
              <w:rPr>
                <w:rFonts w:ascii="Times New Roman" w:cs="Times New Roman" w:eastAsia="Times New Roman" w:hAnsi="Times New Roman"/>
                <w:sz w:val="20"/>
                <w:szCs w:val="20"/>
                <w:color w:val="auto"/>
                <w:w w:val="98"/>
              </w:rPr>
              <w:t>Term Benchmark and RFR</w:t>
            </w:r>
          </w:p>
        </w:tc>
        <w:tc>
          <w:tcPr>
            <w:tcW w:w="0" w:type="dxa"/>
            <w:vAlign w:val="bottom"/>
          </w:tcPr>
          <w:p>
            <w:pPr>
              <w:spacing w:after="0"/>
              <w:rPr>
                <w:sz w:val="1"/>
                <w:szCs w:val="1"/>
                <w:color w:val="auto"/>
              </w:rPr>
            </w:pPr>
          </w:p>
        </w:tc>
      </w:tr>
      <w:tr>
        <w:trPr>
          <w:trHeight w:val="88"/>
        </w:trPr>
        <w:tc>
          <w:tcPr>
            <w:tcW w:w="3860" w:type="dxa"/>
            <w:vAlign w:val="bottom"/>
            <w:tcBorders>
              <w:top w:val="single" w:sz="8" w:color="auto"/>
              <w:left w:val="single" w:sz="8" w:color="auto"/>
              <w:right w:val="single" w:sz="8" w:color="auto"/>
            </w:tcBorders>
            <w:gridSpan w:val="5"/>
            <w:vMerge w:val="continue"/>
            <w:shd w:val="clear" w:color="auto" w:fill="B2B2B2"/>
          </w:tcPr>
          <w:p>
            <w:pPr>
              <w:spacing w:after="0"/>
              <w:rPr>
                <w:sz w:val="7"/>
                <w:szCs w:val="7"/>
                <w:color w:val="auto"/>
              </w:rPr>
            </w:pPr>
          </w:p>
        </w:tc>
        <w:tc>
          <w:tcPr>
            <w:tcW w:w="3640" w:type="dxa"/>
            <w:vAlign w:val="bottom"/>
            <w:tcBorders>
              <w:top w:val="single" w:sz="8" w:color="auto"/>
              <w:right w:val="single" w:sz="8" w:color="auto"/>
            </w:tcBorders>
            <w:gridSpan w:val="3"/>
            <w:vMerge w:val="continue"/>
            <w:shd w:val="clear" w:color="auto" w:fill="B2B2B2"/>
          </w:tcPr>
          <w:p>
            <w:pPr>
              <w:spacing w:after="0"/>
              <w:rPr>
                <w:sz w:val="7"/>
                <w:szCs w:val="7"/>
                <w:color w:val="auto"/>
              </w:rPr>
            </w:pPr>
          </w:p>
        </w:tc>
        <w:tc>
          <w:tcPr>
            <w:tcW w:w="720" w:type="dxa"/>
            <w:vAlign w:val="bottom"/>
            <w:tcBorders>
              <w:top w:val="single" w:sz="8" w:color="B2B2B2"/>
            </w:tcBorders>
            <w:shd w:val="clear" w:color="auto" w:fill="B2B2B2"/>
          </w:tcPr>
          <w:p>
            <w:pPr>
              <w:spacing w:after="0"/>
              <w:rPr>
                <w:sz w:val="7"/>
                <w:szCs w:val="7"/>
                <w:color w:val="auto"/>
              </w:rPr>
            </w:pPr>
          </w:p>
        </w:tc>
        <w:tc>
          <w:tcPr>
            <w:tcW w:w="2140" w:type="dxa"/>
            <w:vAlign w:val="bottom"/>
            <w:tcBorders>
              <w:top w:val="single" w:sz="8" w:color="auto"/>
            </w:tcBorders>
            <w:gridSpan w:val="3"/>
            <w:vMerge w:val="restart"/>
            <w:shd w:val="clear" w:color="auto" w:fill="B2B2B2"/>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Spread</w:t>
            </w:r>
          </w:p>
        </w:tc>
        <w:tc>
          <w:tcPr>
            <w:tcW w:w="680" w:type="dxa"/>
            <w:vAlign w:val="bottom"/>
            <w:tcBorders>
              <w:top w:val="single" w:sz="8" w:color="B2B2B2"/>
              <w:right w:val="single" w:sz="8" w:color="auto"/>
            </w:tcBorders>
            <w:vMerge w:val="restart"/>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880" w:type="dxa"/>
            <w:vAlign w:val="bottom"/>
            <w:tcBorders>
              <w:top w:val="single" w:sz="8" w:color="B2B2B2"/>
              <w:left w:val="single" w:sz="8" w:color="auto"/>
              <w:bottom w:val="single" w:sz="8" w:color="auto"/>
            </w:tcBorders>
            <w:shd w:val="clear" w:color="auto" w:fill="B2B2B2"/>
          </w:tcPr>
          <w:p>
            <w:pPr>
              <w:spacing w:after="0"/>
              <w:rPr>
                <w:sz w:val="12"/>
                <w:szCs w:val="12"/>
                <w:color w:val="auto"/>
              </w:rPr>
            </w:pPr>
          </w:p>
        </w:tc>
        <w:tc>
          <w:tcPr>
            <w:tcW w:w="680" w:type="dxa"/>
            <w:vAlign w:val="bottom"/>
            <w:tcBorders>
              <w:top w:val="single" w:sz="8" w:color="auto"/>
              <w:bottom w:val="single" w:sz="8" w:color="auto"/>
            </w:tcBorders>
            <w:shd w:val="clear" w:color="auto" w:fill="B2B2B2"/>
          </w:tcPr>
          <w:p>
            <w:pPr>
              <w:spacing w:after="0"/>
              <w:rPr>
                <w:sz w:val="12"/>
                <w:szCs w:val="12"/>
                <w:color w:val="auto"/>
              </w:rPr>
            </w:pPr>
          </w:p>
        </w:tc>
        <w:tc>
          <w:tcPr>
            <w:tcW w:w="880" w:type="dxa"/>
            <w:vAlign w:val="bottom"/>
            <w:tcBorders>
              <w:top w:val="single" w:sz="8" w:color="auto"/>
              <w:bottom w:val="single" w:sz="8" w:color="auto"/>
            </w:tcBorders>
            <w:shd w:val="clear" w:color="auto" w:fill="B2B2B2"/>
          </w:tcPr>
          <w:p>
            <w:pPr>
              <w:spacing w:after="0"/>
              <w:rPr>
                <w:sz w:val="12"/>
                <w:szCs w:val="12"/>
                <w:color w:val="auto"/>
              </w:rPr>
            </w:pPr>
          </w:p>
        </w:tc>
        <w:tc>
          <w:tcPr>
            <w:tcW w:w="680" w:type="dxa"/>
            <w:vAlign w:val="bottom"/>
            <w:tcBorders>
              <w:top w:val="single" w:sz="8" w:color="auto"/>
              <w:bottom w:val="single" w:sz="8" w:color="auto"/>
            </w:tcBorders>
            <w:shd w:val="clear" w:color="auto" w:fill="B2B2B2"/>
          </w:tcPr>
          <w:p>
            <w:pPr>
              <w:spacing w:after="0"/>
              <w:rPr>
                <w:sz w:val="12"/>
                <w:szCs w:val="12"/>
                <w:color w:val="auto"/>
              </w:rPr>
            </w:pPr>
          </w:p>
        </w:tc>
        <w:tc>
          <w:tcPr>
            <w:tcW w:w="740" w:type="dxa"/>
            <w:vAlign w:val="bottom"/>
            <w:tcBorders>
              <w:top w:val="single" w:sz="8" w:color="B2B2B2"/>
              <w:bottom w:val="single" w:sz="8" w:color="auto"/>
              <w:right w:val="single" w:sz="8" w:color="auto"/>
            </w:tcBorders>
            <w:shd w:val="clear" w:color="auto" w:fill="B2B2B2"/>
          </w:tcPr>
          <w:p>
            <w:pPr>
              <w:spacing w:after="0"/>
              <w:rPr>
                <w:sz w:val="12"/>
                <w:szCs w:val="12"/>
                <w:color w:val="auto"/>
              </w:rPr>
            </w:pPr>
          </w:p>
        </w:tc>
        <w:tc>
          <w:tcPr>
            <w:tcW w:w="1360" w:type="dxa"/>
            <w:vAlign w:val="bottom"/>
            <w:tcBorders>
              <w:top w:val="single" w:sz="8" w:color="B2B2B2"/>
              <w:bottom w:val="single" w:sz="8" w:color="auto"/>
            </w:tcBorders>
            <w:shd w:val="clear" w:color="auto" w:fill="B2B2B2"/>
          </w:tcPr>
          <w:p>
            <w:pPr>
              <w:spacing w:after="0"/>
              <w:rPr>
                <w:sz w:val="12"/>
                <w:szCs w:val="12"/>
                <w:color w:val="auto"/>
              </w:rPr>
            </w:pPr>
          </w:p>
        </w:tc>
        <w:tc>
          <w:tcPr>
            <w:tcW w:w="1000" w:type="dxa"/>
            <w:vAlign w:val="bottom"/>
            <w:tcBorders>
              <w:top w:val="single" w:sz="8" w:color="auto"/>
              <w:bottom w:val="single" w:sz="8" w:color="auto"/>
            </w:tcBorders>
            <w:shd w:val="clear" w:color="auto" w:fill="B2B2B2"/>
          </w:tcPr>
          <w:p>
            <w:pPr>
              <w:spacing w:after="0"/>
              <w:rPr>
                <w:sz w:val="12"/>
                <w:szCs w:val="12"/>
                <w:color w:val="auto"/>
              </w:rPr>
            </w:pPr>
          </w:p>
        </w:tc>
        <w:tc>
          <w:tcPr>
            <w:tcW w:w="1280" w:type="dxa"/>
            <w:vAlign w:val="bottom"/>
            <w:tcBorders>
              <w:top w:val="single" w:sz="8" w:color="B2B2B2"/>
              <w:bottom w:val="single" w:sz="8" w:color="auto"/>
              <w:right w:val="single" w:sz="8" w:color="auto"/>
            </w:tcBorders>
            <w:shd w:val="clear" w:color="auto" w:fill="B2B2B2"/>
          </w:tcPr>
          <w:p>
            <w:pPr>
              <w:spacing w:after="0"/>
              <w:rPr>
                <w:sz w:val="12"/>
                <w:szCs w:val="12"/>
                <w:color w:val="auto"/>
              </w:rPr>
            </w:pPr>
          </w:p>
        </w:tc>
        <w:tc>
          <w:tcPr>
            <w:tcW w:w="720" w:type="dxa"/>
            <w:vAlign w:val="bottom"/>
            <w:tcBorders>
              <w:top w:val="single" w:sz="8" w:color="B2B2B2"/>
              <w:bottom w:val="single" w:sz="8" w:color="auto"/>
            </w:tcBorders>
            <w:shd w:val="clear" w:color="auto" w:fill="B2B2B2"/>
          </w:tcPr>
          <w:p>
            <w:pPr>
              <w:spacing w:after="0"/>
              <w:rPr>
                <w:sz w:val="12"/>
                <w:szCs w:val="12"/>
                <w:color w:val="auto"/>
              </w:rPr>
            </w:pPr>
          </w:p>
        </w:tc>
        <w:tc>
          <w:tcPr>
            <w:tcW w:w="2140" w:type="dxa"/>
            <w:vAlign w:val="bottom"/>
            <w:tcBorders>
              <w:top w:val="single" w:sz="8" w:color="auto"/>
              <w:bottom w:val="single" w:sz="8" w:color="auto"/>
            </w:tcBorders>
            <w:gridSpan w:val="3"/>
            <w:vMerge w:val="continue"/>
            <w:shd w:val="clear" w:color="auto" w:fill="B2B2B2"/>
          </w:tcPr>
          <w:p>
            <w:pPr>
              <w:spacing w:after="0"/>
              <w:rPr>
                <w:sz w:val="12"/>
                <w:szCs w:val="12"/>
                <w:color w:val="auto"/>
              </w:rPr>
            </w:pPr>
          </w:p>
        </w:tc>
        <w:tc>
          <w:tcPr>
            <w:tcW w:w="680" w:type="dxa"/>
            <w:vAlign w:val="bottom"/>
            <w:tcBorders>
              <w:top w:val="single" w:sz="8" w:color="B2B2B2"/>
              <w:bottom w:val="single" w:sz="8" w:color="auto"/>
              <w:right w:val="single" w:sz="8" w:color="auto"/>
            </w:tcBorders>
            <w:vMerge w:val="continue"/>
            <w:shd w:val="clear" w:color="auto" w:fill="B2B2B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Category 1</w:t>
            </w:r>
          </w:p>
        </w:tc>
        <w:tc>
          <w:tcPr>
            <w:tcW w:w="1420" w:type="dxa"/>
            <w:vAlign w:val="bottom"/>
            <w:tcBorders>
              <w:right w:val="single" w:sz="8" w:color="auto"/>
            </w:tcBorders>
            <w:gridSpan w:val="2"/>
          </w:tcPr>
          <w:p>
            <w:pPr>
              <w:spacing w:after="0"/>
              <w:rPr>
                <w:sz w:val="17"/>
                <w:szCs w:val="17"/>
                <w:color w:val="auto"/>
              </w:rPr>
            </w:pPr>
          </w:p>
        </w:tc>
        <w:tc>
          <w:tcPr>
            <w:tcW w:w="2360" w:type="dxa"/>
            <w:vAlign w:val="bottom"/>
            <w:gridSpan w:val="2"/>
            <w:vMerge w:val="restart"/>
          </w:tcPr>
          <w:p>
            <w:pPr>
              <w:jc w:val="center"/>
              <w:ind w:left="1281"/>
              <w:spacing w:after="0"/>
              <w:rPr>
                <w:sz w:val="20"/>
                <w:szCs w:val="20"/>
                <w:color w:val="auto"/>
              </w:rPr>
            </w:pPr>
            <w:r>
              <w:rPr>
                <w:rFonts w:ascii="Times New Roman" w:cs="Times New Roman" w:eastAsia="Times New Roman" w:hAnsi="Times New Roman"/>
                <w:sz w:val="20"/>
                <w:szCs w:val="20"/>
                <w:color w:val="auto"/>
                <w:w w:val="96"/>
              </w:rPr>
              <w:t>1.50%</w:t>
            </w:r>
          </w:p>
        </w:tc>
        <w:tc>
          <w:tcPr>
            <w:tcW w:w="1280" w:type="dxa"/>
            <w:vAlign w:val="bottom"/>
            <w:tcBorders>
              <w:right w:val="single" w:sz="8" w:color="auto"/>
            </w:tcBorders>
          </w:tcPr>
          <w:p>
            <w:pPr>
              <w:spacing w:after="0"/>
              <w:rPr>
                <w:sz w:val="17"/>
                <w:szCs w:val="17"/>
                <w:color w:val="auto"/>
              </w:rPr>
            </w:pPr>
          </w:p>
        </w:tc>
        <w:tc>
          <w:tcPr>
            <w:tcW w:w="2060" w:type="dxa"/>
            <w:vAlign w:val="bottom"/>
            <w:gridSpan w:val="3"/>
            <w:vMerge w:val="restart"/>
          </w:tcPr>
          <w:p>
            <w:pPr>
              <w:jc w:val="center"/>
              <w:ind w:left="1421"/>
              <w:spacing w:after="0"/>
              <w:rPr>
                <w:sz w:val="20"/>
                <w:szCs w:val="20"/>
                <w:color w:val="auto"/>
              </w:rPr>
            </w:pPr>
            <w:r>
              <w:rPr>
                <w:rFonts w:ascii="Times New Roman" w:cs="Times New Roman" w:eastAsia="Times New Roman" w:hAnsi="Times New Roman"/>
                <w:sz w:val="20"/>
                <w:szCs w:val="20"/>
                <w:color w:val="auto"/>
                <w:w w:val="96"/>
              </w:rPr>
              <w:t>2.50%</w:t>
            </w:r>
          </w:p>
        </w:tc>
        <w:tc>
          <w:tcPr>
            <w:tcW w:w="8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0" w:type="dxa"/>
            <w:vAlign w:val="bottom"/>
            <w:tcBorders>
              <w:lef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300" w:type="dxa"/>
            <w:vAlign w:val="bottom"/>
            <w:tcBorders>
              <w:right w:val="single" w:sz="8" w:color="auto"/>
            </w:tcBorders>
            <w:gridSpan w:val="3"/>
            <w:vMerge w:val="restart"/>
          </w:tcPr>
          <w:p>
            <w:pPr>
              <w:jc w:val="center"/>
              <w:ind w:right="1420"/>
              <w:spacing w:after="0"/>
              <w:rPr>
                <w:sz w:val="20"/>
                <w:szCs w:val="20"/>
                <w:color w:val="auto"/>
              </w:rPr>
            </w:pPr>
            <w:r>
              <w:rPr>
                <w:rFonts w:ascii="Times New Roman" w:cs="Times New Roman" w:eastAsia="Times New Roman" w:hAnsi="Times New Roman"/>
                <w:sz w:val="20"/>
                <w:szCs w:val="20"/>
                <w:color w:val="auto"/>
                <w:w w:val="97"/>
              </w:rPr>
              <w:t>≤ 1.75 to 1</w:t>
            </w:r>
          </w:p>
        </w:tc>
        <w:tc>
          <w:tcPr>
            <w:tcW w:w="2360" w:type="dxa"/>
            <w:vAlign w:val="bottom"/>
            <w:gridSpan w:val="2"/>
            <w:vMerge w:val="continue"/>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tcBorders>
              <w:right w:val="single" w:sz="8" w:color="auto"/>
            </w:tcBorders>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Category 2</w:t>
            </w:r>
          </w:p>
        </w:tc>
        <w:tc>
          <w:tcPr>
            <w:tcW w:w="1420" w:type="dxa"/>
            <w:vAlign w:val="bottom"/>
            <w:tcBorders>
              <w:right w:val="single" w:sz="8" w:color="auto"/>
            </w:tcBorders>
            <w:gridSpan w:val="2"/>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80" w:type="dxa"/>
            <w:vAlign w:val="bottom"/>
            <w:tcBorders>
              <w:left w:val="single" w:sz="8" w:color="auto"/>
            </w:tcBorders>
          </w:tcPr>
          <w:p>
            <w:pPr>
              <w:spacing w:after="0"/>
              <w:rPr>
                <w:sz w:val="24"/>
                <w:szCs w:val="24"/>
                <w:color w:val="auto"/>
              </w:rPr>
            </w:pPr>
          </w:p>
        </w:tc>
        <w:tc>
          <w:tcPr>
            <w:tcW w:w="2980" w:type="dxa"/>
            <w:vAlign w:val="bottom"/>
            <w:tcBorders>
              <w:right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20"/>
                <w:szCs w:val="20"/>
                <w:color w:val="auto"/>
                <w:w w:val="98"/>
              </w:rPr>
              <w:t>&gt; 1.75 to 1 but</w:t>
            </w:r>
          </w:p>
        </w:tc>
        <w:tc>
          <w:tcPr>
            <w:tcW w:w="2360" w:type="dxa"/>
            <w:vAlign w:val="bottom"/>
            <w:gridSpan w:val="2"/>
          </w:tcPr>
          <w:p>
            <w:pPr>
              <w:jc w:val="center"/>
              <w:ind w:left="1281"/>
              <w:spacing w:after="0"/>
              <w:rPr>
                <w:sz w:val="20"/>
                <w:szCs w:val="20"/>
                <w:color w:val="auto"/>
              </w:rPr>
            </w:pPr>
            <w:r>
              <w:rPr>
                <w:rFonts w:ascii="Times New Roman" w:cs="Times New Roman" w:eastAsia="Times New Roman" w:hAnsi="Times New Roman"/>
                <w:sz w:val="20"/>
                <w:szCs w:val="20"/>
                <w:color w:val="auto"/>
                <w:w w:val="96"/>
              </w:rPr>
              <w:t>1.75%</w:t>
            </w:r>
          </w:p>
        </w:tc>
        <w:tc>
          <w:tcPr>
            <w:tcW w:w="1280" w:type="dxa"/>
            <w:vAlign w:val="bottom"/>
            <w:tcBorders>
              <w:right w:val="single" w:sz="8" w:color="auto"/>
            </w:tcBorders>
          </w:tcPr>
          <w:p>
            <w:pPr>
              <w:spacing w:after="0"/>
              <w:rPr>
                <w:sz w:val="24"/>
                <w:szCs w:val="24"/>
                <w:color w:val="auto"/>
              </w:rPr>
            </w:pPr>
          </w:p>
        </w:tc>
        <w:tc>
          <w:tcPr>
            <w:tcW w:w="2060" w:type="dxa"/>
            <w:vAlign w:val="bottom"/>
            <w:gridSpan w:val="3"/>
          </w:tcPr>
          <w:p>
            <w:pPr>
              <w:jc w:val="center"/>
              <w:ind w:left="1421"/>
              <w:spacing w:after="0"/>
              <w:rPr>
                <w:sz w:val="20"/>
                <w:szCs w:val="20"/>
                <w:color w:val="auto"/>
              </w:rPr>
            </w:pPr>
            <w:r>
              <w:rPr>
                <w:rFonts w:ascii="Times New Roman" w:cs="Times New Roman" w:eastAsia="Times New Roman" w:hAnsi="Times New Roman"/>
                <w:sz w:val="20"/>
                <w:szCs w:val="20"/>
                <w:color w:val="auto"/>
                <w:w w:val="96"/>
              </w:rPr>
              <w:t>2.75%</w:t>
            </w:r>
          </w:p>
        </w:tc>
        <w:tc>
          <w:tcPr>
            <w:tcW w:w="8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Borders>
              <w:right w:val="single" w:sz="8" w:color="auto"/>
            </w:tcBorders>
            <w:gridSpan w:val="3"/>
          </w:tcPr>
          <w:p>
            <w:pPr>
              <w:jc w:val="center"/>
              <w:ind w:right="1420"/>
              <w:spacing w:after="0"/>
              <w:rPr>
                <w:sz w:val="20"/>
                <w:szCs w:val="20"/>
                <w:color w:val="auto"/>
              </w:rPr>
            </w:pPr>
            <w:r>
              <w:rPr>
                <w:rFonts w:ascii="Times New Roman" w:cs="Times New Roman" w:eastAsia="Times New Roman" w:hAnsi="Times New Roman"/>
                <w:sz w:val="20"/>
                <w:szCs w:val="20"/>
                <w:color w:val="auto"/>
                <w:w w:val="97"/>
              </w:rPr>
              <w:t>≤ 2.75 to 1</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Category 3</w:t>
            </w:r>
          </w:p>
        </w:tc>
        <w:tc>
          <w:tcPr>
            <w:tcW w:w="1420" w:type="dxa"/>
            <w:vAlign w:val="bottom"/>
            <w:tcBorders>
              <w:right w:val="single" w:sz="8" w:color="auto"/>
            </w:tcBorders>
            <w:gridSpan w:val="2"/>
          </w:tcPr>
          <w:p>
            <w:pPr>
              <w:spacing w:after="0"/>
              <w:rPr>
                <w:sz w:val="17"/>
                <w:szCs w:val="17"/>
                <w:color w:val="auto"/>
              </w:rPr>
            </w:pPr>
          </w:p>
        </w:tc>
        <w:tc>
          <w:tcPr>
            <w:tcW w:w="2360" w:type="dxa"/>
            <w:vAlign w:val="bottom"/>
            <w:gridSpan w:val="2"/>
            <w:vMerge w:val="restart"/>
          </w:tcPr>
          <w:p>
            <w:pPr>
              <w:jc w:val="center"/>
              <w:ind w:left="1281"/>
              <w:spacing w:after="0"/>
              <w:rPr>
                <w:sz w:val="20"/>
                <w:szCs w:val="20"/>
                <w:color w:val="auto"/>
              </w:rPr>
            </w:pPr>
            <w:r>
              <w:rPr>
                <w:rFonts w:ascii="Times New Roman" w:cs="Times New Roman" w:eastAsia="Times New Roman" w:hAnsi="Times New Roman"/>
                <w:sz w:val="20"/>
                <w:szCs w:val="20"/>
                <w:color w:val="auto"/>
                <w:w w:val="96"/>
              </w:rPr>
              <w:t>2.00%</w:t>
            </w:r>
          </w:p>
        </w:tc>
        <w:tc>
          <w:tcPr>
            <w:tcW w:w="1280" w:type="dxa"/>
            <w:vAlign w:val="bottom"/>
            <w:tcBorders>
              <w:right w:val="single" w:sz="8" w:color="auto"/>
            </w:tcBorders>
          </w:tcPr>
          <w:p>
            <w:pPr>
              <w:spacing w:after="0"/>
              <w:rPr>
                <w:sz w:val="17"/>
                <w:szCs w:val="17"/>
                <w:color w:val="auto"/>
              </w:rPr>
            </w:pPr>
          </w:p>
        </w:tc>
        <w:tc>
          <w:tcPr>
            <w:tcW w:w="2060" w:type="dxa"/>
            <w:vAlign w:val="bottom"/>
            <w:gridSpan w:val="3"/>
            <w:vMerge w:val="restart"/>
          </w:tcPr>
          <w:p>
            <w:pPr>
              <w:jc w:val="center"/>
              <w:ind w:left="1421"/>
              <w:spacing w:after="0"/>
              <w:rPr>
                <w:sz w:val="20"/>
                <w:szCs w:val="20"/>
                <w:color w:val="auto"/>
              </w:rPr>
            </w:pPr>
            <w:r>
              <w:rPr>
                <w:rFonts w:ascii="Times New Roman" w:cs="Times New Roman" w:eastAsia="Times New Roman" w:hAnsi="Times New Roman"/>
                <w:sz w:val="20"/>
                <w:szCs w:val="20"/>
                <w:color w:val="auto"/>
                <w:w w:val="96"/>
              </w:rPr>
              <w:t>3.00%</w:t>
            </w:r>
          </w:p>
        </w:tc>
        <w:tc>
          <w:tcPr>
            <w:tcW w:w="80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0" w:type="dxa"/>
            <w:vAlign w:val="bottom"/>
            <w:tcBorders>
              <w:lef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300" w:type="dxa"/>
            <w:vAlign w:val="bottom"/>
            <w:tcBorders>
              <w:right w:val="single" w:sz="8" w:color="auto"/>
            </w:tcBorders>
            <w:gridSpan w:val="3"/>
            <w:vMerge w:val="restart"/>
          </w:tcPr>
          <w:p>
            <w:pPr>
              <w:jc w:val="center"/>
              <w:ind w:right="1440"/>
              <w:spacing w:after="0"/>
              <w:rPr>
                <w:sz w:val="20"/>
                <w:szCs w:val="20"/>
                <w:color w:val="auto"/>
              </w:rPr>
            </w:pPr>
            <w:r>
              <w:rPr>
                <w:rFonts w:ascii="Times New Roman" w:cs="Times New Roman" w:eastAsia="Times New Roman" w:hAnsi="Times New Roman"/>
                <w:sz w:val="20"/>
                <w:szCs w:val="20"/>
                <w:color w:val="auto"/>
                <w:w w:val="98"/>
              </w:rPr>
              <w:t>&gt; 2.75 to 1</w:t>
            </w:r>
          </w:p>
        </w:tc>
        <w:tc>
          <w:tcPr>
            <w:tcW w:w="2360" w:type="dxa"/>
            <w:vAlign w:val="bottom"/>
            <w:gridSpan w:val="2"/>
            <w:vMerge w:val="continue"/>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tcBorders>
              <w:right w:val="single" w:sz="8" w:color="auto"/>
            </w:tcBorders>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5"/>
        </w:trPr>
        <w:tc>
          <w:tcPr>
            <w:tcW w:w="3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For purposes of this clause (b):</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44" w:firstLine="523"/>
        <w:spacing w:after="0" w:line="249" w:lineRule="auto"/>
        <w:rPr>
          <w:sz w:val="20"/>
          <w:szCs w:val="20"/>
          <w:color w:val="auto"/>
        </w:rPr>
      </w:pPr>
      <w:r>
        <w:rPr>
          <w:rFonts w:ascii="Times New Roman" w:cs="Times New Roman" w:eastAsia="Times New Roman" w:hAnsi="Times New Roman"/>
          <w:sz w:val="20"/>
          <w:szCs w:val="20"/>
          <w:color w:val="auto"/>
        </w:rPr>
        <w:t xml:space="preserve">(i)   if at any time the U.S. Borrower fails to deliver Financials on or before the date the Financials are due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Category 3 shall be deemed applicable for the period commencing three Business Days after the required date of delivery and ending on the date which is three Business Days after such Financials are actually delivered, after which the applicable Category shall be determined in accordance with the table above as applicable;</w:t>
      </w:r>
    </w:p>
    <w:p>
      <w:pPr>
        <w:spacing w:after="0" w:line="180" w:lineRule="exact"/>
        <w:rPr>
          <w:sz w:val="20"/>
          <w:szCs w:val="20"/>
          <w:color w:val="auto"/>
        </w:rPr>
      </w:pPr>
    </w:p>
    <w:p>
      <w:pPr>
        <w:jc w:val="both"/>
        <w:ind w:left="544" w:firstLine="523"/>
        <w:spacing w:after="0" w:line="249" w:lineRule="auto"/>
        <w:rPr>
          <w:sz w:val="20"/>
          <w:szCs w:val="20"/>
          <w:color w:val="auto"/>
        </w:rPr>
      </w:pPr>
      <w:r>
        <w:rPr>
          <w:rFonts w:ascii="Times New Roman" w:cs="Times New Roman" w:eastAsia="Times New Roman" w:hAnsi="Times New Roman"/>
          <w:sz w:val="20"/>
          <w:szCs w:val="20"/>
          <w:color w:val="auto"/>
        </w:rPr>
        <w:t>(ii)    adjustments, if any, to the Category then in effect shall be effective three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such next change); and</w:t>
      </w:r>
    </w:p>
    <w:p>
      <w:pPr>
        <w:spacing w:after="0" w:line="180" w:lineRule="exact"/>
        <w:rPr>
          <w:sz w:val="20"/>
          <w:szCs w:val="20"/>
          <w:color w:val="auto"/>
        </w:rPr>
      </w:pPr>
    </w:p>
    <w:p>
      <w:pPr>
        <w:jc w:val="both"/>
        <w:ind w:left="544" w:right="20" w:firstLine="523"/>
        <w:spacing w:after="0" w:line="249" w:lineRule="auto"/>
        <w:rPr>
          <w:sz w:val="20"/>
          <w:szCs w:val="20"/>
          <w:color w:val="auto"/>
        </w:rPr>
      </w:pPr>
      <w:r>
        <w:rPr>
          <w:rFonts w:ascii="Times New Roman" w:cs="Times New Roman" w:eastAsia="Times New Roman" w:hAnsi="Times New Roman"/>
          <w:sz w:val="20"/>
          <w:szCs w:val="20"/>
          <w:color w:val="auto"/>
        </w:rPr>
        <w:t xml:space="preserve">(iii)   notwithstanding the foregoing, (and subject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Category 2 shall be deemed to be applicable until the Administrative Agent’s receipt of the applicable Financials for the TopCo Borrower’s first full fiscal quarter ending after the Closing Date, and adjustments to the Category then in effect shall thereafter be effected in accordance with the preceding paragraphs.</w:t>
      </w:r>
    </w:p>
    <w:p>
      <w:pPr>
        <w:spacing w:after="0" w:line="180" w:lineRule="exact"/>
        <w:rPr>
          <w:sz w:val="20"/>
          <w:szCs w:val="20"/>
          <w:color w:val="auto"/>
        </w:rPr>
      </w:pPr>
    </w:p>
    <w:p>
      <w:pPr>
        <w:jc w:val="both"/>
        <w:ind w:left="4" w:firstLine="551"/>
        <w:spacing w:after="0" w:line="256" w:lineRule="auto"/>
        <w:rPr>
          <w:sz w:val="20"/>
          <w:szCs w:val="20"/>
          <w:color w:val="auto"/>
        </w:rPr>
      </w:pPr>
      <w:r>
        <w:rPr>
          <w:rFonts w:ascii="Times New Roman" w:cs="Times New Roman" w:eastAsia="Times New Roman" w:hAnsi="Times New Roman"/>
          <w:sz w:val="19"/>
          <w:szCs w:val="19"/>
          <w:color w:val="auto"/>
        </w:rPr>
        <w:t xml:space="preserve">If at any time the Administrative Agent reasonably determines that the financial statements upon which the Applicable Rate was determined were incorrect (whether based on a restatement, fraud or otherwise), the Borrowers shall be required to retroactively pay any additional amount that the Borrowers would have been required to pay if such Financials had been accurate at the time they were delivered;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additional amount shall be due and payable within thirty (30) calendar days after written notice by the Administrative Agent to the U.S. Borrower (which notice shall include a reasonably detailed calculation of such additional amount) and</w:t>
      </w:r>
    </w:p>
    <w:p>
      <w:pPr>
        <w:spacing w:after="0" w:line="4" w:lineRule="exact"/>
        <w:rPr>
          <w:sz w:val="20"/>
          <w:szCs w:val="20"/>
          <w:color w:val="auto"/>
        </w:rPr>
      </w:pPr>
    </w:p>
    <w:p>
      <w:pPr>
        <w:jc w:val="both"/>
        <w:ind w:left="4" w:right="20" w:hanging="4"/>
        <w:spacing w:after="0" w:line="242" w:lineRule="auto"/>
        <w:tabs>
          <w:tab w:leader="none" w:pos="29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non-payment of any such additional amount shall not constitute a Default or Event of Default (whether retroactively or otherwise), and no such amounts shall be deemed overdue (and no amounts shall accrue interest at the applicable default rate set forth in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at any time prior to the date that is thirty (30) calendar days after such written demand to the U.S. Borrower.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1" w:right="439" w:bottom="1440" w:gutter="0" w:footer="0" w:header="0"/>
        </w:sectPr>
      </w:pPr>
    </w:p>
    <w:bookmarkStart w:id="17" w:name="page18"/>
    <w:bookmarkEnd w:id="17"/>
    <w:p>
      <w:pPr>
        <w:ind w:left="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8.03(a)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JPMorgan Chase Bank, N.A. and BofA Securities, Inc., each in its capacity as a joint bookrunner and joint lead arranger hereunder.</w:t>
      </w:r>
    </w:p>
    <w:p>
      <w:pPr>
        <w:spacing w:after="0" w:line="159"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 Fee Letter</w:t>
      </w:r>
      <w:r>
        <w:rPr>
          <w:rFonts w:ascii="Times New Roman" w:cs="Times New Roman" w:eastAsia="Times New Roman" w:hAnsi="Times New Roman"/>
          <w:sz w:val="20"/>
          <w:szCs w:val="20"/>
          <w:color w:val="auto"/>
        </w:rPr>
        <w:t>” means the amended and restated arranger fee letter, dated as of December 24, 2025, among the TopCo Borrower, the U.S. Borrower, the Arrangers and the Co-Documentation Agents (or certain of their Affiliates), as amended, restated, supplemented or otherwise modified from time to time.</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Sale/Casualty Event Percentage</w:t>
      </w:r>
      <w:r>
        <w:rPr>
          <w:rFonts w:ascii="Times New Roman" w:cs="Times New Roman" w:eastAsia="Times New Roman" w:hAnsi="Times New Roman"/>
          <w:sz w:val="20"/>
          <w:szCs w:val="20"/>
          <w:color w:val="auto"/>
        </w:rPr>
        <w:t xml:space="preserve">” means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Asset Sale/Casualty Event Percentage shall be reduced to</w:t>
      </w:r>
    </w:p>
    <w:p>
      <w:pPr>
        <w:spacing w:after="0" w:line="22" w:lineRule="exact"/>
        <w:rPr>
          <w:sz w:val="20"/>
          <w:szCs w:val="20"/>
          <w:color w:val="auto"/>
        </w:rPr>
      </w:pPr>
    </w:p>
    <w:p>
      <w:pPr>
        <w:ind w:left="4" w:right="20" w:hanging="4"/>
        <w:spacing w:after="0" w:line="246" w:lineRule="auto"/>
        <w:tabs>
          <w:tab w:leader="none" w:pos="28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if the Secured Net Leverage Ratio is less than or equal to 2.25:1.00 and (b) 0% if the Secured Net Leverage Ratio is less than or equal to 1.75:1.00.</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Sale/Casualty Event Prepayment Event</w:t>
      </w:r>
      <w:r>
        <w:rPr>
          <w:rFonts w:ascii="Times New Roman" w:cs="Times New Roman" w:eastAsia="Times New Roman" w:hAnsi="Times New Roman"/>
          <w:sz w:val="20"/>
          <w:szCs w:val="20"/>
          <w:color w:val="auto"/>
        </w:rPr>
        <w:t>” has the meaning assigned to such term in the definition of Prepayment Event.</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Manager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2.25</w:t>
      </w:r>
    </w:p>
    <w:p>
      <w:pPr>
        <w:spacing w:after="0" w:line="216"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Notice</w:t>
      </w:r>
      <w:r>
        <w:rPr>
          <w:rFonts w:ascii="Times New Roman" w:cs="Times New Roman" w:eastAsia="Times New Roman" w:hAnsi="Times New Roman"/>
          <w:sz w:val="20"/>
          <w:szCs w:val="20"/>
          <w:color w:val="auto"/>
        </w:rPr>
        <w:t>” means an auction notice given by a Purchasing Borrower Party in accordance with the Auction Procedures with respect to an Auction Purchase Offer.</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Procedures</w:t>
      </w:r>
      <w:r>
        <w:rPr>
          <w:rFonts w:ascii="Times New Roman" w:cs="Times New Roman" w:eastAsia="Times New Roman" w:hAnsi="Times New Roman"/>
          <w:sz w:val="20"/>
          <w:szCs w:val="20"/>
          <w:color w:val="auto"/>
        </w:rPr>
        <w:t>” means the auction procedures with respect to Auction Purchase Offers mutually agreed by the Borrowers and the Administrative Agent.</w:t>
      </w:r>
    </w:p>
    <w:p>
      <w:pPr>
        <w:spacing w:after="0" w:line="159" w:lineRule="exact"/>
        <w:rPr>
          <w:sz w:val="20"/>
          <w:szCs w:val="20"/>
          <w:color w:val="auto"/>
        </w:rPr>
      </w:pPr>
    </w:p>
    <w:p>
      <w:pPr>
        <w:jc w:val="both"/>
        <w:ind w:left="4" w:firstLine="551"/>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Auction Purchase Offer</w:t>
      </w:r>
      <w:r>
        <w:rPr>
          <w:rFonts w:ascii="Times New Roman" w:cs="Times New Roman" w:eastAsia="Times New Roman" w:hAnsi="Times New Roman"/>
          <w:sz w:val="19"/>
          <w:szCs w:val="19"/>
          <w:color w:val="auto"/>
        </w:rPr>
        <w:t xml:space="preserve">” means an offer by a Purchasing Borrower Party to purchase Term Loans of one or more Facilities pursuant to modified Dutch auctions conducted in accordance with the Auction Procedures and otherwise in accordance with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Purchase Response Date</w:t>
      </w:r>
      <w:r>
        <w:rPr>
          <w:rFonts w:ascii="Times New Roman" w:cs="Times New Roman" w:eastAsia="Times New Roman" w:hAnsi="Times New Roman"/>
          <w:sz w:val="20"/>
          <w:szCs w:val="20"/>
          <w:color w:val="auto"/>
        </w:rPr>
        <w:t>” means the date by which Term Lenders are required to respond to an Auction Purchase Offer, which shall be specified in the applicable Auction Notice. Such date shall be no later than 5:00 pm (New York City time) on the third Business Day after delivery of such Auction Notice to Term Lenders.</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at any time, the excess if any, of:</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(a) the sum (without duplication) of:</w:t>
      </w:r>
    </w:p>
    <w:p>
      <w:pPr>
        <w:spacing w:after="0" w:line="216" w:lineRule="exact"/>
        <w:rPr>
          <w:sz w:val="20"/>
          <w:szCs w:val="20"/>
          <w:color w:val="auto"/>
        </w:rPr>
      </w:pPr>
    </w:p>
    <w:p>
      <w:pPr>
        <w:ind w:left="784" w:hanging="233"/>
        <w:spacing w:after="0"/>
        <w:tabs>
          <w:tab w:leader="none" w:pos="78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(x) $63,150,000 and (y) 15% of Consolidated EBITDA for the most recently ended Test Period;</w:t>
      </w:r>
    </w:p>
    <w:p>
      <w:pPr>
        <w:spacing w:after="0" w:line="215" w:lineRule="exact"/>
        <w:rPr>
          <w:rFonts w:ascii="Times New Roman" w:cs="Times New Roman" w:eastAsia="Times New Roman" w:hAnsi="Times New Roman"/>
          <w:sz w:val="20"/>
          <w:szCs w:val="20"/>
          <w:color w:val="auto"/>
        </w:rPr>
      </w:pPr>
    </w:p>
    <w:p>
      <w:pPr>
        <w:ind w:left="4" w:right="20" w:firstLine="547"/>
        <w:spacing w:after="0" w:line="269" w:lineRule="auto"/>
        <w:tabs>
          <w:tab w:leader="none" w:pos="85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50% of cumulative Consolidated Net Income starting with the first day of the first full fiscal quarter of the TopCo Borrower ended after the Closing Date;</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5" w:right="439" w:bottom="1440" w:gutter="0" w:footer="0" w:header="0"/>
        </w:sectPr>
      </w:pPr>
    </w:p>
    <w:bookmarkStart w:id="18" w:name="page19"/>
    <w:bookmarkEnd w:id="18"/>
    <w:p>
      <w:pPr>
        <w:jc w:val="both"/>
        <w:ind w:right="20" w:firstLine="547"/>
        <w:spacing w:after="0" w:line="254" w:lineRule="auto"/>
        <w:tabs>
          <w:tab w:leader="none" w:pos="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Net Proceeds received (or deemed to be received) after the Closing Date and on or prior to such date from any issuance of Equity Interests (other than Disqualified Equity) by the TopCo Borrower (other than any such issuance to any Restricted Subsidiary of the TopCo Borrower);</w:t>
      </w:r>
    </w:p>
    <w:p>
      <w:pPr>
        <w:spacing w:after="0" w:line="174" w:lineRule="exact"/>
        <w:rPr>
          <w:rFonts w:ascii="Times New Roman" w:cs="Times New Roman" w:eastAsia="Times New Roman" w:hAnsi="Times New Roman"/>
          <w:sz w:val="20"/>
          <w:szCs w:val="20"/>
          <w:color w:val="auto"/>
        </w:rPr>
      </w:pPr>
    </w:p>
    <w:p>
      <w:pPr>
        <w:jc w:val="both"/>
        <w:ind w:right="20" w:firstLine="547"/>
        <w:spacing w:after="0" w:line="254" w:lineRule="auto"/>
        <w:tabs>
          <w:tab w:leader="none" w:pos="89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of Indebtedness (including, for the avoidance of doubt, Disqualified Equity) of the TopCo Borrower, in each case incurred or issued after the Closing Date, which has been exchanged or converted into Equity Interests (other than Disqualified Equity);</w:t>
      </w:r>
    </w:p>
    <w:p>
      <w:pPr>
        <w:spacing w:after="0" w:line="174" w:lineRule="exact"/>
        <w:rPr>
          <w:rFonts w:ascii="Times New Roman" w:cs="Times New Roman" w:eastAsia="Times New Roman" w:hAnsi="Times New Roman"/>
          <w:sz w:val="20"/>
          <w:szCs w:val="20"/>
          <w:color w:val="auto"/>
        </w:rPr>
      </w:pPr>
    </w:p>
    <w:p>
      <w:pPr>
        <w:ind w:left="820" w:hanging="273"/>
        <w:spacing w:after="0"/>
        <w:tabs>
          <w:tab w:leader="none" w:pos="8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of Dispositions of Investments made using the Available Amount on or after the Closing Date;</w:t>
      </w:r>
    </w:p>
    <w:p>
      <w:pPr>
        <w:spacing w:after="0" w:line="215" w:lineRule="exact"/>
        <w:rPr>
          <w:rFonts w:ascii="Times New Roman" w:cs="Times New Roman" w:eastAsia="Times New Roman" w:hAnsi="Times New Roman"/>
          <w:sz w:val="20"/>
          <w:szCs w:val="20"/>
          <w:color w:val="auto"/>
        </w:rPr>
      </w:pPr>
    </w:p>
    <w:p>
      <w:pPr>
        <w:ind w:firstLine="547"/>
        <w:spacing w:after="0" w:line="269" w:lineRule="auto"/>
        <w:tabs>
          <w:tab w:leader="none" w:pos="93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returns, profits, distributions and similar amounts received (or deemed to be received) in cash or Cash Equivalents on Investments made using the Available Amount; and</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(vii)    the aggregate amount of Declined Proceeds (calculated from the Closing Date); minus</w:t>
      </w:r>
    </w:p>
    <w:p>
      <w:pPr>
        <w:spacing w:after="0" w:line="216" w:lineRule="exact"/>
        <w:rPr>
          <w:sz w:val="20"/>
          <w:szCs w:val="20"/>
          <w:color w:val="auto"/>
        </w:rPr>
      </w:pPr>
    </w:p>
    <w:p>
      <w:pPr>
        <w:jc w:val="both"/>
        <w:ind w:firstLine="547"/>
        <w:spacing w:after="0" w:line="249" w:lineRule="auto"/>
        <w:tabs>
          <w:tab w:leader="none" w:pos="84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all Investments made on or after the Closing Date and prior to such time in reliance on </w:t>
      </w:r>
      <w:r>
        <w:rPr>
          <w:rFonts w:ascii="Times New Roman" w:cs="Times New Roman" w:eastAsia="Times New Roman" w:hAnsi="Times New Roman"/>
          <w:sz w:val="20"/>
          <w:szCs w:val="20"/>
          <w:u w:val="single" w:color="auto"/>
          <w:color w:val="auto"/>
        </w:rPr>
        <w:t>Section 6.05(cc)</w:t>
      </w:r>
      <w:r>
        <w:rPr>
          <w:rFonts w:ascii="Times New Roman" w:cs="Times New Roman" w:eastAsia="Times New Roman" w:hAnsi="Times New Roman"/>
          <w:sz w:val="20"/>
          <w:szCs w:val="20"/>
          <w:color w:val="auto"/>
        </w:rPr>
        <w:t xml:space="preserve">, plus all Restricted Payments made on or after the Closing Date and prior to such time in reliance on </w:t>
      </w:r>
      <w:r>
        <w:rPr>
          <w:rFonts w:ascii="Times New Roman" w:cs="Times New Roman" w:eastAsia="Times New Roman" w:hAnsi="Times New Roman"/>
          <w:sz w:val="20"/>
          <w:szCs w:val="20"/>
          <w:u w:val="single" w:color="auto"/>
          <w:color w:val="auto"/>
        </w:rPr>
        <w:t>Section 6.08(m)</w:t>
      </w:r>
      <w:r>
        <w:rPr>
          <w:rFonts w:ascii="Times New Roman" w:cs="Times New Roman" w:eastAsia="Times New Roman" w:hAnsi="Times New Roman"/>
          <w:sz w:val="20"/>
          <w:szCs w:val="20"/>
          <w:color w:val="auto"/>
        </w:rPr>
        <w:t xml:space="preserve">, plus all Restricted Debt Payments made on or after the Closing Date and prior to such time in reliance on </w:t>
      </w:r>
      <w:r>
        <w:rPr>
          <w:rFonts w:ascii="Times New Roman" w:cs="Times New Roman" w:eastAsia="Times New Roman" w:hAnsi="Times New Roman"/>
          <w:sz w:val="20"/>
          <w:szCs w:val="20"/>
          <w:u w:val="single" w:color="auto"/>
          <w:color w:val="auto"/>
        </w:rPr>
        <w:t>Section 6.10(a)(vii)</w:t>
      </w:r>
      <w:r>
        <w:rPr>
          <w:rFonts w:ascii="Times New Roman" w:cs="Times New Roman" w:eastAsia="Times New Roman" w:hAnsi="Times New Roman"/>
          <w:sz w:val="20"/>
          <w:szCs w:val="20"/>
          <w:color w:val="auto"/>
        </w:rPr>
        <w:t>, in each case utilizing the Available Amount or portions thereof in effect on the date of any such Investment, Restricted Payment or Restricted Debt Payment.</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Restricted Debt Payments Amount</w:t>
      </w:r>
      <w:r>
        <w:rPr>
          <w:rFonts w:ascii="Times New Roman" w:cs="Times New Roman" w:eastAsia="Times New Roman" w:hAnsi="Times New Roman"/>
          <w:sz w:val="20"/>
          <w:szCs w:val="20"/>
          <w:color w:val="auto"/>
        </w:rPr>
        <w:t xml:space="preserve">” means, at any time, (i) the amount of Restricted Debt Payments that may be made at the time of determination pursuant to </w:t>
      </w:r>
      <w:r>
        <w:rPr>
          <w:rFonts w:ascii="Times New Roman" w:cs="Times New Roman" w:eastAsia="Times New Roman" w:hAnsi="Times New Roman"/>
          <w:sz w:val="20"/>
          <w:szCs w:val="20"/>
          <w:u w:val="single" w:color="auto"/>
          <w:color w:val="auto"/>
        </w:rPr>
        <w:t>Section 6.10(a)(ii)(x)</w:t>
      </w:r>
      <w:r>
        <w:rPr>
          <w:rFonts w:ascii="Times New Roman" w:cs="Times New Roman" w:eastAsia="Times New Roman" w:hAnsi="Times New Roman"/>
          <w:sz w:val="20"/>
          <w:szCs w:val="20"/>
          <w:color w:val="auto"/>
        </w:rPr>
        <w:t xml:space="preserve">, minus (ii) the amount of the Available Restricted Debt Payments Amount utilized by any Borrower or any Restricted Subsidiary to make Investments in reliance on </w:t>
      </w:r>
      <w:r>
        <w:rPr>
          <w:rFonts w:ascii="Times New Roman" w:cs="Times New Roman" w:eastAsia="Times New Roman" w:hAnsi="Times New Roman"/>
          <w:sz w:val="20"/>
          <w:szCs w:val="20"/>
          <w:u w:val="single" w:color="auto"/>
          <w:color w:val="auto"/>
        </w:rPr>
        <w:t>Section 6.05(t)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Restricted Payments Amount</w:t>
      </w:r>
      <w:r>
        <w:rPr>
          <w:rFonts w:ascii="Times New Roman" w:cs="Times New Roman" w:eastAsia="Times New Roman" w:hAnsi="Times New Roman"/>
          <w:sz w:val="20"/>
          <w:szCs w:val="20"/>
          <w:color w:val="auto"/>
        </w:rPr>
        <w:t xml:space="preserve">” means, at any time, (i) the amount of Restricted Payments that may be made at the time of determination in reliance on </w:t>
      </w:r>
      <w:r>
        <w:rPr>
          <w:rFonts w:ascii="Times New Roman" w:cs="Times New Roman" w:eastAsia="Times New Roman" w:hAnsi="Times New Roman"/>
          <w:sz w:val="20"/>
          <w:szCs w:val="20"/>
          <w:u w:val="single" w:color="auto"/>
          <w:color w:val="auto"/>
        </w:rPr>
        <w:t>Section 6.08(e)</w:t>
      </w:r>
      <w:r>
        <w:rPr>
          <w:rFonts w:ascii="Times New Roman" w:cs="Times New Roman" w:eastAsia="Times New Roman" w:hAnsi="Times New Roman"/>
          <w:sz w:val="20"/>
          <w:szCs w:val="20"/>
          <w:color w:val="auto"/>
        </w:rPr>
        <w:t xml:space="preserve">, minus (ii) the sum of (a) the amount of the Available Restricted Payments Amount utilized by any Borrower or any Restricted Subsidiary to make Investments in reliance on </w:t>
      </w:r>
      <w:r>
        <w:rPr>
          <w:rFonts w:ascii="Times New Roman" w:cs="Times New Roman" w:eastAsia="Times New Roman" w:hAnsi="Times New Roman"/>
          <w:sz w:val="20"/>
          <w:szCs w:val="20"/>
          <w:u w:val="single" w:color="auto"/>
          <w:color w:val="auto"/>
        </w:rPr>
        <w:t>Section 6.05(t)</w:t>
      </w:r>
      <w:r>
        <w:rPr>
          <w:rFonts w:ascii="Times New Roman" w:cs="Times New Roman" w:eastAsia="Times New Roman" w:hAnsi="Times New Roman"/>
          <w:sz w:val="20"/>
          <w:szCs w:val="20"/>
          <w:color w:val="auto"/>
        </w:rPr>
        <w:t xml:space="preserve"> and (b) the amount of the Available Restricted Payments Amount utilized by any Borrower or any Restricted Subsidiary to make Restricted Debt Payments in reliance on </w:t>
      </w:r>
      <w:r>
        <w:rPr>
          <w:rFonts w:ascii="Times New Roman" w:cs="Times New Roman" w:eastAsia="Times New Roman" w:hAnsi="Times New Roman"/>
          <w:sz w:val="20"/>
          <w:szCs w:val="20"/>
          <w:u w:val="single" w:color="auto"/>
          <w:color w:val="auto"/>
        </w:rPr>
        <w:t>Section 6.10(a)(ii)</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firms or other financial institutions or their affiliates (other than through liquidation, administration or other insolvency proceedings).</w:t>
      </w:r>
    </w:p>
    <w:p>
      <w:pPr>
        <w:spacing w:after="0" w:line="216"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the TopCo Borrower or any Restricted Subsidiary by the Administrative Agent, any Lender or any of their respective Affiliates (or was a Lender or an Affiliate of a Lender at the time of providing such services):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Agreement</w:t>
      </w:r>
      <w:r>
        <w:rPr>
          <w:rFonts w:ascii="Times New Roman" w:cs="Times New Roman" w:eastAsia="Times New Roman" w:hAnsi="Times New Roman"/>
          <w:sz w:val="20"/>
          <w:szCs w:val="20"/>
          <w:color w:val="auto"/>
        </w:rPr>
        <w:t>” means any agreement entered into by the TopCo Borrower or any Restricted Subsidiary in connection with Banking Services.</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TopCo Borrower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statute.</w:t>
      </w:r>
    </w:p>
    <w:p>
      <w:pPr>
        <w:spacing w:after="0" w:line="159" w:lineRule="exact"/>
        <w:rPr>
          <w:sz w:val="20"/>
          <w:szCs w:val="20"/>
          <w:color w:val="auto"/>
        </w:rPr>
      </w:pPr>
    </w:p>
    <w:p>
      <w:pPr>
        <w:jc w:val="both"/>
        <w:ind w:right="20"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voluntary or involuntary bankruptcy or insolvency proceeding, or has had a receiver, conservator, trustee, administrator, examiner,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92"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Term Benchmark Loan, the Term SOFR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    the Daily Simple SOFR; or</w:t>
      </w:r>
    </w:p>
    <w:p>
      <w:pPr>
        <w:spacing w:after="0" w:line="216"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(2)   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5" w:right="439" w:bottom="1440" w:gutter="0" w:footer="0" w:header="0"/>
        </w:sectPr>
      </w:pPr>
    </w:p>
    <w:bookmarkStart w:id="20" w:name="page21"/>
    <w:bookmarkEnd w:id="20"/>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38"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9" w:lineRule="exact"/>
        <w:rPr>
          <w:sz w:val="20"/>
          <w:szCs w:val="20"/>
          <w:color w:val="auto"/>
        </w:rPr>
      </w:pPr>
    </w:p>
    <w:p>
      <w:pPr>
        <w:jc w:val="both"/>
        <w:ind w:firstLine="551"/>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(in consultation with the U.S. Borrower) may be appropriate to reflect the adoption and implementation of such Benchmark Replacement and to permit the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(in consultation with the U.S. Borrower) that no market practice for the administration of such Benchmark Replacement exists, in such other manner of administration as the Administrative Agent reasonably decides (in consultation with the U.S. Borrower) is reasonably necessary in connection with the administration of this Agreement and the other Loan Documents).</w:t>
      </w:r>
    </w:p>
    <w:p>
      <w:pPr>
        <w:spacing w:after="0" w:line="187"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59"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(1)    in the case of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(2)   in the case of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5" w:right="439" w:bottom="1440" w:gutter="0" w:footer="0" w:header="0"/>
        </w:sectPr>
      </w:pPr>
    </w:p>
    <w:bookmarkStart w:id="21" w:name="page22"/>
    <w:bookmarkEnd w:id="21"/>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determined by reference to the most recent statement or publication referenced in such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and even if such Benchmark (or component thereof) or, if such Benchmark is a term rate, any Available Tenor of such Benchmark (or such component thereof) continues to be provided on such date.</w:t>
      </w:r>
    </w:p>
    <w:p>
      <w:pPr>
        <w:spacing w:after="0" w:line="174" w:lineRule="exact"/>
        <w:rPr>
          <w:sz w:val="20"/>
          <w:szCs w:val="20"/>
          <w:color w:val="auto"/>
        </w:rPr>
      </w:pPr>
    </w:p>
    <w:p>
      <w:pPr>
        <w:jc w:val="both"/>
        <w:ind w:left="4" w:firstLine="551"/>
        <w:spacing w:after="0" w:line="260" w:lineRule="auto"/>
        <w:rPr>
          <w:sz w:val="20"/>
          <w:szCs w:val="20"/>
          <w:color w:val="auto"/>
        </w:rPr>
      </w:pPr>
      <w:r>
        <w:rPr>
          <w:rFonts w:ascii="Times New Roman" w:cs="Times New Roman" w:eastAsia="Times New Roman" w:hAnsi="Times New Roman"/>
          <w:sz w:val="19"/>
          <w:szCs w:val="19"/>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9"/>
          <w:szCs w:val="19"/>
          <w:u w:val="single" w:color="auto"/>
          <w:color w:val="auto"/>
        </w:rPr>
        <w:t>clause</w:t>
      </w:r>
    </w:p>
    <w:p>
      <w:pPr>
        <w:ind w:left="4" w:right="20" w:hanging="4"/>
        <w:spacing w:after="0" w:line="246" w:lineRule="auto"/>
        <w:tabs>
          <w:tab w:leader="none" w:pos="291"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59" w:lineRule="exact"/>
        <w:rPr>
          <w:sz w:val="20"/>
          <w:szCs w:val="20"/>
          <w:color w:val="auto"/>
        </w:rPr>
      </w:pPr>
    </w:p>
    <w:p>
      <w:pPr>
        <w:jc w:val="both"/>
        <w:ind w:left="4" w:firstLine="551"/>
        <w:spacing w:after="0" w:line="246" w:lineRule="auto"/>
        <w:rPr>
          <w:sz w:val="20"/>
          <w:szCs w:val="20"/>
          <w:color w:val="auto"/>
        </w:rPr>
      </w:pPr>
      <w:r>
        <w:rPr>
          <w:rFonts w:ascii="Times New Roman" w:cs="Times New Roman" w:eastAsia="Times New Roman" w:hAnsi="Times New Roman"/>
          <w:sz w:val="20"/>
          <w:szCs w:val="20"/>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185"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 or</w:t>
      </w:r>
    </w:p>
    <w:p>
      <w:pPr>
        <w:spacing w:after="0" w:line="18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4"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left="4" w:firstLine="551"/>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Benchmark, the period (if any) (x) beginning at the time that a Benchmark Replacement Date pursuant to </w:t>
      </w:r>
      <w:r>
        <w:rPr>
          <w:rFonts w:ascii="Times New Roman" w:cs="Times New Roman" w:eastAsia="Times New Roman" w:hAnsi="Times New Roman"/>
          <w:sz w:val="19"/>
          <w:szCs w:val="19"/>
          <w:u w:val="single" w:color="auto"/>
          <w:color w:val="auto"/>
        </w:rPr>
        <w:t>clauses (1)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and</w:t>
      </w:r>
    </w:p>
    <w:p>
      <w:pPr>
        <w:ind w:left="4" w:right="20" w:hanging="4"/>
        <w:spacing w:after="0" w:line="246" w:lineRule="auto"/>
        <w:tabs>
          <w:tab w:leader="none" w:pos="2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5" w:right="43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assigned to such term in the introductory paragraph.</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Borrower-Related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Loan of the same Type, made, converted or continued on the same date and, in the case of Term Benchmark Loans, as to which a single Interest Period is in effect.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any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which shall be substantially in the form approved by the Administrative Agent and separately provided to the Borrowers.</w:t>
      </w:r>
    </w:p>
    <w:p>
      <w:pPr>
        <w:spacing w:after="0" w:line="159"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Chicago and Ireland;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any such day that is a U.S. Government Securities Business Day (a) in relation to any interest rate settings of any RFR Loan, or any other dealings of such RFR Loans and (b) in relation to Loans referencing the Term SOFR Rate and any interest rate settings, fundings, disbursements, settlements or payments of any such Loans referencing the Term SOFR Rate or any other dealings of such Loans referencing the Term SOFR Rate.</w:t>
      </w:r>
    </w:p>
    <w:p>
      <w:pPr>
        <w:spacing w:after="0" w:line="185"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for any period, the aggregate of, without duplication, (a) all expenditures (whether paid in cash or accrued as liabilities) by the TopCo Borrower and its Restricted Subsidiaries during such period that, in conformity with GAAP, are or are required to be included as additions during such period to property, plant or equipment (including replacements, capitalized repairs and improvements during such period) in a consolidated statement of cash flows and reflected in the consolidated balance sheet of the TopCo Borrower and its Restricted Subsidiaries, (b) Capital Lease Obligations incurred by the TopCo Borrower and its Restricted Subsidiaries during such period, (c) Capitalized Software Expenditures and (d) Capitalized Research and Development Costs.</w:t>
      </w:r>
    </w:p>
    <w:p>
      <w:pPr>
        <w:spacing w:after="0" w:line="184"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subject to </w:t>
      </w:r>
      <w:r>
        <w:rPr>
          <w:rFonts w:ascii="Times New Roman" w:cs="Times New Roman" w:eastAsia="Times New Roman" w:hAnsi="Times New Roman"/>
          <w:sz w:val="20"/>
          <w:szCs w:val="20"/>
          <w:u w:val="single" w:color="auto"/>
          <w:color w:val="auto"/>
        </w:rPr>
        <w:t>Section 1.04(a)</w:t>
      </w:r>
      <w:r>
        <w:rPr>
          <w:rFonts w:ascii="Times New Roman" w:cs="Times New Roman" w:eastAsia="Times New Roman" w:hAnsi="Times New Roman"/>
          <w:sz w:val="20"/>
          <w:szCs w:val="20"/>
          <w:color w:val="auto"/>
        </w:rPr>
        <w:t>,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Research and Development Costs</w:t>
      </w:r>
      <w:r>
        <w:rPr>
          <w:rFonts w:ascii="Times New Roman" w:cs="Times New Roman" w:eastAsia="Times New Roman" w:hAnsi="Times New Roman"/>
          <w:sz w:val="20"/>
          <w:szCs w:val="20"/>
          <w:color w:val="auto"/>
        </w:rPr>
        <w:t>” means research and development costs that, in conformity with GAAP, are or are required to be reflected as capitalized costs on the consolidated balance sheet of the TopCo Borrower and its Restricted Subsidiaries.</w:t>
      </w:r>
    </w:p>
    <w:p>
      <w:pPr>
        <w:spacing w:after="0" w:line="159"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Software Expenditures</w:t>
      </w:r>
      <w:r>
        <w:rPr>
          <w:rFonts w:ascii="Times New Roman" w:cs="Times New Roman" w:eastAsia="Times New Roman" w:hAnsi="Times New Roman"/>
          <w:sz w:val="20"/>
          <w:szCs w:val="20"/>
          <w:color w:val="auto"/>
        </w:rPr>
        <w:t>” shall mean, for any period, the aggregate of all expenditures (whether paid in cash or accrued as liabilities) by the TopCo Borrower and its Restricted Subsidiaries during such period in respect of licensed or purchased software or internally developed software and software enhancements that, in conformity with GAAP, are or are required to be reflected as capitalized costs on the consolidated balance sheet of the TopCo Borrower and its Restricted Subsidiaries.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TopCo Borrower or any of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Subsidiaries: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5" w:right="439" w:bottom="1440" w:gutter="0" w:footer="0" w:header="0"/>
        </w:sectPr>
      </w:pPr>
    </w:p>
    <w:bookmarkStart w:id="23" w:name="page24"/>
    <w:bookmarkEnd w:id="23"/>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(i) readily marketable obligations issued or directly and fully guaranteed or insured by the United States or any agency or instrumentality thereof having maturities of not more than two (2) years from the date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 and (ii) readily marketable direct obligations issued by any state, commonwealth or territory of the United States of America or political subdivision or taxing authority thereof that is rated AAA by S&amp;P and Aaa by Moody’s maturing within two (2) years from the date of acquisition thereof;</w:t>
      </w:r>
    </w:p>
    <w:p>
      <w:pPr>
        <w:spacing w:after="0" w:line="185"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(b)   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$500,000,000, in each case with maturities of not more than two years from the date of acquisition thereof;</w:t>
      </w:r>
    </w:p>
    <w:p>
      <w:pPr>
        <w:spacing w:after="0" w:line="18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(c)   commercial paper issued by a corporation or other Person rated at least “A-2” or “P-2” or the equivalent thereof by Moody’s or S&amp;P or Fitch (or, if at any time neither Moody’s nor S&amp;P shall be rating such obligations, an equivalent rating from another nationally recognized statistical rating agency) and in each case maturing within two years from the date of acquisition thereof;</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(d)   marketable short-term money market and similar highly liquid securities having a rating of at least P-2 or A-2 from either Moody’s or S&amp;P, respectively (or, if at any time neither Moody’s nor S&amp;P shall be rating such obligations, an equivalent rating from another nationally recognized statistical rating agency selected by the Administrative Agent (or any designated representative) and in each case maturing within two years from the date of acquisition thereof;</w:t>
      </w:r>
    </w:p>
    <w:p>
      <w:pPr>
        <w:spacing w:after="0" w:line="18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(e)   solely with respect to Foreign Subsidiaries, investments of the type and maturities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issued where relevant, by any commercial bank of recognized international standing chartered in the country where such Foreign Subsidiary is domiciled having unimpaired capital and surplus of at least $1,000,000,000, provided such country is a member of the Organization for Economic Cooperation and Development, and such bank maintains a short-term commercial paper rating of at least P-1 or A-1 from either Moody’s or S&amp;P, respectively (or, if at any time neither Moody’s nor S&amp;P shall be rating such obligations, an equivalent rating from another nationally recognized statistical rating agency);</w:t>
      </w:r>
    </w:p>
    <w:p>
      <w:pPr>
        <w:spacing w:after="0" w:line="18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(f)   (i) Dollars, Euros, Pounds Sterling, Swiss Francs, Canadian dollars or any national currency of any member state of the European Union or (ii) any other foreign currency held by the TopCo Borrower or any of its Restricted Subsidiaries in the ordinary course of business;</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(g)    Investments, classified in accordance with GAAP as current assets of the TopCo Borrower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definition;</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(h)   Investments made in accordance with the global fixed income investment policy approved by the Chief Financial Officer of the TopCo Borrower as in effect on the date hereof, a copy of which has been furnished to the Administrative Agent, and as the same may be amended, supplemented or otherwise modified from time to time after the date hereof with the consent of the Administrative Agent (such consent not to be unreasonably withheld, conditioned or delayed).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5" w:right="439" w:bottom="1440" w:gutter="0" w:footer="0" w:header="0"/>
        </w:sectPr>
      </w:pPr>
    </w:p>
    <w:bookmarkStart w:id="24" w:name="page25"/>
    <w:bookmarkEnd w:id="24"/>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Certain Funds Covenant</w:t>
      </w:r>
      <w:r>
        <w:rPr>
          <w:rFonts w:ascii="Times New Roman" w:cs="Times New Roman" w:eastAsia="Times New Roman" w:hAnsi="Times New Roman"/>
          <w:sz w:val="20"/>
          <w:szCs w:val="20"/>
          <w:color w:val="auto"/>
        </w:rPr>
        <w:t xml:space="preserve">” means any covenant of the Borrowers under any of </w:t>
      </w:r>
      <w:r>
        <w:rPr>
          <w:rFonts w:ascii="Times New Roman" w:cs="Times New Roman" w:eastAsia="Times New Roman" w:hAnsi="Times New Roman"/>
          <w:sz w:val="20"/>
          <w:szCs w:val="20"/>
          <w:u w:val="single" w:color="auto"/>
          <w:color w:val="auto"/>
        </w:rPr>
        <w:t>Sections 5.08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(other than clause (xi)),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in each case, for the avoidance of doubt, not with respect to the Target or any subsidiary of the Target and excluding any procurement obligation with respect to the Target or any subsidiary of the Target.</w:t>
      </w:r>
    </w:p>
    <w:p>
      <w:pPr>
        <w:spacing w:after="0" w:line="174" w:lineRule="exact"/>
        <w:rPr>
          <w:sz w:val="20"/>
          <w:szCs w:val="20"/>
          <w:color w:val="auto"/>
        </w:rPr>
      </w:pPr>
    </w:p>
    <w:p>
      <w:pPr>
        <w:jc w:val="both"/>
        <w:ind w:right="20" w:firstLine="55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Certain Funds Event of Default</w:t>
      </w:r>
      <w:r>
        <w:rPr>
          <w:rFonts w:ascii="Times New Roman" w:cs="Times New Roman" w:eastAsia="Times New Roman" w:hAnsi="Times New Roman"/>
          <w:sz w:val="20"/>
          <w:szCs w:val="20"/>
          <w:color w:val="auto"/>
        </w:rPr>
        <w:t xml:space="preserve">” means any Event of Default with respect to either of the Borrowers under any of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7.01(c)</w:t>
      </w:r>
      <w:r>
        <w:rPr>
          <w:rFonts w:ascii="Times New Roman" w:cs="Times New Roman" w:eastAsia="Times New Roman" w:hAnsi="Times New Roman"/>
          <w:sz w:val="20"/>
          <w:szCs w:val="20"/>
          <w:color w:val="auto"/>
        </w:rPr>
        <w:t xml:space="preserve"> (insofar as it relates to a breach of any Certain Funds Representation), </w:t>
      </w:r>
      <w:r>
        <w:rPr>
          <w:rFonts w:ascii="Times New Roman" w:cs="Times New Roman" w:eastAsia="Times New Roman" w:hAnsi="Times New Roman"/>
          <w:sz w:val="20"/>
          <w:szCs w:val="20"/>
          <w:u w:val="single" w:color="auto"/>
          <w:color w:val="auto"/>
        </w:rPr>
        <w:t>7.01(d)</w:t>
      </w:r>
      <w:r>
        <w:rPr>
          <w:rFonts w:ascii="Times New Roman" w:cs="Times New Roman" w:eastAsia="Times New Roman" w:hAnsi="Times New Roman"/>
          <w:sz w:val="20"/>
          <w:szCs w:val="20"/>
          <w:color w:val="auto"/>
        </w:rPr>
        <w:t xml:space="preserve"> (insofar as it relates to a breach of any Certain Funds Covenant), </w:t>
      </w:r>
      <w:r>
        <w:rPr>
          <w:rFonts w:ascii="Times New Roman" w:cs="Times New Roman" w:eastAsia="Times New Roman" w:hAnsi="Times New Roman"/>
          <w:sz w:val="20"/>
          <w:szCs w:val="20"/>
          <w:u w:val="single" w:color="auto"/>
          <w:color w:val="auto"/>
        </w:rPr>
        <w:t>7.01(e)</w:t>
      </w:r>
      <w:r>
        <w:rPr>
          <w:rFonts w:ascii="Times New Roman" w:cs="Times New Roman" w:eastAsia="Times New Roman" w:hAnsi="Times New Roman"/>
          <w:sz w:val="20"/>
          <w:szCs w:val="20"/>
          <w:color w:val="auto"/>
        </w:rPr>
        <w:t xml:space="preserve"> (insofar as it relates to a breach of any Certain Funds Covenant), </w:t>
      </w:r>
      <w:r>
        <w:rPr>
          <w:rFonts w:ascii="Times New Roman" w:cs="Times New Roman" w:eastAsia="Times New Roman" w:hAnsi="Times New Roman"/>
          <w:sz w:val="20"/>
          <w:szCs w:val="20"/>
          <w:u w:val="single" w:color="auto"/>
          <w:color w:val="auto"/>
        </w:rPr>
        <w:t>7.01(h)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Event of Default under (i) </w:t>
      </w:r>
      <w:r>
        <w:rPr>
          <w:rFonts w:ascii="Times New Roman" w:cs="Times New Roman" w:eastAsia="Times New Roman" w:hAnsi="Times New Roman"/>
          <w:sz w:val="20"/>
          <w:szCs w:val="20"/>
          <w:u w:val="single" w:color="auto"/>
          <w:color w:val="auto"/>
        </w:rPr>
        <w:t>Section 7.01(d)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7.01(e)</w:t>
      </w:r>
      <w:r>
        <w:rPr>
          <w:rFonts w:ascii="Times New Roman" w:cs="Times New Roman" w:eastAsia="Times New Roman" w:hAnsi="Times New Roman"/>
          <w:sz w:val="20"/>
          <w:szCs w:val="20"/>
          <w:color w:val="auto"/>
        </w:rPr>
        <w:t xml:space="preserve"> arising as a result of a breach of </w:t>
      </w:r>
      <w:r>
        <w:rPr>
          <w:rFonts w:ascii="Times New Roman" w:cs="Times New Roman" w:eastAsia="Times New Roman" w:hAnsi="Times New Roman"/>
          <w:sz w:val="20"/>
          <w:szCs w:val="20"/>
          <w:u w:val="single" w:color="auto"/>
          <w:color w:val="auto"/>
        </w:rPr>
        <w:t>Section 5.11(a)(iv)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5.11(a)(v)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5.11(b)(iii)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(ii) </w:t>
      </w:r>
      <w:r>
        <w:rPr>
          <w:rFonts w:ascii="Times New Roman" w:cs="Times New Roman" w:eastAsia="Times New Roman" w:hAnsi="Times New Roman"/>
          <w:sz w:val="20"/>
          <w:szCs w:val="20"/>
          <w:u w:val="single" w:color="auto"/>
          <w:color w:val="auto"/>
        </w:rPr>
        <w:t>Section 7.01(n)(i)</w:t>
      </w:r>
      <w:r>
        <w:rPr>
          <w:rFonts w:ascii="Times New Roman" w:cs="Times New Roman" w:eastAsia="Times New Roman" w:hAnsi="Times New Roman"/>
          <w:sz w:val="20"/>
          <w:szCs w:val="20"/>
          <w:color w:val="auto"/>
        </w:rPr>
        <w:t>, shall be deemed not to constitute a Certain Funds Event of Default unless the event or circumstance giving rise to the relevant Event of Default or breach of the Certain Funds Covenant as the case may be is materially prejudicial to the interests of the Lenders under this Agreement taken as a whole in the context of the Transactions.</w:t>
      </w:r>
    </w:p>
    <w:p>
      <w:pPr>
        <w:spacing w:after="0" w:line="18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Certain Funds Period</w:t>
      </w:r>
      <w:r>
        <w:rPr>
          <w:rFonts w:ascii="Times New Roman" w:cs="Times New Roman" w:eastAsia="Times New Roman" w:hAnsi="Times New Roman"/>
          <w:sz w:val="20"/>
          <w:szCs w:val="20"/>
          <w:color w:val="auto"/>
        </w:rPr>
        <w:t>” means the period from and including the date of this Agreement and ending on the date on which a Mandatory Cancellation Event occurs or exists; it being understood that the Certain Funds Period will end on such date but immediately after the relevant Mandatory Cancellation Event occurs or first exists.</w:t>
      </w:r>
    </w:p>
    <w:p>
      <w:pPr>
        <w:spacing w:after="0" w:line="174" w:lineRule="exact"/>
        <w:rPr>
          <w:sz w:val="20"/>
          <w:szCs w:val="20"/>
          <w:color w:val="auto"/>
        </w:rPr>
      </w:pPr>
    </w:p>
    <w:p>
      <w:pPr>
        <w:jc w:val="both"/>
        <w:ind w:right="20"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Certain Funds Purposes</w:t>
      </w:r>
      <w:r>
        <w:rPr>
          <w:rFonts w:ascii="Times New Roman" w:cs="Times New Roman" w:eastAsia="Times New Roman" w:hAnsi="Times New Roman"/>
          <w:sz w:val="20"/>
          <w:szCs w:val="20"/>
          <w:color w:val="auto"/>
        </w:rPr>
        <w:t>” means (a) where the Target Acquisition proceeds by way of a Scheme: (i) payment (directly or indirectly) of the cash consideration payable by the TopCo Borrower to the holders of the Target Shares in consideration of such Target Shares being acquired by the TopCo Borrower; (ii) payment (directly or indirectly) of the cash consideration payable to holders of options to acquire Target Shares or to other holders of equity awards in the Target pursuant to any proposal in respect of those options or other equity awards as required by the Takeover Rules; and (iii) payment (directly or indirectly) of the fees, costs and expenses in respect of the Transactions (including stamp duty); or (b) where the Target Acquisition proceeds by way of an Offer: (i) payment (directly or indirectly) of the cash consideration payable by the TopCo Borrower to the holders of the Target Shares subject to the Offer in consideration of the acquisition of such Target Shares pursuant to the Offer; (ii) payment (directly or indirectly) of the cash consideration payable to the holders of Target Shares pursuant to the exercise by the TopCo Borrower of the Squeeze-Out Rights; (iii) payment (directly or indirectly) of the cash consideration payable to holders of options to acquire Target Shares or to other holders of equity awards in the Target pursuant to any proposal in respect of those options or equity awards as required by the Takeover Rules; and (iv) payment (directly or indirectly) of the fees, costs and expenses in respect of the Transactions (including stamp duty).</w:t>
      </w:r>
    </w:p>
    <w:p>
      <w:pPr>
        <w:spacing w:after="0" w:line="187"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Certain Funds Representation</w:t>
      </w:r>
      <w:r>
        <w:rPr>
          <w:rFonts w:ascii="Times New Roman" w:cs="Times New Roman" w:eastAsia="Times New Roman" w:hAnsi="Times New Roman"/>
          <w:sz w:val="20"/>
          <w:szCs w:val="20"/>
          <w:color w:val="auto"/>
        </w:rPr>
        <w:t xml:space="preserve">” means any representation and/or warranty as it relates to the Borrowers only under any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3.01(a</w:t>
      </w:r>
      <w:r>
        <w:rPr>
          <w:rFonts w:ascii="Times New Roman" w:cs="Times New Roman" w:eastAsia="Times New Roman" w:hAnsi="Times New Roman"/>
          <w:sz w:val="20"/>
          <w:szCs w:val="20"/>
          <w:color w:val="auto"/>
        </w:rPr>
        <w:t xml:space="preserve">) (it being understood that failure to maintain any good standing status or similar status in any jurisdiction shall not constitute a breach of this provision), </w:t>
      </w: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3.03(b)</w:t>
      </w:r>
      <w:r>
        <w:rPr>
          <w:rFonts w:ascii="Times New Roman" w:cs="Times New Roman" w:eastAsia="Times New Roman" w:hAnsi="Times New Roman"/>
          <w:sz w:val="20"/>
          <w:szCs w:val="20"/>
          <w:color w:val="auto"/>
        </w:rPr>
        <w:t xml:space="preserve"> (with respect to (b)(ii) to the Knowledge of the Borrowers) and the last sentence of </w:t>
      </w:r>
      <w:r>
        <w:rPr>
          <w:rFonts w:ascii="Times New Roman" w:cs="Times New Roman" w:eastAsia="Times New Roman" w:hAnsi="Times New Roman"/>
          <w:sz w:val="20"/>
          <w:szCs w:val="20"/>
          <w:u w:val="single" w:color="auto"/>
          <w:color w:val="auto"/>
        </w:rPr>
        <w:t>3.18</w:t>
      </w:r>
      <w:r>
        <w:rPr>
          <w:rFonts w:ascii="Times New Roman" w:cs="Times New Roman" w:eastAsia="Times New Roman" w:hAnsi="Times New Roman"/>
          <w:sz w:val="20"/>
          <w:szCs w:val="20"/>
          <w:color w:val="auto"/>
        </w:rPr>
        <w:t xml:space="preserve"> in each case, for the avoidance of doubt, not with respect to the Target or any Subsidiary of the Target.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16"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any “person” or “group” (within the meaning of Rule 13d-5 of the Securities Exchange Act of 1934 as in effect on the Closing Date, but excluding any employee benefit plan of such person and its subsidiaries, and any person or entity acting in its capacity as trustee, agent or other fiduciary or administrator of such plan) shall become the “beneficial owner” (within the meaning of Rule 13d-3 and 13d-5 of the Securities Exchange Act of 1934 as in effect on the Closing Date), directly or indirectly, of more than 35% of the then outstanding voting securities having ordinary voting power of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5" w:right="439" w:bottom="1440" w:gutter="0" w:footer="0" w:header="0"/>
        </w:sectPr>
      </w:pPr>
    </w:p>
    <w:bookmarkStart w:id="25" w:name="page26"/>
    <w:bookmarkEnd w:id="2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TopCo Borrower; or (b) the failure of the TopCo Borrower, directly or indirectly through Wholly-Owned Subsidiary Guarantors, to own all of the Equity Interests in the U.S. Borrower and the U.S. Co-Borrower.</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for purposes of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by any lending office of such Lender or by such Lender’s holding company, if any) with any request, rule, guideline or directive (whether or not having the force of law) of any Governmental Authority made or issued after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Commitment, Loan or Borrowing, refers to whether such Commitment, Loan, or the Loans comprising such Borrowing, are (a) Initial Tranche A Term Loans or Initial Tranche A Term Commitments, (b) Initial Tranche B Term Loans or Initial Tranche B Term Commitments, (c) Incremental Term Loans with the same terms and conditions or Incremental Commitments in respect thereof, (d) Extended Term Loans (of the same Extension Series), (e) Refinancing Term Loans with the same terms and conditions or Refinancing Term Loan Commitments in respect thereof and (f) Incremental Revolving Commitments with the same terms and conditions or Incremental Revolving Loans made pursuant thereto.</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date on which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w:t>
      </w:r>
      <w:r>
        <w:rPr>
          <w:rFonts w:ascii="Times New Roman" w:cs="Times New Roman" w:eastAsia="Times New Roman" w:hAnsi="Times New Roman"/>
          <w:sz w:val="20"/>
          <w:szCs w:val="20"/>
          <w:color w:val="auto"/>
        </w:rPr>
        <w:t>” means each of PNC Capital Markets LLC, DNB Carnegie, Inc., U.S. Bank National Association, Fifth Third Bank, National Association, Capital One, National Association, Citizens Bank, N.A. and Truist Bank, in its capacity as a co-documentation agent hereunder.</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Collaboration Agreements</w:t>
      </w:r>
      <w:r>
        <w:rPr>
          <w:rFonts w:ascii="Times New Roman" w:cs="Times New Roman" w:eastAsia="Times New Roman" w:hAnsi="Times New Roman"/>
          <w:sz w:val="20"/>
          <w:szCs w:val="20"/>
          <w:color w:val="auto"/>
        </w:rPr>
        <w:t>” means research or development agreements (including co-development), sponsored research agreements, material transfer agreements, licensing agreements (including royalty agreements), collaboration agreements (including joint ventures) and option agreements, in each case relating to uncommercialized product candidates and entered into with a third party.</w:t>
      </w:r>
    </w:p>
    <w:p>
      <w:pPr>
        <w:spacing w:after="0" w:line="174"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means any and all property owned, leased or operated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pursuant to the Collateral Documents to secure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Collateral shall exclude Excluded Assets.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5" w:right="439" w:bottom="1440" w:gutter="0" w:footer="0" w:header="0"/>
        </w:sectPr>
      </w:pPr>
    </w:p>
    <w:bookmarkStart w:id="26" w:name="page27"/>
    <w:bookmarkEnd w:id="26"/>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U.S. Security Agreement, the Irish Collateral Documents, the Mortgages, if any, the Intellectual Property Security Agreements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pledges, assignments or similar agreements, whether heretofore, now, or hereafter executed by any Borrower or any other Loan Party and delivered to the Administrative Agent to secure the Secured Obligations.</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with respect to any Lender, the Initial Tranche A Term Commitment of such Lender and the Initial Tranche B Term Commitment of such Lender and (b) as to all Lenders, the aggregate Commitments of all Lenders to make Loans.</w:t>
      </w:r>
    </w:p>
    <w:p>
      <w:pPr>
        <w:spacing w:after="0" w:line="155"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means, collectively, any Borrowing Request, Interest Election Request, notice of prepayment,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including through an Approved Electronic Platform.</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Companies Act</w:t>
      </w:r>
      <w:r>
        <w:rPr>
          <w:rFonts w:ascii="Times New Roman" w:cs="Times New Roman" w:eastAsia="Times New Roman" w:hAnsi="Times New Roman"/>
          <w:sz w:val="20"/>
          <w:szCs w:val="20"/>
          <w:color w:val="auto"/>
        </w:rPr>
        <w:t>” means the Companies Act 2014 of Ireland as amended.</w:t>
      </w:r>
    </w:p>
    <w:p>
      <w:pPr>
        <w:spacing w:after="0" w:line="216"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Cash Interest Expense</w:t>
      </w:r>
      <w:r>
        <w:rPr>
          <w:rFonts w:ascii="Times New Roman" w:cs="Times New Roman" w:eastAsia="Times New Roman" w:hAnsi="Times New Roman"/>
          <w:sz w:val="20"/>
          <w:szCs w:val="20"/>
          <w:color w:val="auto"/>
        </w:rPr>
        <w:t xml:space="preserve">” means with reference to any period, the cash interest expense (including cash rent or cash interest expense under Capital Lease Obligations that is treated as interest in accordance with GAAP) of the TopCo Borrower and its Restricted Subsidiaries calculated on a consolidated basis for such period with respect to all outstanding Indebtedness of the TopCo Borrower and its Restricted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net of any cash interest income, and excluding the amortization of debt issuance costs and any interest expense actually “paid in kind” or accreted during such period. In the event that the TopCo Borrower or any Restricted Subsidiary shall have completed a Material Acquisition or a Material Disposition since the beginning of the relevant period, Consolidated Cash Interest Expense shall be determined for such period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as if such acquisition or disposition, and any related incurrence or repayment of Indebtedness, had occurred at the beginning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such period.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with reference to any period,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(a)   without duplication and to the extent (other than with respect to </w:t>
      </w:r>
      <w:r>
        <w:rPr>
          <w:rFonts w:ascii="Times New Roman" w:cs="Times New Roman" w:eastAsia="Times New Roman" w:hAnsi="Times New Roman"/>
          <w:sz w:val="20"/>
          <w:szCs w:val="20"/>
          <w:u w:val="single" w:color="auto"/>
          <w:color w:val="auto"/>
        </w:rPr>
        <w:t>clauses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(xv)</w:t>
      </w:r>
      <w:r>
        <w:rPr>
          <w:rFonts w:ascii="Times New Roman" w:cs="Times New Roman" w:eastAsia="Times New Roman" w:hAnsi="Times New Roman"/>
          <w:sz w:val="20"/>
          <w:szCs w:val="20"/>
          <w:color w:val="auto"/>
        </w:rPr>
        <w:t xml:space="preserve"> below) deducted from revenues in determining Consolidated Net Income for such period,</w:t>
      </w:r>
    </w:p>
    <w:p>
      <w:pPr>
        <w:spacing w:after="0" w:line="1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consolidated interest charges, and, to the extent not reflected in such consolidated interest charges, the sum of</w:t>
      </w:r>
    </w:p>
    <w:p>
      <w:pPr>
        <w:spacing w:after="0" w:line="22" w:lineRule="exact"/>
        <w:rPr>
          <w:sz w:val="20"/>
          <w:szCs w:val="20"/>
          <w:color w:val="auto"/>
        </w:rPr>
      </w:pPr>
    </w:p>
    <w:p>
      <w:pPr>
        <w:jc w:val="both"/>
        <w:ind w:left="540" w:right="20" w:firstLine="7"/>
        <w:spacing w:after="0" w:line="242" w:lineRule="auto"/>
        <w:tabs>
          <w:tab w:leader="none" w:pos="87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portion of rent expense or interest expense under Capital Lease Obligations that is treated as interest expense in accordance with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5" w:right="439" w:bottom="1440"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GAAP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implied interest component of Synthetic Leases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bank and letter of credit fees and costs of surety bonds in connection with financing activities,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(F) amortization or write-off of deferred financing fees, debt issuance costs, debt discount or premium, terminated hedging obligations and other commissions, financing fees and expenses and, adjusted, to the extent included, to exclude any refunds or similar credits received in connection with the purchasing or procurement of goods or services under any purchasing card or similar program,</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(ii)    the provision for Federal, state, local and foreign income taxes,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(iii)    depreciation and amortization expense,</w:t>
      </w:r>
    </w:p>
    <w:p>
      <w:pPr>
        <w:spacing w:after="0" w:line="216" w:lineRule="exact"/>
        <w:rPr>
          <w:sz w:val="20"/>
          <w:szCs w:val="20"/>
          <w:color w:val="auto"/>
        </w:rPr>
      </w:pPr>
    </w:p>
    <w:p>
      <w:pPr>
        <w:jc w:val="both"/>
        <w:ind w:firstLine="523"/>
        <w:spacing w:after="0" w:line="243" w:lineRule="auto"/>
        <w:rPr>
          <w:sz w:val="20"/>
          <w:szCs w:val="20"/>
          <w:color w:val="auto"/>
        </w:rPr>
      </w:pPr>
      <w:r>
        <w:rPr>
          <w:rFonts w:ascii="Times New Roman" w:cs="Times New Roman" w:eastAsia="Times New Roman" w:hAnsi="Times New Roman"/>
          <w:sz w:val="20"/>
          <w:szCs w:val="20"/>
          <w:color w:val="auto"/>
        </w:rPr>
        <w:t xml:space="preserve">(iv)   pro forma “run rate” cost savings, operating expense reductions, operational improvements and cost synergies (net of the amount of actual amounts realized) reasonably identifiable and factually supportable (in the good faith determination of the U.S. Borrower) related to asset sales, Acquisitions, Investments, Dispositions, operating improvements, restructurings, cost saving initiatives and other similar initiatives and transactions projected by the U.S. Borrower in good faith to result from actions that have been taken or with respect to which substantial steps have been taken or are expected to be taken (in the good faith determination of the U.S. Borrower) within 24 months (for the avoidance of doubt including in connection with any of the foregoing, or actions taken, prior to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amounts under this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shall not exceed 20% of Consolidated EBITDA for any Reference Period as calculated after giving effect to all adjustments,</w:t>
      </w:r>
    </w:p>
    <w:p>
      <w:pPr>
        <w:spacing w:after="0" w:line="189" w:lineRule="exact"/>
        <w:rPr>
          <w:sz w:val="20"/>
          <w:szCs w:val="20"/>
          <w:color w:val="auto"/>
        </w:rPr>
      </w:pPr>
    </w:p>
    <w:p>
      <w:pPr>
        <w:jc w:val="both"/>
        <w:ind w:right="20" w:firstLine="523"/>
        <w:spacing w:after="0" w:line="274" w:lineRule="auto"/>
        <w:rPr>
          <w:sz w:val="20"/>
          <w:szCs w:val="20"/>
          <w:color w:val="auto"/>
        </w:rPr>
      </w:pPr>
      <w:r>
        <w:rPr>
          <w:rFonts w:ascii="Times New Roman" w:cs="Times New Roman" w:eastAsia="Times New Roman" w:hAnsi="Times New Roman"/>
          <w:sz w:val="19"/>
          <w:szCs w:val="19"/>
          <w:color w:val="auto"/>
        </w:rPr>
        <w:t>(v)   (A) compensation paid to employees in the form of common stock and (B) any costs or expenses incurred by the TopCo Borrower or any of its Restricted Subsidiaries pursuant to any management equity plan or stock option plan or any other management or employee benefit plan or agreement, any severance agreement or any stock subscription or shareholder agreement,</w:t>
      </w:r>
    </w:p>
    <w:p>
      <w:pPr>
        <w:spacing w:after="0" w:line="156" w:lineRule="exact"/>
        <w:rPr>
          <w:sz w:val="20"/>
          <w:szCs w:val="20"/>
          <w:color w:val="auto"/>
        </w:rPr>
      </w:pPr>
    </w:p>
    <w:p>
      <w:pPr>
        <w:jc w:val="both"/>
        <w:ind w:right="20" w:firstLine="523"/>
        <w:spacing w:after="0" w:line="242" w:lineRule="auto"/>
        <w:rPr>
          <w:sz w:val="20"/>
          <w:szCs w:val="20"/>
          <w:color w:val="auto"/>
        </w:rPr>
      </w:pPr>
      <w:r>
        <w:rPr>
          <w:rFonts w:ascii="Times New Roman" w:cs="Times New Roman" w:eastAsia="Times New Roman" w:hAnsi="Times New Roman"/>
          <w:sz w:val="20"/>
          <w:szCs w:val="20"/>
          <w:color w:val="auto"/>
        </w:rPr>
        <w:t xml:space="preserve">(vi)   one-time non-recurring transaction fees, costs and expenses (whether or not consummated), including in connection with Acquisitions and other Investments, Dispositions and the incurrence or issuance of Indebtedness and Equity Interests, integration, reorganization and restructuring costs, litigation fees, costs and expenses and facility consolidation and closing costs incurred in connection with reorganizations, restructurings and Investments (including, the incurrence of Indebtedness in connection therewith) and Dispositions not otherwise prohibited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fees, costs and expenses (A) are incurred within twelve (12) months of the occurrence of such applicable triggering event and (B) the aggregate amount of fees, costs and expenses added back pursuant to this </w:t>
      </w:r>
      <w:r>
        <w:rPr>
          <w:rFonts w:ascii="Times New Roman" w:cs="Times New Roman" w:eastAsia="Times New Roman" w:hAnsi="Times New Roman"/>
          <w:sz w:val="20"/>
          <w:szCs w:val="20"/>
          <w:u w:val="single" w:color="auto"/>
          <w:color w:val="auto"/>
        </w:rPr>
        <w:t>clause (a)(vi)</w:t>
      </w:r>
      <w:r>
        <w:rPr>
          <w:rFonts w:ascii="Times New Roman" w:cs="Times New Roman" w:eastAsia="Times New Roman" w:hAnsi="Times New Roman"/>
          <w:sz w:val="20"/>
          <w:szCs w:val="20"/>
          <w:color w:val="auto"/>
        </w:rPr>
        <w:t xml:space="preserve">, together with amounts added back pursuant to </w:t>
      </w:r>
      <w:r>
        <w:rPr>
          <w:rFonts w:ascii="Times New Roman" w:cs="Times New Roman" w:eastAsia="Times New Roman" w:hAnsi="Times New Roman"/>
          <w:sz w:val="20"/>
          <w:szCs w:val="20"/>
          <w:u w:val="single" w:color="auto"/>
          <w:color w:val="auto"/>
        </w:rPr>
        <w:t>clauses (a)(vii), (a)</w:t>
      </w:r>
    </w:p>
    <w:p>
      <w:pPr>
        <w:spacing w:after="0" w:line="5" w:lineRule="exact"/>
        <w:rPr>
          <w:sz w:val="20"/>
          <w:szCs w:val="20"/>
          <w:color w:val="auto"/>
        </w:rPr>
      </w:pPr>
    </w:p>
    <w:p>
      <w:pPr>
        <w:ind w:right="20" w:firstLine="7"/>
        <w:spacing w:after="0" w:line="246" w:lineRule="auto"/>
        <w:tabs>
          <w:tab w:leader="none" w:pos="479" w:val="left"/>
        </w:tabs>
        <w:numPr>
          <w:ilvl w:val="0"/>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(a)(xvi)</w:t>
      </w:r>
      <w:r>
        <w:rPr>
          <w:rFonts w:ascii="Times New Roman" w:cs="Times New Roman" w:eastAsia="Times New Roman" w:hAnsi="Times New Roman"/>
          <w:sz w:val="20"/>
          <w:szCs w:val="20"/>
          <w:color w:val="auto"/>
        </w:rPr>
        <w:t xml:space="preserve"> below, shall not exceed 25% of Consolidated EBITDA for any Reference Period (after giving effect to all adjustments),</w:t>
      </w:r>
    </w:p>
    <w:p>
      <w:pPr>
        <w:spacing w:after="0" w:line="182" w:lineRule="exact"/>
        <w:rPr>
          <w:sz w:val="20"/>
          <w:szCs w:val="20"/>
          <w:color w:val="auto"/>
        </w:rPr>
      </w:pPr>
    </w:p>
    <w:p>
      <w:pPr>
        <w:jc w:val="both"/>
        <w:ind w:firstLine="523"/>
        <w:spacing w:after="0" w:line="244" w:lineRule="auto"/>
        <w:rPr>
          <w:sz w:val="20"/>
          <w:szCs w:val="20"/>
          <w:color w:val="auto"/>
        </w:rPr>
      </w:pPr>
      <w:r>
        <w:rPr>
          <w:rFonts w:ascii="Times New Roman" w:cs="Times New Roman" w:eastAsia="Times New Roman" w:hAnsi="Times New Roman"/>
          <w:sz w:val="20"/>
          <w:szCs w:val="20"/>
          <w:color w:val="auto"/>
        </w:rPr>
        <w:t xml:space="preserve">(vii)    severance costs and expenses, payments to employees on account of their equity ownership and one-time compensation charges incurred in connection with reorganizations, restructurings and Investments (including, the incurrence of Indebtedness in connection therewith), the incurrence or issuance of Indebtedness and Equity Interests and Dispositions not otherwise prohibited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costs, expenses and payments (A) are incurred within twelve (12) months of the occurrence of such applicable triggering event and (B) the aggregate amount of costs, expenses and payments added back pursuant to this </w:t>
      </w:r>
      <w:r>
        <w:rPr>
          <w:rFonts w:ascii="Times New Roman" w:cs="Times New Roman" w:eastAsia="Times New Roman" w:hAnsi="Times New Roman"/>
          <w:sz w:val="20"/>
          <w:szCs w:val="20"/>
          <w:u w:val="single" w:color="auto"/>
          <w:color w:val="auto"/>
        </w:rPr>
        <w:t>clause (a)(vii)</w:t>
      </w:r>
      <w:r>
        <w:rPr>
          <w:rFonts w:ascii="Times New Roman" w:cs="Times New Roman" w:eastAsia="Times New Roman" w:hAnsi="Times New Roman"/>
          <w:sz w:val="20"/>
          <w:szCs w:val="20"/>
          <w:color w:val="auto"/>
        </w:rPr>
        <w:t xml:space="preserve">, together with amounts added back pursuant to </w:t>
      </w:r>
      <w:r>
        <w:rPr>
          <w:rFonts w:ascii="Times New Roman" w:cs="Times New Roman" w:eastAsia="Times New Roman" w:hAnsi="Times New Roman"/>
          <w:sz w:val="20"/>
          <w:szCs w:val="20"/>
          <w:u w:val="single" w:color="auto"/>
          <w:color w:val="auto"/>
        </w:rPr>
        <w:t>clause (a)(vi)</w:t>
      </w:r>
      <w:r>
        <w:rPr>
          <w:rFonts w:ascii="Times New Roman" w:cs="Times New Roman" w:eastAsia="Times New Roman" w:hAnsi="Times New Roman"/>
          <w:sz w:val="20"/>
          <w:szCs w:val="20"/>
          <w:color w:val="auto"/>
        </w:rPr>
        <w:t xml:space="preserve"> above and </w:t>
      </w:r>
      <w:r>
        <w:rPr>
          <w:rFonts w:ascii="Times New Roman" w:cs="Times New Roman" w:eastAsia="Times New Roman" w:hAnsi="Times New Roman"/>
          <w:sz w:val="20"/>
          <w:szCs w:val="20"/>
          <w:u w:val="single" w:color="auto"/>
          <w:color w:val="auto"/>
        </w:rPr>
        <w:t>clause (a)(xiii)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(a)(xvi)</w:t>
      </w:r>
      <w:r>
        <w:rPr>
          <w:rFonts w:ascii="Times New Roman" w:cs="Times New Roman" w:eastAsia="Times New Roman" w:hAnsi="Times New Roman"/>
          <w:sz w:val="20"/>
          <w:szCs w:val="20"/>
          <w:color w:val="auto"/>
        </w:rPr>
        <w:t xml:space="preserve"> below, shall</w:t>
      </w:r>
    </w:p>
    <w:p>
      <w:pPr>
        <w:spacing w:after="0" w:line="1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80"/>
          </w:cols>
          <w:pgMar w:left="980" w:top="265" w:right="43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exceed 25% of Consolidated EBITDA for any Reference Period (after giving effect to all adjustments),</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(viii)    fees, costs and other expenses incurred in connection with the Transactions,</w:t>
      </w:r>
    </w:p>
    <w:p>
      <w:pPr>
        <w:spacing w:after="0" w:line="216"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(ix)     the effects of adjustments pursuant to GAAP resulting from purchase accounting in relation to Investments not prohibited by this Agreement, or the amortization or write-off of any amounts thereof, net of taxes, in each case, which do not represent a cash item in such period or any future period,</w:t>
      </w:r>
    </w:p>
    <w:p>
      <w:pPr>
        <w:spacing w:after="0" w:line="174" w:lineRule="exact"/>
        <w:rPr>
          <w:sz w:val="20"/>
          <w:szCs w:val="20"/>
          <w:color w:val="auto"/>
        </w:rPr>
      </w:pPr>
    </w:p>
    <w:p>
      <w:pPr>
        <w:jc w:val="both"/>
        <w:ind w:left="540" w:firstLine="523"/>
        <w:spacing w:after="0" w:line="254" w:lineRule="auto"/>
        <w:rPr>
          <w:sz w:val="20"/>
          <w:szCs w:val="20"/>
          <w:color w:val="auto"/>
        </w:rPr>
      </w:pPr>
      <w:r>
        <w:rPr>
          <w:rFonts w:ascii="Times New Roman" w:cs="Times New Roman" w:eastAsia="Times New Roman" w:hAnsi="Times New Roman"/>
          <w:sz w:val="20"/>
          <w:szCs w:val="20"/>
          <w:color w:val="auto"/>
        </w:rPr>
        <w:t>(x)      losses associated with the revaluation of earnouts, milestones or other similar contingent obligations incurred in connection with the Transactions or any other Investment not prohibited by this Agreement (including upfront, earnout or milestone payments),</w:t>
      </w:r>
    </w:p>
    <w:p>
      <w:pPr>
        <w:spacing w:after="0" w:line="1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(xi)      up-front and milestone payments payable under Collaboration Agreements or in connection with any Acquisition,</w:t>
      </w:r>
    </w:p>
    <w:p>
      <w:pPr>
        <w:spacing w:after="0" w:line="216"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(xii)   other expenses or items reducing Consolidated Net Income which do not represent a cash item in such period or any future period (in each case of or by the TopCo Borrower and its Restricted Subsidiaries for such Reference Period),</w:t>
      </w:r>
    </w:p>
    <w:p>
      <w:pPr>
        <w:spacing w:after="0" w:line="159"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 xml:space="preserve">(xiii)   extraordinary, unusual or non-recurring cash items;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cash items added back pursuant to this </w:t>
      </w:r>
      <w:r>
        <w:rPr>
          <w:rFonts w:ascii="Times New Roman" w:cs="Times New Roman" w:eastAsia="Times New Roman" w:hAnsi="Times New Roman"/>
          <w:sz w:val="20"/>
          <w:szCs w:val="20"/>
          <w:u w:val="single" w:color="auto"/>
          <w:color w:val="auto"/>
        </w:rPr>
        <w:t>clause (a)(xiii)</w:t>
      </w:r>
      <w:r>
        <w:rPr>
          <w:rFonts w:ascii="Times New Roman" w:cs="Times New Roman" w:eastAsia="Times New Roman" w:hAnsi="Times New Roman"/>
          <w:sz w:val="20"/>
          <w:szCs w:val="20"/>
          <w:color w:val="auto"/>
        </w:rPr>
        <w:t xml:space="preserve">, together with amounts added back pursuant to </w:t>
      </w:r>
      <w:r>
        <w:rPr>
          <w:rFonts w:ascii="Times New Roman" w:cs="Times New Roman" w:eastAsia="Times New Roman" w:hAnsi="Times New Roman"/>
          <w:sz w:val="20"/>
          <w:szCs w:val="20"/>
          <w:u w:val="single" w:color="auto"/>
          <w:color w:val="auto"/>
        </w:rPr>
        <w:t>clauses (a)(vi)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(a)(vii)</w:t>
      </w:r>
      <w:r>
        <w:rPr>
          <w:rFonts w:ascii="Times New Roman" w:cs="Times New Roman" w:eastAsia="Times New Roman" w:hAnsi="Times New Roman"/>
          <w:sz w:val="20"/>
          <w:szCs w:val="20"/>
          <w:color w:val="auto"/>
        </w:rPr>
        <w:t xml:space="preserve"> above and </w:t>
      </w:r>
      <w:r>
        <w:rPr>
          <w:rFonts w:ascii="Times New Roman" w:cs="Times New Roman" w:eastAsia="Times New Roman" w:hAnsi="Times New Roman"/>
          <w:sz w:val="20"/>
          <w:szCs w:val="20"/>
          <w:u w:val="single" w:color="auto"/>
          <w:color w:val="auto"/>
        </w:rPr>
        <w:t>(a)(xvi)</w:t>
      </w:r>
      <w:r>
        <w:rPr>
          <w:rFonts w:ascii="Times New Roman" w:cs="Times New Roman" w:eastAsia="Times New Roman" w:hAnsi="Times New Roman"/>
          <w:sz w:val="20"/>
          <w:szCs w:val="20"/>
          <w:color w:val="auto"/>
        </w:rPr>
        <w:t xml:space="preserve"> below, shall not exceed 25% of Consolidated EBITDA for any Reference Period (after giving effect to all adjustments),</w:t>
      </w:r>
    </w:p>
    <w:p>
      <w:pPr>
        <w:spacing w:after="0" w:line="174" w:lineRule="exact"/>
        <w:rPr>
          <w:sz w:val="20"/>
          <w:szCs w:val="20"/>
          <w:color w:val="auto"/>
        </w:rPr>
      </w:pPr>
    </w:p>
    <w:p>
      <w:pPr>
        <w:jc w:val="both"/>
        <w:ind w:left="540" w:right="20" w:firstLine="523"/>
        <w:spacing w:after="0" w:line="243" w:lineRule="auto"/>
        <w:rPr>
          <w:sz w:val="20"/>
          <w:szCs w:val="20"/>
          <w:color w:val="auto"/>
        </w:rPr>
      </w:pPr>
      <w:r>
        <w:rPr>
          <w:rFonts w:ascii="Times New Roman" w:cs="Times New Roman" w:eastAsia="Times New Roman" w:hAnsi="Times New Roman"/>
          <w:sz w:val="20"/>
          <w:szCs w:val="20"/>
          <w:color w:val="auto"/>
        </w:rPr>
        <w:t xml:space="preserve">(xiv)   charges, losses, lost profits, expenses (including litigation expenses, fee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loss of, damage to or destruction of, or any condemnation or other taking for public use of, any property of any Loan Party that constitutes Collateral, in each case, to the extent that coverage has not been denied and so long as such amounts are actually reimbursed in cash within one (1) year after the related amount is first added to Consolidated EBITDA pursuant to this </w:t>
      </w:r>
      <w:r>
        <w:rPr>
          <w:rFonts w:ascii="Times New Roman" w:cs="Times New Roman" w:eastAsia="Times New Roman" w:hAnsi="Times New Roman"/>
          <w:sz w:val="20"/>
          <w:szCs w:val="20"/>
          <w:u w:val="single" w:color="auto"/>
          <w:color w:val="auto"/>
        </w:rPr>
        <w:t>clause (a)</w:t>
      </w:r>
    </w:p>
    <w:p>
      <w:pPr>
        <w:spacing w:after="0" w:line="2" w:lineRule="exact"/>
        <w:rPr>
          <w:sz w:val="20"/>
          <w:szCs w:val="20"/>
          <w:color w:val="auto"/>
        </w:rPr>
      </w:pPr>
    </w:p>
    <w:p>
      <w:pPr>
        <w:ind w:left="540" w:right="20" w:firstLine="7"/>
        <w:spacing w:after="0" w:line="246" w:lineRule="auto"/>
        <w:tabs>
          <w:tab w:leader="none" w:pos="1010" w:val="left"/>
        </w:tabs>
        <w:numPr>
          <w:ilvl w:val="0"/>
          <w:numId w:val="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(and if not so reimbursed within one year, such amount shall be deducted from Consolidated EBITDA during the next Reference Period),</w:t>
      </w:r>
    </w:p>
    <w:p>
      <w:pPr>
        <w:spacing w:after="0" w:line="182"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 xml:space="preserve">(xv)   proceeds of business interruption insurance (whether or not then received so long as the U.S. Borrower in good faith expects the TopCo Borrower or its Restricted Subsidiaries to receive such proceeds within one year after the related amount is first added to Consolidated EBITDA pursuant to this </w:t>
      </w:r>
      <w:r>
        <w:rPr>
          <w:rFonts w:ascii="Times New Roman" w:cs="Times New Roman" w:eastAsia="Times New Roman" w:hAnsi="Times New Roman"/>
          <w:sz w:val="20"/>
          <w:szCs w:val="20"/>
          <w:u w:val="single" w:color="auto"/>
          <w:color w:val="auto"/>
        </w:rPr>
        <w:t>clause (a)(xv)</w:t>
      </w:r>
      <w:r>
        <w:rPr>
          <w:rFonts w:ascii="Times New Roman" w:cs="Times New Roman" w:eastAsia="Times New Roman" w:hAnsi="Times New Roman"/>
          <w:sz w:val="20"/>
          <w:szCs w:val="20"/>
          <w:color w:val="auto"/>
        </w:rPr>
        <w:t xml:space="preserve"> (and if not so reimbursed within one (1) year, such amount shall be deducted from Consolidated EBITDA during the next Reference Period)), and</w:t>
      </w:r>
    </w:p>
    <w:p>
      <w:pPr>
        <w:spacing w:after="0" w:line="180"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 xml:space="preserve">(xvi)   fees and settlement expenses (including fees of counsel) associated with disputes or litigation, including, but not limited to, patent infringement disputes or litigation personnel;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fees and settlement expenses added back pursuant to this </w:t>
      </w:r>
      <w:r>
        <w:rPr>
          <w:rFonts w:ascii="Times New Roman" w:cs="Times New Roman" w:eastAsia="Times New Roman" w:hAnsi="Times New Roman"/>
          <w:sz w:val="20"/>
          <w:szCs w:val="20"/>
          <w:u w:val="single" w:color="auto"/>
          <w:color w:val="auto"/>
        </w:rPr>
        <w:t>clause (a)(xvi)</w:t>
      </w:r>
      <w:r>
        <w:rPr>
          <w:rFonts w:ascii="Times New Roman" w:cs="Times New Roman" w:eastAsia="Times New Roman" w:hAnsi="Times New Roman"/>
          <w:sz w:val="20"/>
          <w:szCs w:val="20"/>
          <w:color w:val="auto"/>
        </w:rPr>
        <w:t xml:space="preserve">, together with amounts added back pursuant to </w:t>
      </w:r>
      <w:r>
        <w:rPr>
          <w:rFonts w:ascii="Times New Roman" w:cs="Times New Roman" w:eastAsia="Times New Roman" w:hAnsi="Times New Roman"/>
          <w:sz w:val="20"/>
          <w:szCs w:val="20"/>
          <w:u w:val="single" w:color="auto"/>
          <w:color w:val="auto"/>
        </w:rPr>
        <w:t>clauses (a)(vi)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(a)(xiii)</w:t>
      </w:r>
      <w:r>
        <w:rPr>
          <w:rFonts w:ascii="Times New Roman" w:cs="Times New Roman" w:eastAsia="Times New Roman" w:hAnsi="Times New Roman"/>
          <w:sz w:val="20"/>
          <w:szCs w:val="20"/>
          <w:color w:val="auto"/>
        </w:rPr>
        <w:t xml:space="preserve"> above, shall not exceed 25% of Consolidated EBITDA for any Reference Period (after giving effect to all adjustments),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5" w:right="439" w:bottom="1440" w:gutter="0" w:footer="0" w:header="0"/>
        </w:sectPr>
      </w:pPr>
    </w:p>
    <w:bookmarkStart w:id="29" w:name="page30"/>
    <w:bookmarkEnd w:id="29"/>
    <w:p>
      <w:pPr>
        <w:ind w:left="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to the extent included in Consolidated Net Income for such period,</w:t>
      </w:r>
    </w:p>
    <w:p>
      <w:pPr>
        <w:spacing w:after="0" w:line="216" w:lineRule="exact"/>
        <w:rPr>
          <w:sz w:val="20"/>
          <w:szCs w:val="20"/>
          <w:color w:val="auto"/>
        </w:rPr>
      </w:pPr>
    </w:p>
    <w:p>
      <w:pPr>
        <w:jc w:val="both"/>
        <w:ind w:left="544" w:right="20" w:firstLine="523"/>
        <w:spacing w:after="0" w:line="249" w:lineRule="auto"/>
        <w:rPr>
          <w:sz w:val="20"/>
          <w:szCs w:val="20"/>
          <w:color w:val="auto"/>
        </w:rPr>
      </w:pPr>
      <w:r>
        <w:rPr>
          <w:rFonts w:ascii="Times New Roman" w:cs="Times New Roman" w:eastAsia="Times New Roman" w:hAnsi="Times New Roman"/>
          <w:sz w:val="20"/>
          <w:szCs w:val="20"/>
          <w:color w:val="auto"/>
        </w:rPr>
        <w:t>(i)    all non-cash gains increasing Consolidated Net Income (in each case of or by the TopCo Borrower and its Restricted Subsidiaries for such Reference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w:t>
      </w:r>
    </w:p>
    <w:p>
      <w:pPr>
        <w:spacing w:after="0" w:line="180" w:lineRule="exact"/>
        <w:rPr>
          <w:sz w:val="20"/>
          <w:szCs w:val="20"/>
          <w:color w:val="auto"/>
        </w:rPr>
      </w:pPr>
    </w:p>
    <w:p>
      <w:pPr>
        <w:ind w:left="1064"/>
        <w:spacing w:after="0"/>
        <w:rPr>
          <w:sz w:val="20"/>
          <w:szCs w:val="20"/>
          <w:color w:val="auto"/>
        </w:rPr>
      </w:pPr>
      <w:r>
        <w:rPr>
          <w:rFonts w:ascii="Times New Roman" w:cs="Times New Roman" w:eastAsia="Times New Roman" w:hAnsi="Times New Roman"/>
          <w:sz w:val="20"/>
          <w:szCs w:val="20"/>
          <w:color w:val="auto"/>
        </w:rPr>
        <w:t>(ii)   all interest income for such period,</w:t>
      </w:r>
    </w:p>
    <w:p>
      <w:pPr>
        <w:spacing w:after="0" w:line="216" w:lineRule="exact"/>
        <w:rPr>
          <w:sz w:val="20"/>
          <w:szCs w:val="20"/>
          <w:color w:val="auto"/>
        </w:rPr>
      </w:pPr>
    </w:p>
    <w:p>
      <w:pPr>
        <w:ind w:left="1064"/>
        <w:spacing w:after="0"/>
        <w:rPr>
          <w:sz w:val="20"/>
          <w:szCs w:val="20"/>
          <w:color w:val="auto"/>
        </w:rPr>
      </w:pPr>
      <w:r>
        <w:rPr>
          <w:rFonts w:ascii="Times New Roman" w:cs="Times New Roman" w:eastAsia="Times New Roman" w:hAnsi="Times New Roman"/>
          <w:sz w:val="20"/>
          <w:szCs w:val="20"/>
          <w:color w:val="auto"/>
        </w:rPr>
        <w:t>(iii)   all Tax benefits for such period to the extent not netted in determining the amount for clause (a)(ii) above,</w:t>
      </w:r>
    </w:p>
    <w:p>
      <w:pPr>
        <w:spacing w:after="0" w:line="216" w:lineRule="exact"/>
        <w:rPr>
          <w:sz w:val="20"/>
          <w:szCs w:val="20"/>
          <w:color w:val="auto"/>
        </w:rPr>
      </w:pPr>
    </w:p>
    <w:p>
      <w:pPr>
        <w:ind w:left="1064"/>
        <w:spacing w:after="0"/>
        <w:rPr>
          <w:sz w:val="20"/>
          <w:szCs w:val="20"/>
          <w:color w:val="auto"/>
        </w:rPr>
      </w:pPr>
      <w:r>
        <w:rPr>
          <w:rFonts w:ascii="Times New Roman" w:cs="Times New Roman" w:eastAsia="Times New Roman" w:hAnsi="Times New Roman"/>
          <w:sz w:val="20"/>
          <w:szCs w:val="20"/>
          <w:color w:val="auto"/>
        </w:rPr>
        <w:t>(iv)   one-time, nonrecurring gains for such period,</w:t>
      </w:r>
    </w:p>
    <w:p>
      <w:pPr>
        <w:spacing w:after="0" w:line="216" w:lineRule="exact"/>
        <w:rPr>
          <w:sz w:val="20"/>
          <w:szCs w:val="20"/>
          <w:color w:val="auto"/>
        </w:rPr>
      </w:pPr>
    </w:p>
    <w:p>
      <w:pPr>
        <w:ind w:left="1064"/>
        <w:spacing w:after="0"/>
        <w:rPr>
          <w:sz w:val="20"/>
          <w:szCs w:val="20"/>
          <w:color w:val="auto"/>
        </w:rPr>
      </w:pPr>
      <w:r>
        <w:rPr>
          <w:rFonts w:ascii="Times New Roman" w:cs="Times New Roman" w:eastAsia="Times New Roman" w:hAnsi="Times New Roman"/>
          <w:sz w:val="20"/>
          <w:szCs w:val="20"/>
          <w:color w:val="auto"/>
        </w:rPr>
        <w:t>(v)     non-cash purchase accounting adjustments,</w:t>
      </w:r>
    </w:p>
    <w:p>
      <w:pPr>
        <w:spacing w:after="0" w:line="216" w:lineRule="exact"/>
        <w:rPr>
          <w:sz w:val="20"/>
          <w:szCs w:val="20"/>
          <w:color w:val="auto"/>
        </w:rPr>
      </w:pPr>
    </w:p>
    <w:p>
      <w:pPr>
        <w:jc w:val="both"/>
        <w:ind w:left="544" w:right="20" w:firstLine="523"/>
        <w:spacing w:after="0" w:line="269" w:lineRule="auto"/>
        <w:rPr>
          <w:sz w:val="20"/>
          <w:szCs w:val="20"/>
          <w:color w:val="auto"/>
        </w:rPr>
      </w:pPr>
      <w:r>
        <w:rPr>
          <w:rFonts w:ascii="Times New Roman" w:cs="Times New Roman" w:eastAsia="Times New Roman" w:hAnsi="Times New Roman"/>
          <w:sz w:val="20"/>
          <w:szCs w:val="20"/>
          <w:color w:val="auto"/>
        </w:rPr>
        <w:t>(vi)  amounts received in respect of non-recurring upfront, earnout or milestone payments or other similar contingent non-recurring amounts in connection with any Disposition, and</w:t>
      </w:r>
    </w:p>
    <w:p>
      <w:pPr>
        <w:spacing w:after="0" w:line="159" w:lineRule="exact"/>
        <w:rPr>
          <w:sz w:val="20"/>
          <w:szCs w:val="20"/>
          <w:color w:val="auto"/>
        </w:rPr>
      </w:pPr>
    </w:p>
    <w:p>
      <w:pPr>
        <w:jc w:val="both"/>
        <w:ind w:left="544" w:firstLine="523"/>
        <w:spacing w:after="0" w:line="254" w:lineRule="auto"/>
        <w:rPr>
          <w:sz w:val="20"/>
          <w:szCs w:val="20"/>
          <w:color w:val="auto"/>
        </w:rPr>
      </w:pPr>
      <w:r>
        <w:rPr>
          <w:rFonts w:ascii="Times New Roman" w:cs="Times New Roman" w:eastAsia="Times New Roman" w:hAnsi="Times New Roman"/>
          <w:sz w:val="20"/>
          <w:szCs w:val="20"/>
          <w:color w:val="auto"/>
        </w:rPr>
        <w:t>(vii)   gains associated with the revaluation of earnouts, milestones or other similar contingent obligations incurred in connection with the Transactions or any other Investment not prohibited under this Agreement (including upfront, earnout or milestone payments).</w:t>
      </w:r>
    </w:p>
    <w:p>
      <w:pPr>
        <w:spacing w:after="0" w:line="174"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0"/>
          <w:szCs w:val="20"/>
          <w:color w:val="auto"/>
        </w:rPr>
        <w:t>For the purposes of calculating Consolidated EBITDA for any period of four consecutive fiscal quarters (each such period, a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xml:space="preserve">”), (i) if at any time during such Reference Period the TopCo Borrower or any Restricted Subsidiary shall have made any Material Disposition or any Restricted Subsidiary is designated as an Unrestricted Subsidiary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the Consolidated EBITDA for such Reference Period shall be reduced by an amount equal to the Consolidated EBITDA (if positive) attributable to (x) any Person (other than an Unrestricted Subsidiary) or other property that is the subject of such Material Disposition or</w:t>
      </w:r>
    </w:p>
    <w:p>
      <w:pPr>
        <w:jc w:val="both"/>
        <w:ind w:left="4" w:hanging="4"/>
        <w:spacing w:after="0"/>
        <w:tabs>
          <w:tab w:leader="none" w:pos="31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newly designated Unrestricted Subsidiary, in each case, for such Reference Period or increased by an amount equal to the Consolidated EBITDA (if negative) attributable thereto for such Reference Period, and (ii) if during such Reference Period (x) the TopCo Borrower or any Restricted Subsidiary shall have made a Material Acquisition or (y) any Unrestricted Subsidiary is designated a Restricted Subsidiary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in each case, Consolidated EBITDA for such Reference Period shall be calculated after giving effect thereto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if such Material Acquisition or designation occurred on the first day of such Reference Period. As used in this definition, “</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Acquisition that involves payments (including contemporaneous payments and payments expected to be made at a later date (including in future fiscal quarters) in the reasonable judgment of the U.S. Borrower) of consideration by the TopCo Borrower and its Restricted Subsidiaries in excess of an aggregate amount of $50,000,000; and “</w:t>
      </w:r>
      <w:r>
        <w:rPr>
          <w:rFonts w:ascii="Times New Roman" w:cs="Times New Roman" w:eastAsia="Times New Roman" w:hAnsi="Times New Roman"/>
          <w:sz w:val="20"/>
          <w:szCs w:val="20"/>
          <w:u w:val="single" w:color="auto"/>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any sale, transfer or disposition of property or series of related sales, transfers, or dispositions of property that involves gross proceeds (including contemporaneous gross proceeds and gross proceeds expected to be received at a later date (including in future fiscal quarters) in the reasonable judgment of the U.S. Borrower) to the TopCo Borrower or any Restricted Subsidiaries in excess of an aggregate amount of $50,000,000.</w:t>
      </w:r>
    </w:p>
    <w:p>
      <w:pPr>
        <w:spacing w:after="0" w:line="188"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xml:space="preserve">” means the ratio, determined as of the last day of the then most recently ended fiscal quarter for which financial statements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w:t>
      </w:r>
      <w:r>
        <w:rPr>
          <w:rFonts w:ascii="Times New Roman" w:cs="Times New Roman" w:eastAsia="Times New Roman" w:hAnsi="Times New Roman"/>
          <w:sz w:val="20"/>
          <w:szCs w:val="20"/>
          <w:color w:val="auto"/>
        </w:rPr>
        <w:t>b) of (a) Consolidated EBITDA for the most recently ended four fiscal quarter period to (b)</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65" w:right="439" w:bottom="1440" w:gutter="0" w:footer="0" w:header="0"/>
        </w:sectPr>
      </w:pPr>
    </w:p>
    <w:bookmarkStart w:id="30" w:name="page31"/>
    <w:bookmarkEnd w:id="30"/>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Cash Interest Expense, all calculated for the period of four consecutive fiscal quarters ending with the end of such fiscal quarter and all calculated for the TopCo Borrower and its Restricted Subsidiaries on a consolidated basis.</w:t>
      </w:r>
    </w:p>
    <w:p>
      <w:pPr>
        <w:spacing w:after="0" w:line="159" w:lineRule="exact"/>
        <w:rPr>
          <w:sz w:val="20"/>
          <w:szCs w:val="20"/>
          <w:color w:val="auto"/>
        </w:rPr>
      </w:pPr>
    </w:p>
    <w:p>
      <w:pPr>
        <w:jc w:val="both"/>
        <w:ind w:left="4"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with reference to any period, the net income (or loss) of the TopCo Borrower and its Restricted Subsidiaries calculated in accordance with GAAP on a consolidated basis (without duplication)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any income (or loss) of any Person (including for avoidance of doubt, any Unrestricted Subsidiary) other than the TopCo Borrower or a Restricted Subsidiary, but any such income so excluded may be included in such period or any later period to the extent of any cash dividends or distributions actually paid in the relevant period (including for avoidance of doubt, by any Unrestricted Subsidiary) to the TopCo Borrower or any Restricted Subsidiary thereof.</w:t>
      </w:r>
    </w:p>
    <w:p>
      <w:pPr>
        <w:spacing w:after="0" w:line="184"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Net Indebtedness</w:t>
      </w:r>
      <w:r>
        <w:rPr>
          <w:rFonts w:ascii="Times New Roman" w:cs="Times New Roman" w:eastAsia="Times New Roman" w:hAnsi="Times New Roman"/>
          <w:sz w:val="20"/>
          <w:szCs w:val="20"/>
          <w:color w:val="auto"/>
        </w:rPr>
        <w:t>” means, at any time of determination, Consolidated Total Net Indebtedness at such time that is secured by any asset of the TopCo Borrower or any of its Restricted Subsidiaries.</w:t>
      </w:r>
    </w:p>
    <w:p>
      <w:pPr>
        <w:spacing w:after="0" w:line="159"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TopCo Borrower and its Restricted Subsidiaries calculated in accordance with GAAP on a consolidated basis as of such date.</w:t>
      </w:r>
    </w:p>
    <w:p>
      <w:pPr>
        <w:spacing w:after="0" w:line="159"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as of the date of any determination thereof, the sum, without duplication, of the (a) the aggregate Indebtedness of the type that are described in clauses (a), (b) and (h) (other than obligations under any automobile leases) of the definition of “Indebtedness” of the TopCo Borrower and its Restricted Subsidiaries, calculated on a consolidated basis as of such date in accordance with GAAP, (b) the aggregate amount of Indebtedness of the TopCo Borrower and its Restricted Subsidiaries relating to letters of credit (but only to the extent drawn and not reimbursed or cash collateralized), (c) purchase money Indebtedness of the TopCo Borrower and its Restricted Subsidiaries, calculated on a consolidated basis as of such date in accordance with GAAP and</w:t>
      </w:r>
    </w:p>
    <w:p>
      <w:pPr>
        <w:spacing w:after="0" w:line="2" w:lineRule="exact"/>
        <w:rPr>
          <w:sz w:val="20"/>
          <w:szCs w:val="20"/>
          <w:color w:val="auto"/>
        </w:rPr>
      </w:pPr>
    </w:p>
    <w:p>
      <w:pPr>
        <w:ind w:left="4" w:right="20" w:hanging="4"/>
        <w:spacing w:after="0" w:line="246" w:lineRule="auto"/>
        <w:tabs>
          <w:tab w:leader="none" w:pos="29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type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hereof of another Person guaranteed by the TopCo Borrower or any of its Restricted Subsidiaries up to the specified amount for which repayment is guaranteed, if any.</w:t>
      </w:r>
    </w:p>
    <w:p>
      <w:pPr>
        <w:spacing w:after="0" w:line="182"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Net Indebtedness</w:t>
      </w:r>
      <w:r>
        <w:rPr>
          <w:rFonts w:ascii="Times New Roman" w:cs="Times New Roman" w:eastAsia="Times New Roman" w:hAnsi="Times New Roman"/>
          <w:sz w:val="20"/>
          <w:szCs w:val="20"/>
          <w:color w:val="auto"/>
        </w:rPr>
        <w:t>” means, at any time of determination, the excess, if any, of (i) Consolidated Total Indebtedness over (ii) the lesser of (x) the amount of unrestricted cash and Cash Equivalents of the TopCo Borrower and its Restricted Subsidiaries and (y) $500,000,000, in each case of (i) and (ii), as of such time.</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has the meaning assigned to such term in the definition of Excess Cash Flow.</w:t>
      </w:r>
    </w:p>
    <w:p>
      <w:pPr>
        <w:spacing w:after="0" w:line="216"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enforceable agreement, instrument or other undertaking to which such Person is a party or by which it or any of its property is bound.</w:t>
      </w:r>
    </w:p>
    <w:p>
      <w:pPr>
        <w:spacing w:after="0" w:line="159"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The terms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65" w:right="439" w:bottom="1440" w:gutter="0" w:footer="0" w:header="0"/>
        </w:sectPr>
      </w:pPr>
    </w:p>
    <w:bookmarkStart w:id="31" w:name="page32"/>
    <w:bookmarkEnd w:id="31"/>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Court</w:t>
      </w:r>
      <w:r>
        <w:rPr>
          <w:rFonts w:ascii="Times New Roman" w:cs="Times New Roman" w:eastAsia="Times New Roman" w:hAnsi="Times New Roman"/>
          <w:sz w:val="20"/>
          <w:szCs w:val="20"/>
          <w:color w:val="auto"/>
        </w:rPr>
        <w:t>” means the High Court of Ireland.</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Court Meeting</w:t>
      </w:r>
      <w:r>
        <w:rPr>
          <w:rFonts w:ascii="Times New Roman" w:cs="Times New Roman" w:eastAsia="Times New Roman" w:hAnsi="Times New Roman"/>
          <w:sz w:val="20"/>
          <w:szCs w:val="20"/>
          <w:color w:val="auto"/>
        </w:rPr>
        <w:t>” means the meeting or meetings of Target Shareholders (including any adjournment thereof) convened or to be convened at the direction of the Court for the purposes of considering and, if thought fit, approving the Scheme.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Court Order</w:t>
      </w:r>
      <w:r>
        <w:rPr>
          <w:rFonts w:ascii="Times New Roman" w:cs="Times New Roman" w:eastAsia="Times New Roman" w:hAnsi="Times New Roman"/>
          <w:sz w:val="20"/>
          <w:szCs w:val="20"/>
          <w:color w:val="auto"/>
        </w:rPr>
        <w:t>” means the order of the Court sanctioning the Scheme under Section 453 of the Companies Act.</w:t>
      </w:r>
    </w:p>
    <w:p>
      <w:pPr>
        <w:spacing w:after="0" w:line="21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Holiday Transaction</w:t>
      </w:r>
      <w:r>
        <w:rPr>
          <w:rFonts w:ascii="Times New Roman" w:cs="Times New Roman" w:eastAsia="Times New Roman" w:hAnsi="Times New Roman"/>
          <w:sz w:val="20"/>
          <w:szCs w:val="20"/>
          <w:color w:val="auto"/>
        </w:rPr>
        <w:t xml:space="preserve">” means a Permitted Acquisition or other similar Investment is consummated or a Collaboration Agreement is entered into in respect of which (a) the TopCo Borrower or any Restricted Subsidiary incurs Indebtedness of $150,000,000 or more and (b) the U.S. Borrower delivers to the Administrative Agent a certificate of a Responsible Officer designating such Permitted Acquisition, other similar Investment or Collaboration Agreement as a “Covenant Holiday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there be more than two Covenant Holiday Transactions.</w:t>
      </w:r>
    </w:p>
    <w:p>
      <w:pPr>
        <w:spacing w:after="0" w:line="185"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Holiday Period</w:t>
      </w:r>
      <w:r>
        <w:rPr>
          <w:rFonts w:ascii="Times New Roman" w:cs="Times New Roman" w:eastAsia="Times New Roman" w:hAnsi="Times New Roman"/>
          <w:sz w:val="20"/>
          <w:szCs w:val="20"/>
          <w:color w:val="auto"/>
        </w:rPr>
        <w:t xml:space="preserve">” means the period of four consecutive fiscal quarters commencing on the first day of the fiscal quarter in which the consummation of a Covenant Holiday Transaction occurs;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applicable, the two Covenant Holiday Periods shall be separated by a period of at least two full fiscal quarters during which no Covenant Holiday Period is in effect.</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Suspension Period</w:t>
      </w:r>
      <w:r>
        <w:rPr>
          <w:rFonts w:ascii="Times New Roman" w:cs="Times New Roman" w:eastAsia="Times New Roman" w:hAnsi="Times New Roman"/>
          <w:sz w:val="20"/>
          <w:szCs w:val="20"/>
          <w:color w:val="auto"/>
        </w:rPr>
        <w:t>” means the period commencing with the occurrence of a Covenant Suspension Period Event and ending on the Reinstatement Date.</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Covenant Suspension Period Event</w:t>
      </w:r>
      <w:r>
        <w:rPr>
          <w:rFonts w:ascii="Times New Roman" w:cs="Times New Roman" w:eastAsia="Times New Roman" w:hAnsi="Times New Roman"/>
          <w:sz w:val="20"/>
          <w:szCs w:val="20"/>
          <w:color w:val="auto"/>
        </w:rPr>
        <w:t xml:space="preserve">” means the corporate credit and/or corporate family ratings of the TopCo Borrower are higher than or equal to BBB- from S&amp;P and Baa3 from Moody’s (in each case, with a stable or positive outlook);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Default or Event of Default has occurred and is continuing.</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a “covered entity” as that term is defined in, and interpreted in accordance with, 12 C.F.R. § 252.82(b);</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    a “covered bank” as that term is defined in, and interpreted in accordance with, 12 C.F.R. § 47.3(b); or</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(iii)    a “covered FSI” as that term is defined in, and interpreted in accordance with, 12 C.F.R. § 382.2(b).</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CVRs</w:t>
      </w:r>
      <w:r>
        <w:rPr>
          <w:rFonts w:ascii="Times New Roman" w:cs="Times New Roman" w:eastAsia="Times New Roman" w:hAnsi="Times New Roman"/>
          <w:sz w:val="20"/>
          <w:szCs w:val="20"/>
          <w:color w:val="auto"/>
        </w:rPr>
        <w:t>” means any contingent value rights or like instruments issued in connection with the Transactions in accordance with the Acquisition Agreement.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means, as to any Lender at any time, an amount equal to the aggregate principal amount of such Lender’s Loans outstanding at such time.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or any Lender.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5" w:right="439" w:bottom="1440" w:gutter="0" w:footer="0" w:header="0"/>
        </w:sectPr>
      </w:pPr>
    </w:p>
    <w:bookmarkStart w:id="32" w:name="page33"/>
    <w:bookmarkEnd w:id="32"/>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Current Assets</w:t>
      </w:r>
      <w:r>
        <w:rPr>
          <w:rFonts w:ascii="Times New Roman" w:cs="Times New Roman" w:eastAsia="Times New Roman" w:hAnsi="Times New Roman"/>
          <w:sz w:val="20"/>
          <w:szCs w:val="20"/>
          <w:color w:val="auto"/>
        </w:rPr>
        <w:t>” means at any date, all amounts (other than cash and Cash Equivalents) that would, in conformity with GAAP, be reflected in “total current assets” (or any like caption) on a consolidated balance sheet of the TopCo Borrower and its Restricted Subsidiaries at such date.</w:t>
      </w:r>
    </w:p>
    <w:p>
      <w:pPr>
        <w:spacing w:after="0" w:line="17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Liabilities</w:t>
      </w:r>
      <w:r>
        <w:rPr>
          <w:rFonts w:ascii="Times New Roman" w:cs="Times New Roman" w:eastAsia="Times New Roman" w:hAnsi="Times New Roman"/>
          <w:sz w:val="20"/>
          <w:szCs w:val="20"/>
          <w:color w:val="auto"/>
        </w:rPr>
        <w:t>” means at any date, all amounts that would, in conformity with GAAP, be reflected in “total current liabilities” (or any like caption) on a consolidated balance sheet of the TopCo Borrower and its Restricted Subsidiaries at such date, but excluding the current portion of any Consolidated Total Indebtedness of the TopCo Borrower and its Restricted Subsidiaries.</w:t>
      </w:r>
    </w:p>
    <w:p>
      <w:pPr>
        <w:spacing w:after="0" w:line="170"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xml:space="preserve">”),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SOFR for the day (such day “</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xml:space="preserve">”) that is five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Daily Simple SOFR as so determined would be less than the Floor, such rate shall be deemed to be equal to the Floor for the purposes of this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DEA</w:t>
      </w:r>
      <w:r>
        <w:rPr>
          <w:rFonts w:ascii="Times New Roman" w:cs="Times New Roman" w:eastAsia="Times New Roman" w:hAnsi="Times New Roman"/>
          <w:sz w:val="20"/>
          <w:szCs w:val="20"/>
          <w:color w:val="auto"/>
        </w:rPr>
        <w:t>” means the Drug Enforcement Administration of the United States of America, and any successor agency thereof.</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any Lender that (a) has failed, within two (2) Business Days of the date required to be funded or paid, to (i) fund any portion of its Loans, (ii) [reserved] or (iii) pay over to any Credit Party any other amount required to be paid by it hereunder, unless,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Loan Party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such Credit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5" w:right="43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Party’s receipt of such certification in form and substance satisfactory to it and the Administrative Agent, or (d) has become the subject of</w:t>
      </w:r>
    </w:p>
    <w:p>
      <w:pPr>
        <w:spacing w:after="0" w:line="33" w:lineRule="exact"/>
        <w:rPr>
          <w:sz w:val="20"/>
          <w:szCs w:val="20"/>
          <w:color w:val="auto"/>
        </w:rPr>
      </w:pPr>
    </w:p>
    <w:p>
      <w:pPr>
        <w:jc w:val="both"/>
        <w:ind w:left="4" w:hanging="4"/>
        <w:spacing w:after="0" w:line="241" w:lineRule="auto"/>
        <w:tabs>
          <w:tab w:leader="none" w:pos="2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Bankruptcy Event or (ii)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87"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xml:space="preserve">” means the fair market value (as determined by the U.S. Borrower in good faith) of non-cash consideration received by the Loan Parties and their Restricted Subsidiaries in connection with a Disposition pursuant to </w:t>
      </w:r>
      <w:r>
        <w:rPr>
          <w:rFonts w:ascii="Times New Roman" w:cs="Times New Roman" w:eastAsia="Times New Roman" w:hAnsi="Times New Roman"/>
          <w:sz w:val="20"/>
          <w:szCs w:val="20"/>
          <w:u w:val="single" w:color="auto"/>
          <w:color w:val="auto"/>
        </w:rPr>
        <w:t>Section 6.04(j)</w:t>
      </w:r>
      <w:r>
        <w:rPr>
          <w:rFonts w:ascii="Times New Roman" w:cs="Times New Roman" w:eastAsia="Times New Roman" w:hAnsi="Times New Roman"/>
          <w:sz w:val="20"/>
          <w:szCs w:val="20"/>
          <w:color w:val="auto"/>
        </w:rPr>
        <w:t xml:space="preserve"> that is designated as Designated Non-Cash Consideration by the U.S. Borrower.</w:t>
      </w:r>
    </w:p>
    <w:p>
      <w:pPr>
        <w:spacing w:after="0" w:line="174"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Restricted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w:t>
      </w:r>
      <w:r>
        <w:rPr>
          <w:rFonts w:ascii="Times New Roman" w:cs="Times New Roman" w:eastAsia="Times New Roman" w:hAnsi="Times New Roman"/>
          <w:sz w:val="20"/>
          <w:szCs w:val="20"/>
          <w:color w:val="auto"/>
        </w:rPr>
        <w:t xml:space="preserve">” means any Equity Interest which, by its terms (or by the terms of any security or other Equity Interest into which it is convertible or for which it is exchangeable), or upon the happening of any event or condition (a) matures (excluding any maturity as the result of an optional redemption by the issuer thereof) or is mandatorily redeemable (other than solely for Equity Interest that is not Disqualified Equity and/or cash in lieu of fractional shares), pursuant to a sinking fund obligation or otherwise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(b) is redeemable at the option of the holder thereof (other than solely for Equity Interests that are not Disqualified Equity and/or cash in lieu of fractional shares), in whole or in part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(c) requires the payment of any cash dividend or any other scheduled cash payment constituting a return of capital (other than the payment of cash in lieu of redemption of fractional shares) or (d) is or becomes convertible into or exchangeable for Indebtedness or any other Equity Interests that would constitute Disqualified Equity (except as a result of a change in control or asset sale so long as any right of the holders thereof upon the occurrence of a change in control or asset sale event shall be subject to the occurrence of the repayment in full of all the Loans and all other Obligations that are accrued and payable, and the termination or expiration of the Commitments),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prior to the date that is ninety-one (91) days after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Equity Interests are issued to any plan for the benefit of employees of the TopCo Borrower or its Restricted Subsidiaries or by any such plan to such employees, such Equity Interests shall not constitute Disqualified Equity solely because they may be required to be repurchased by the TopCo Borrower or any Restricted Subsidiary thereof in order to satisfy applicable statutory or regulatory obligations.</w:t>
      </w:r>
    </w:p>
    <w:p>
      <w:pPr>
        <w:spacing w:after="0" w:line="187"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 (a) Persons that are specifically identified by the U.S. Borrower to the Administrative Agent in writing prior to the Closing Date, (b) any Person that is reasonably determined by the U.S. Borrower after the Closing Date to be a competitor of any Borrower or its Restricted Subsidiaries and which is specifically identified in a written supplement to the list of “Disqualified Institutions”, which supplement shall become effective three Business Days after delivery thereof to the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65" w:right="439" w:bottom="1440" w:gutter="0" w:footer="0" w:header="0"/>
        </w:sectPr>
      </w:pPr>
    </w:p>
    <w:bookmarkStart w:id="34" w:name="page35"/>
    <w:bookmarkEnd w:id="34"/>
    <w:p>
      <w:pPr>
        <w:jc w:val="both"/>
        <w:ind w:left="4"/>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and the Lenders at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Address</w:t>
      </w:r>
      <w:r>
        <w:rPr>
          <w:rFonts w:ascii="Times New Roman" w:cs="Times New Roman" w:eastAsia="Times New Roman" w:hAnsi="Times New Roman"/>
          <w:sz w:val="19"/>
          <w:szCs w:val="19"/>
          <w:color w:val="auto"/>
        </w:rPr>
        <w:t>”), (c) subject to the consent of the Administrative Agent (such consent not to be unreasonably withheld, delayed or conditioned) any Person specifically identified in a written supplement to the list of “Disqualified Institutions”, which supplement shall become effective three Business Days after the later of (i) delivery thereof to the Administrative Agent at the Notice Address and (ii) the Administrative Agent’s consent and (d) in the case of the foregoing clauses (a), (b) and (c), any of such entities’ Affiliates to the extent such Affiliates (x) are clearly identifiable as Affiliates of such Persons based solely on the similarity of such Affiliates’ and such Persons’ names and (y) are not bona fide debt investment funds. It is understood and agreed that</w:t>
      </w:r>
    </w:p>
    <w:p>
      <w:pPr>
        <w:spacing w:after="0" w:line="1" w:lineRule="exact"/>
        <w:rPr>
          <w:sz w:val="20"/>
          <w:szCs w:val="20"/>
          <w:color w:val="auto"/>
        </w:rPr>
      </w:pPr>
    </w:p>
    <w:p>
      <w:pPr>
        <w:jc w:val="both"/>
        <w:ind w:left="4" w:right="20" w:hanging="4"/>
        <w:spacing w:after="0" w:line="255" w:lineRule="auto"/>
        <w:tabs>
          <w:tab w:leader="none" w:pos="27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supplement to the list of Persons that are Disqualified Institutions contemplated by the foregoing clause (b) shall not apply retroactively to disqualify any Persons that have previously acquired an assignment or participation interest in the Loans or Commitments (but solely with respect to such Loans or Commitments, as applicable), (ii) the Administrative Agent shall have no responsibility or liability to determine or monitor whether any Lender or potential Lender is a Disqualified Institution, (iii) the U.S. Borrower’s failure to deliver such list (or supplement thereto) to the Administrative Agent at the Notice Address shall render such list (or supplement) not received and not effective and (iv) “Disqualified Institution” shall exclude any Person the U.S. Borrower has designated as no longer being a “Disqualified Institution” by written notice delivered to the Administrative Agent from time to time at the Notice Address.</w:t>
      </w:r>
    </w:p>
    <w:p>
      <w:pPr>
        <w:spacing w:after="0" w:line="17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16"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Foreign Holding Company</w:t>
      </w:r>
      <w:r>
        <w:rPr>
          <w:rFonts w:ascii="Times New Roman" w:cs="Times New Roman" w:eastAsia="Times New Roman" w:hAnsi="Times New Roman"/>
          <w:sz w:val="20"/>
          <w:szCs w:val="20"/>
          <w:color w:val="auto"/>
        </w:rPr>
        <w:t>” mean any Domestic Subsidiary that owns no material assets (directly or through one or more disregarded entities) other than capital stock (including any debt instrument treated as equity for U.S. federal income tax purposes) of (a) one or more Foreign Subsidiaries (other than any Irish Subsidiaries) that are CFCs or (b) one or more other Domestic Foreign Holding Companies.</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Loan Party</w:t>
      </w:r>
      <w:r>
        <w:rPr>
          <w:rFonts w:ascii="Times New Roman" w:cs="Times New Roman" w:eastAsia="Times New Roman" w:hAnsi="Times New Roman"/>
          <w:sz w:val="20"/>
          <w:szCs w:val="20"/>
          <w:color w:val="auto"/>
        </w:rPr>
        <w:t>” means a Loan Party organized under the laws of a jurisdiction located in the United States of America.</w:t>
      </w:r>
    </w:p>
    <w:p>
      <w:pPr>
        <w:spacing w:after="0" w:line="216"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Restricted Subsidiary organized under the laws of a jurisdiction located in the United States of America.</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9.04(e)(iv)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Percentage</w:t>
      </w:r>
      <w:r>
        <w:rPr>
          <w:rFonts w:ascii="Times New Roman" w:cs="Times New Roman" w:eastAsia="Times New Roman" w:hAnsi="Times New Roman"/>
          <w:sz w:val="20"/>
          <w:szCs w:val="20"/>
          <w:color w:val="auto"/>
        </w:rPr>
        <w:t xml:space="preserve">” means 50%;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ECF Percentage shall be reduced to (a) 25% if the Secured Net Leverage Ratio as of the last day of the relevant fiscal year is less than or equal to 2.00:1.00 and (b) 0% if the Secured Net Leverage Ratio as of the last day of the relevant fiscal year is less than or equal to 1.50:1.00, in each case, of the TopCo Borrower and its Restricted Subsidiaries.</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Prepayment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9"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65" w:right="439" w:bottom="1440" w:gutter="0" w:footer="0" w:header="0"/>
        </w:sectPr>
      </w:pPr>
    </w:p>
    <w:bookmarkStart w:id="35" w:name="page36"/>
    <w:bookmarkEnd w:id="35"/>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Yield</w:t>
      </w:r>
      <w:r>
        <w:rPr>
          <w:rFonts w:ascii="Times New Roman" w:cs="Times New Roman" w:eastAsia="Times New Roman" w:hAnsi="Times New Roman"/>
          <w:sz w:val="20"/>
          <w:szCs w:val="20"/>
          <w:color w:val="auto"/>
        </w:rPr>
        <w:t>” means, as to any Indebtedness, the effective yield applicable thereto calculated by the Administrative Agent in consultation with the U.S. Borrower in a manner consistent with generally accepted financial practices, taking into account (a) interest rate margins, (b) interest rate floors, (c) any amendment to the relevant interest rate margins and interest rate floors prior to the applicable date of determination and (d) original issue discount and upfront or similar fees (based on assumed four-year average life to maturity or lesser remaining average life to maturity), but excluding any advisory, arrangement, commitment, consent, structuring, success, underwriting, ticking, unused line fees, amendment fees and/or any similar fees payable in connection therewith that are not generally shared with the relevant lenders.</w:t>
      </w:r>
    </w:p>
    <w:p>
      <w:pPr>
        <w:spacing w:after="0" w:line="18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9"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regulations, orders and similar legally binding requirements of any relevant Governmental Authority relating to pollution or protection of the environment or natural resources, the management, release or threatened release of any Hazardous Material or to the protection of human health and safety from the presence of Hazardous Materials; provided that, Environmental Laws do not include any Healthcare Laws.</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resulting from (a) any violation of any Environmental Law, (b) the generation, use, handling, transportation, storage, treatment or disposal of any Hazardous Materials, (c) exposure to any Hazardous Materials, (d) the release or threatened release of any Hazardous Materials into the indoor or outdoor environment or (e) any contract pursuant to which Liability is assumed or imposed with respect to any of the foregoing.</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similar rights entitling the holder thereof to purchase or acquire any such equity interest, but excluding any debt securities convertible (including Permitted Convertible Debt) into any of the foregoing.</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any Loan Party, is treated as a single employer under Section 414(b) or (c) of the Code or Section 4001(14) of ERISA or, solely for purposes of Section 302 of ERISA and Section 412 of the Code, is treated as a single employer under Sections 414(m) and (o) of the Code.</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with respect to a Plan (other than an event for which the 30 day notice period is waived); (b) the failure to satisfy the “minimum funding standard” (as defined in Section 412 of the Code or Section 302 of ERISA), whether or not waived, with respect to any Plan; (c) the filing pursuant to Section 412(c) of the Code or Section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5" w:right="439" w:bottom="1440" w:gutter="0" w:footer="0" w:header="0"/>
        </w:sectPr>
      </w:pPr>
    </w:p>
    <w:bookmarkStart w:id="36" w:name="page37"/>
    <w:bookmarkEnd w:id="36"/>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302(c) of ERISA of an application for a waiver of the minimum funding standard with respect to any Plan; (d) the incurrence by any Loan Party or any ERISA Affiliate of any liability under Title IV of ERISA with respect to the termination of any Plan; (e) the receipt by any Loan Party or any ERISA Affiliate from the PBGC or a Plan administrator of any notice indicating an intention to terminate any Plan or to appoint a trustee to administer any Plan; (f) the incurrence by any Loan Party or any ERISA Affiliate of any liability with respect to the withdrawal or partial withdrawal of any Loan Party or any ERISA Affiliate from any Plan or Multiemployer Plan; or (g) the receipt by any Loan Party or any ERISA Affiliate from a Multiemployer Plan of any notice, or the receipt by any Multiemployer Plan from any Loan Party or any ERISA Affiliate of any notice, concerning the imposition upon any Loan Party or any ERISA Affiliate of Withdrawal Liability or a determination that a Multiemployer Plan is, or is expected to be, insolvent, within the meaning of Section 4245 of ERISA.</w:t>
      </w:r>
    </w:p>
    <w:p>
      <w:pPr>
        <w:spacing w:after="0" w:line="18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means for any Excess Cash Flow Period of the TopCo Borrower, calculated on a consolidated basis with respect to the TopCo Borrower and its Restricted Subsidiaries, the excess, if any, of:</w:t>
      </w:r>
    </w:p>
    <w:p>
      <w:pPr>
        <w:spacing w:after="0" w:line="159" w:lineRule="exact"/>
        <w:rPr>
          <w:sz w:val="20"/>
          <w:szCs w:val="20"/>
          <w:color w:val="auto"/>
        </w:rPr>
      </w:pPr>
    </w:p>
    <w:p>
      <w:pPr>
        <w:jc w:val="both"/>
        <w:ind w:right="20" w:firstLine="547"/>
        <w:spacing w:after="0" w:line="243" w:lineRule="auto"/>
        <w:tabs>
          <w:tab w:leader="none" w:pos="85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(i) Consolidated Net Income for such fiscal year, (ii) the amount of all non-cash charges (including depreciation and amortization) deducted in arriving at such Consolidated Net Income, (iii) decreases in Working Capital for such fiscal year (other than any such decreases arising from acquisitions or dispositions, in each case, outside the ordinary course of business by the TopCo Borrower and its Restricted Subsidiaries), (iv) the aggregate net amount of non-cash loss on the Disposition of property by the TopCo Borrower and its Restricted Subsidiaries during such fiscal year (other than Dispositions in the ordinary course of business), to the extent deducted in arriving at such Consolidated Net Income, (v) cash gains in respect of Swap Agreements during such period to the extent not included in arriving at Consolidated Net Income and (vi) non-cash expense related to pension and other post-employment benefits to the extent deducted in arriving at Consolidated Net Income, over</w:t>
      </w:r>
    </w:p>
    <w:p>
      <w:pPr>
        <w:spacing w:after="0" w:line="189" w:lineRule="exact"/>
        <w:rPr>
          <w:rFonts w:ascii="Times New Roman" w:cs="Times New Roman" w:eastAsia="Times New Roman" w:hAnsi="Times New Roman"/>
          <w:sz w:val="20"/>
          <w:szCs w:val="20"/>
          <w:color w:val="auto"/>
        </w:rPr>
      </w:pPr>
    </w:p>
    <w:p>
      <w:pPr>
        <w:ind w:left="820" w:hanging="273"/>
        <w:spacing w:after="0"/>
        <w:tabs>
          <w:tab w:leader="none" w:pos="8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6" w:lineRule="exact"/>
        <w:rPr>
          <w:sz w:val="20"/>
          <w:szCs w:val="20"/>
          <w:color w:val="auto"/>
        </w:rPr>
      </w:pPr>
    </w:p>
    <w:p>
      <w:pPr>
        <w:ind w:left="780" w:hanging="233"/>
        <w:spacing w:after="0"/>
        <w:tabs>
          <w:tab w:leader="none" w:pos="7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non-cash income included in arriving at such Consolidated Net Income,</w:t>
      </w:r>
    </w:p>
    <w:p>
      <w:pPr>
        <w:spacing w:after="0" w:line="215" w:lineRule="exact"/>
        <w:rPr>
          <w:rFonts w:ascii="Times New Roman" w:cs="Times New Roman" w:eastAsia="Times New Roman" w:hAnsi="Times New Roman"/>
          <w:sz w:val="20"/>
          <w:szCs w:val="20"/>
          <w:color w:val="auto"/>
        </w:rPr>
      </w:pPr>
    </w:p>
    <w:p>
      <w:pPr>
        <w:ind w:left="840" w:hanging="293"/>
        <w:spacing w:after="0"/>
        <w:tabs>
          <w:tab w:leader="none" w:pos="8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547"/>
        <w:spacing w:after="0" w:line="242" w:lineRule="auto"/>
        <w:tabs>
          <w:tab w:leader="none" w:pos="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voluntary prepayments of Indebtedness (excluding any Loans, Pari Passu Indebtedness and prepayments in respect of any revolving credit facility to the extent not accompanied by a permanent reduction in commitments thereunder) of the TopCo Borrower and its Restricted Subsidiaries made during such fiscal year (excluding prepayments made with the proceeds of long-term Indebtedness (other than extensions of credit under any revolving credit or similar facility)) and the aggregate amount of purchases by a Purchasing Borrower Party of Indebtedness (excluding any Loans, Pari Passu Indebtedness and prepayments in respect of any revolving credit facility to the extent not accompanied by a permanent reduction in commitments thereunder) of the TopCo Borrower and its Restricted Subsidiaries pursuant to a Dutch auction or open market purchases (including, without limitation, non-pro rata and privately negotiated purchases) during such fiscal year (in each case, (x) determined by the cash consideration in respect of the Indebtedness purchased by such Purchasing Borrower Party and (y) excluding purchases made with the proceeds of long-term Indebtedness (other than extensions of credit under any revolving credit or similar facility)),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5" w:right="439" w:bottom="1440" w:gutter="0" w:footer="0" w:header="0"/>
        </w:sectPr>
      </w:pPr>
    </w:p>
    <w:bookmarkStart w:id="37" w:name="page38"/>
    <w:bookmarkEnd w:id="37"/>
    <w:p>
      <w:pPr>
        <w:jc w:val="both"/>
        <w:ind w:right="20" w:firstLine="547"/>
        <w:spacing w:after="0" w:line="249" w:lineRule="auto"/>
        <w:tabs>
          <w:tab w:leader="none" w:pos="8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amount of all regularly scheduled principal payments of Indebtedness of the TopCo Borrower and its Restricted Subsidiaries made during such fiscal year (including the Term Loans) (excluding (i) repayments in respect of any revolving credit facility to the extent not accompanied by a permanent reduction in commitments thereunder and (ii) repayments made with the proceeds of long-term Indebtedness (other than extensions of credit under any revolving credit or similar facility)),</w:t>
      </w:r>
    </w:p>
    <w:p>
      <w:pPr>
        <w:spacing w:after="0" w:line="179" w:lineRule="exact"/>
        <w:rPr>
          <w:rFonts w:ascii="Times New Roman" w:cs="Times New Roman" w:eastAsia="Times New Roman" w:hAnsi="Times New Roman"/>
          <w:sz w:val="20"/>
          <w:szCs w:val="20"/>
          <w:color w:val="auto"/>
        </w:rPr>
      </w:pPr>
    </w:p>
    <w:p>
      <w:pPr>
        <w:ind w:firstLine="547"/>
        <w:spacing w:after="0" w:line="269" w:lineRule="auto"/>
        <w:tabs>
          <w:tab w:leader="none" w:pos="8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Working Capital for such fiscal year (other than any such increases arising from acquisitions or dispositions, in each case, outside the ordinary course of business by the TopCo Borrower and its Restricted Subsidiaries),</w:t>
      </w:r>
    </w:p>
    <w:p>
      <w:pPr>
        <w:spacing w:after="0" w:line="159" w:lineRule="exact"/>
        <w:rPr>
          <w:rFonts w:ascii="Times New Roman" w:cs="Times New Roman" w:eastAsia="Times New Roman" w:hAnsi="Times New Roman"/>
          <w:sz w:val="20"/>
          <w:szCs w:val="20"/>
          <w:color w:val="auto"/>
        </w:rPr>
      </w:pPr>
    </w:p>
    <w:p>
      <w:pPr>
        <w:jc w:val="both"/>
        <w:ind w:right="20" w:firstLine="547"/>
        <w:spacing w:after="0" w:line="254" w:lineRule="auto"/>
        <w:tabs>
          <w:tab w:leader="none" w:pos="93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net amount of non-cash gain on the Disposition of property by the TopCo Borrower and its Restricted Subsidiaries during such fiscal year (other than Dispositions in the ordinary course of business), to the extent included in arriving at such Consolidated Net Income,</w:t>
      </w:r>
    </w:p>
    <w:p>
      <w:pPr>
        <w:spacing w:after="0" w:line="174" w:lineRule="exact"/>
        <w:rPr>
          <w:rFonts w:ascii="Times New Roman" w:cs="Times New Roman" w:eastAsia="Times New Roman" w:hAnsi="Times New Roman"/>
          <w:sz w:val="20"/>
          <w:szCs w:val="20"/>
          <w:color w:val="auto"/>
        </w:rPr>
      </w:pPr>
    </w:p>
    <w:p>
      <w:pPr>
        <w:ind w:left="940" w:hanging="393"/>
        <w:spacing w:after="0"/>
        <w:tabs>
          <w:tab w:leader="none" w:pos="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deducted from Consolidated Net Income, Taxes paid in cash during such fiscal year,</w:t>
      </w:r>
    </w:p>
    <w:p>
      <w:pPr>
        <w:spacing w:after="0" w:line="215" w:lineRule="exact"/>
        <w:rPr>
          <w:rFonts w:ascii="Times New Roman" w:cs="Times New Roman" w:eastAsia="Times New Roman" w:hAnsi="Times New Roman"/>
          <w:sz w:val="20"/>
          <w:szCs w:val="20"/>
          <w:color w:val="auto"/>
        </w:rPr>
      </w:pPr>
    </w:p>
    <w:p>
      <w:pPr>
        <w:jc w:val="both"/>
        <w:ind w:right="20" w:firstLine="547"/>
        <w:spacing w:after="0" w:line="254" w:lineRule="auto"/>
        <w:tabs>
          <w:tab w:leader="none" w:pos="101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deducted from Consolidated Net Income, interest expense and any cash payments in respect of premium, make-whole or penalty payments in respect of Indebtedness of the TopCo Borrower and its Restricted Subsidiaries for such year,</w:t>
      </w:r>
    </w:p>
    <w:p>
      <w:pPr>
        <w:spacing w:after="0" w:line="174" w:lineRule="exact"/>
        <w:rPr>
          <w:rFonts w:ascii="Times New Roman" w:cs="Times New Roman" w:eastAsia="Times New Roman" w:hAnsi="Times New Roman"/>
          <w:sz w:val="20"/>
          <w:szCs w:val="20"/>
          <w:color w:val="auto"/>
        </w:rPr>
      </w:pPr>
    </w:p>
    <w:p>
      <w:pPr>
        <w:ind w:left="880" w:hanging="333"/>
        <w:spacing w:after="0"/>
        <w:tabs>
          <w:tab w:leader="none" w:pos="8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820" w:hanging="273"/>
        <w:spacing w:after="0"/>
        <w:tabs>
          <w:tab w:leader="none" w:pos="8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deducted from Consolidated Net Income, cash charges,</w:t>
      </w:r>
    </w:p>
    <w:p>
      <w:pPr>
        <w:spacing w:after="0" w:line="215" w:lineRule="exact"/>
        <w:rPr>
          <w:rFonts w:ascii="Times New Roman" w:cs="Times New Roman" w:eastAsia="Times New Roman" w:hAnsi="Times New Roman"/>
          <w:sz w:val="20"/>
          <w:szCs w:val="20"/>
          <w:color w:val="auto"/>
        </w:rPr>
      </w:pPr>
    </w:p>
    <w:p>
      <w:pPr>
        <w:jc w:val="both"/>
        <w:ind w:firstLine="547"/>
        <w:spacing w:after="0" w:line="242" w:lineRule="auto"/>
        <w:tabs>
          <w:tab w:leader="none" w:pos="8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from Excess Cash Flow in prior periods and, at the option of the U.S. Borrower, the aggregate cash consideration (x) required to be paid by the TopCo Borrower and its Restricted Subsidiaries pursuant to binding contracts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xml:space="preserve">”) entered into prior to or during such period relating to Permitted Acquisitions or other Investments anticipated to be consummated that are permitted pursuant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any intercompany investments) and (y) expected to be paid in connection with planned Capital Expenditures of the TopCo Borrower and its Restricted Subsidiaries (the “</w:t>
      </w:r>
      <w:r>
        <w:rPr>
          <w:rFonts w:ascii="Times New Roman" w:cs="Times New Roman" w:eastAsia="Times New Roman" w:hAnsi="Times New Roman"/>
          <w:sz w:val="20"/>
          <w:szCs w:val="20"/>
          <w:u w:val="single" w:color="auto"/>
          <w:color w:val="auto"/>
        </w:rPr>
        <w:t>Planned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Expenditures</w:t>
      </w:r>
      <w:r>
        <w:rPr>
          <w:rFonts w:ascii="Times New Roman" w:cs="Times New Roman" w:eastAsia="Times New Roman" w:hAnsi="Times New Roman"/>
          <w:sz w:val="20"/>
          <w:szCs w:val="20"/>
          <w:color w:val="auto"/>
        </w:rPr>
        <w:t xml:space="preserve">”), in each case during the period of four consecutive fiscal quarters of the TopCo Borrower following the end of the applicable fiscal year for which Excess Cash Flow is being calculated (except to the extent financed with the proceeds of long-term Indebtedness (other than any extensions of credit under any revolving credit or similar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aggregate amount of cash actually utilized to finance such Permitted Acquisitions, Investments or Capital Expenditures during such period of four consecutive fiscal quarters is less than the Contract Consideration and the Planned Expenditures, the amount of such shortfall shall be added to the calculation of Excess Cash Flow at the end of such period of four consecutive fiscal quarters,</w:t>
      </w:r>
    </w:p>
    <w:p>
      <w:pPr>
        <w:spacing w:after="0" w:line="189" w:lineRule="exact"/>
        <w:rPr>
          <w:rFonts w:ascii="Times New Roman" w:cs="Times New Roman" w:eastAsia="Times New Roman" w:hAnsi="Times New Roman"/>
          <w:sz w:val="20"/>
          <w:szCs w:val="20"/>
          <w:color w:val="auto"/>
        </w:rPr>
      </w:pPr>
    </w:p>
    <w:p>
      <w:pPr>
        <w:ind w:right="20" w:firstLine="547"/>
        <w:spacing w:after="0" w:line="269" w:lineRule="auto"/>
        <w:tabs>
          <w:tab w:leader="none" w:pos="9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expenditures in respect of Swap Obligations during such period to the extent not deducted in arriving at such Consolidated Net Income,</w:t>
      </w:r>
    </w:p>
    <w:p>
      <w:pPr>
        <w:spacing w:after="0" w:line="159" w:lineRule="exact"/>
        <w:rPr>
          <w:rFonts w:ascii="Times New Roman" w:cs="Times New Roman" w:eastAsia="Times New Roman" w:hAnsi="Times New Roman"/>
          <w:sz w:val="20"/>
          <w:szCs w:val="20"/>
          <w:color w:val="auto"/>
        </w:rPr>
      </w:pPr>
    </w:p>
    <w:p>
      <w:pPr>
        <w:jc w:val="both"/>
        <w:ind w:right="20" w:firstLine="547"/>
        <w:spacing w:after="0" w:line="249" w:lineRule="auto"/>
        <w:tabs>
          <w:tab w:leader="none" w:pos="100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of cash to be amortized or expensed over a future period and recorded as a long-term asset (so long as any such amortization or expense in such future period is added back to Excess Cash Flow in such future period) (excluding the principal amount of long-term Indebtedness (other than any extensions of credit under any revolving credit or similar facility) incurred in connection with such payment),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5" w:right="439" w:bottom="1440" w:gutter="0" w:footer="0" w:header="0"/>
        </w:sectPr>
      </w:pPr>
    </w:p>
    <w:bookmarkStart w:id="38" w:name="page39"/>
    <w:bookmarkEnd w:id="38"/>
    <w:p>
      <w:pPr>
        <w:jc w:val="both"/>
        <w:ind w:right="20" w:firstLine="547"/>
        <w:spacing w:after="0" w:line="254" w:lineRule="auto"/>
        <w:tabs>
          <w:tab w:leader="none" w:pos="10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payments in respect of long-term liabilities (other than Indebtedness) of the TopCo Borrower and its Restricted Subsidiaries, including cash pension and other post-employment contributions or payments to the extent not deducted in arriving at such Consolidated Net Income, and</w:t>
      </w:r>
    </w:p>
    <w:p>
      <w:pPr>
        <w:spacing w:after="0" w:line="174" w:lineRule="exact"/>
        <w:rPr>
          <w:rFonts w:ascii="Times New Roman" w:cs="Times New Roman" w:eastAsia="Times New Roman" w:hAnsi="Times New Roman"/>
          <w:sz w:val="20"/>
          <w:szCs w:val="20"/>
          <w:color w:val="auto"/>
        </w:rPr>
      </w:pPr>
    </w:p>
    <w:p>
      <w:pPr>
        <w:ind w:right="20" w:firstLine="547"/>
        <w:spacing w:after="0" w:line="269" w:lineRule="auto"/>
        <w:tabs>
          <w:tab w:leader="none" w:pos="9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Restricted Payments paid in cash during such period by the TopCo Borrower (except to the extent financed with the proceeds of long-term Indebtedness (other than extensions of credit under any revolving credit or similar facility).</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Period</w:t>
      </w:r>
      <w:r>
        <w:rPr>
          <w:rFonts w:ascii="Times New Roman" w:cs="Times New Roman" w:eastAsia="Times New Roman" w:hAnsi="Times New Roman"/>
          <w:sz w:val="20"/>
          <w:szCs w:val="20"/>
          <w:color w:val="auto"/>
        </w:rPr>
        <w:t>” means each fiscal year of the TopCo Borrower, commencing with the first full fiscal year ending after the Closing Date.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Application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shall mean “Excluded Accounts” as defined in the U.S. Security Agreement.</w:t>
      </w:r>
    </w:p>
    <w:p>
      <w:pPr>
        <w:spacing w:after="0" w:line="216" w:lineRule="exact"/>
        <w:rPr>
          <w:sz w:val="20"/>
          <w:szCs w:val="20"/>
          <w:color w:val="auto"/>
        </w:rPr>
      </w:pPr>
    </w:p>
    <w:p>
      <w:pPr>
        <w:jc w:val="both"/>
        <w:ind w:firstLine="551"/>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Assets</w:t>
      </w:r>
      <w:r>
        <w:rPr>
          <w:rFonts w:ascii="Times New Roman" w:cs="Times New Roman" w:eastAsia="Times New Roman" w:hAnsi="Times New Roman"/>
          <w:sz w:val="19"/>
          <w:szCs w:val="19"/>
          <w:color w:val="auto"/>
        </w:rPr>
        <w:t>” means: (1) any Excluded Real Property and all leasehold interests in real property, (2) any “intent-to-use” application for registration of a trademark filed in the United States Patent and Trademark Office pursuant to Section 1(b) of the Lanham Act, 15 U.S.C. § 1051 (the “</w:t>
      </w:r>
      <w:r>
        <w:rPr>
          <w:rFonts w:ascii="Times New Roman" w:cs="Times New Roman" w:eastAsia="Times New Roman" w:hAnsi="Times New Roman"/>
          <w:sz w:val="19"/>
          <w:szCs w:val="19"/>
          <w:u w:val="single" w:color="auto"/>
          <w:color w:val="auto"/>
        </w:rPr>
        <w:t>Lanham Act</w:t>
      </w:r>
      <w:r>
        <w:rPr>
          <w:rFonts w:ascii="Times New Roman" w:cs="Times New Roman" w:eastAsia="Times New Roman" w:hAnsi="Times New Roman"/>
          <w:sz w:val="19"/>
          <w:szCs w:val="19"/>
          <w:color w:val="auto"/>
        </w:rPr>
        <w:t xml:space="preserve">”), prior to the filing and acceptance of a “Statement of Use” and issuance of a “Certificate of Registration” pursuant to Section 1(d) of the Lanham Act or the accepted filing of an “Amendment to Allege Use” whereby such intent-to-use trademark application is converted to a “use in commerce” application pursuant to Section 1(c) of the Lanham Act, in each case, solely to the extent, if any, that and solely during the period, if any, in which, the grant of a security interest therein would impair the validity or enforceability of any registration that issues from such “intent-to-use” application under applicable federal law, (3) assets in respect of which pledges and security interests (x) are prohibited or restricted by any law or regulation or any contractual obligation (including any requirement to obtain the consent of any third party) (other than consent from the TopCo Borrower or any Subsidiary), in each case other than to the extent that such prohibition would be rendered ineffective pursuant to Sections 9-406, 9-407, 9-408, 9-409 or other applicable provisions of the UCC of any relevant jurisdiction or any other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upon the ineffectiveness, lapse or termination of any such prohibitions or restrictions, such assets shall automatically cease to constitute Excluded Assets or (y) would require a governmental (including regulatory) consent, approval, license or authorization in order to provide the lien that is required on the Closing Date or at the time the relevant Subsidiary Guarantor becomes a Subsidiary Guarantor, (4) Equity Interests in any entity other than Wholly-Owned Subsidiaries to the extent pledges thereof are not permitted by such entity’s organizational or joint venture documents or any contractual obligation of such Person, to the extent such contractual obligation is permitted under the Loan Documents (unless any such restriction would be rendered ineffective pursuant to Sections 9-406, 9-407, 9-408, 9-409 or other applicable provisions of the UCC of any relevant jurisdiction or any other applicable law), (5) assets subject to certificates of title, (6) letter of credit rights (other than to the extent representing Supporting Obligations) with an individual value of less than $15,000,000, (7) commercial tort claims with an individual value of less than $15,000,000, (8) any lease, license or other agreement or any property subject thereto or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in favor of any Borrower or any Subsidiary Guarantor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or any asset subject to Liens securing permitted acquired Indebtedness (limited to the acquired assets and to the extent a grant of a security interest therein is prohibited thereby or otherwise requires a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upon the ineffectiveness, lapse or termination of any such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5" w:right="439" w:bottom="1440" w:gutter="0" w:footer="0" w:header="0"/>
        </w:sectPr>
      </w:pPr>
    </w:p>
    <w:bookmarkStart w:id="39" w:name="page40"/>
    <w:bookmarkEnd w:id="39"/>
    <w:p>
      <w:pPr>
        <w:jc w:val="both"/>
        <w:ind w:left="4"/>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such assets in this clause 8 shall automatically cease to constitute Excluded Assets, (9) Excluded Accounts, (10) foreign assets (other than (a) Equity Interests in Material Foreign Subsidiaries not in excess of the Applicable Pledge Percentage, (b) Equity Interests in Irish Subsidiaries (other than Excluded Subsidiaries) and (c) other assets owned by Irish Subsidiaries), (11) Equity Interests in Domestic Foreign Holding Companies and First Tier Foreign Subsidiaries (other than Irish Subsidiaries) that are CFCs, in each case, in excess of the Applicable Pledge Percentage; (12) accounts receivable and related assets transferred, pledged, factored, sold or purportedly transferred pursuant to, and in accordance with, a permitted receivables financing and any deposit account that is used to hold collections on any of such accounts receivable and related assets; (13) Equity Interests in any Subsidiary that is a captive insurance company, not-for-profit subsidiary, special purpose entity or any Subsidiary acquired pursuant to a permitted Acquisition whose pledge is restricted pursuant to permitted assumed Indebtedness with respect thereto; (14) Margin Stock; (15) any assets to the extent a security interest in such asset would result in material adverse tax consequences to the TopCo Borrower or its direct or indirect Subsidiaries as reasonably determined by the U.S. Borrower in consultation with the Administrative Agent, (16) Equity Interests in Unrestricted Subsidiaries and (17) those assets as to which the Administrative Agent and the U.S. Borrower reasonably agree that the cost, burden, difficulty or consequence of obtaining such a security interest or perfection thereof outweighs, or are excessive in relation to, the practical benefit to the Lenders of the security to be afforded thereby. Notwithstanding the foregoing, Excluded Assets shall not include any proceeds, products, substitutions or replacements of Excluded Assets (unless such proceeds, products, substitutions or replacements would otherwise constitute Excluded Assets).</w:t>
      </w:r>
    </w:p>
    <w:p>
      <w:pPr>
        <w:spacing w:after="0" w:line="193"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Real Property</w:t>
      </w:r>
      <w:r>
        <w:rPr>
          <w:rFonts w:ascii="Times New Roman" w:cs="Times New Roman" w:eastAsia="Times New Roman" w:hAnsi="Times New Roman"/>
          <w:sz w:val="20"/>
          <w:szCs w:val="20"/>
          <w:color w:val="auto"/>
        </w:rPr>
        <w:t>”: means (a) any owned real property having a fair market value of $25,000,000 or less, as determined in good faith by the U.S. Borrower as of the Closing Date or otherwise at the time of acquisition thereof, (b) any real property located outside of the United States and (c) any leasehold rights and interests in real property.</w:t>
      </w:r>
    </w:p>
    <w:p>
      <w:pPr>
        <w:spacing w:after="0" w:line="174" w:lineRule="exact"/>
        <w:rPr>
          <w:sz w:val="20"/>
          <w:szCs w:val="20"/>
          <w:color w:val="auto"/>
        </w:rPr>
      </w:pPr>
    </w:p>
    <w:p>
      <w:pPr>
        <w:jc w:val="both"/>
        <w:ind w:left="4" w:firstLine="551"/>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xml:space="preserve">” means (a) any Domestic Foreign Holding Company, (b) any Domestic Subsidiary that is a direct or indirect Subsidiary of a Domestic Foreign Holding Company or a CFC (other than any CFC that is an Irish Subsidiary), (c) any Subsidiary (i) that is prohibited or restricted from Guaranteeing the Secured Obligations by (A) any law or regulation or (B) any contractual obligation (including any requirement to obtain the consent of any third party (other than consent from the TopCo Borrower or any Subsidiary)) that, in the case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exists on the Closing Date or at the time such Subsidiary becomes a Subsidiary and was not incurred in contemplation of its becoming a Subsidiary (including pursuant to assumed Indebtedness, so long as such Indebtedness is permitted to be assumed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shall use reasonable endeavors to overcome such prohibition or restriction,</w:t>
      </w:r>
    </w:p>
    <w:p>
      <w:pPr>
        <w:spacing w:after="0" w:line="4" w:lineRule="exact"/>
        <w:rPr>
          <w:sz w:val="20"/>
          <w:szCs w:val="20"/>
          <w:color w:val="auto"/>
        </w:rPr>
      </w:pPr>
    </w:p>
    <w:p>
      <w:pPr>
        <w:jc w:val="both"/>
        <w:ind w:left="4" w:hanging="4"/>
        <w:spacing w:after="0" w:line="252" w:lineRule="auto"/>
        <w:tabs>
          <w:tab w:leader="none" w:pos="29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would require a governmental (including regulatory) consent, approval, license or authorization in order to provide a Guarantee of the Secured Obligations that is required on the Closing Date or at the time such Subsidiary becomes a Subsidiary or (iii) for which the provision of a Guarantee by such Subsidiary of the Secured Obligations would result in adverse tax consequences to the TopCo Borrower or its direct or indirect Subsidiaries as determined in good faith by the U.S. Borrower in consultation with the Administrative Agent,</w:t>
      </w:r>
    </w:p>
    <w:p>
      <w:pPr>
        <w:jc w:val="both"/>
        <w:ind w:left="4" w:right="20" w:hanging="4"/>
        <w:spacing w:after="0"/>
        <w:tabs>
          <w:tab w:leader="none" w:pos="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a captive insurance company, a not-for-profit subsidiary or special purpose entity, (e) any Subsidiary that is not a direct or indirect wholly-owned Subsidiary of the TopCo Borrower, (f) any Foreign Subsidiary other than any Irish Subsidiary, (g) any Unrestricted Subsidiary and (h) those Restricted Subsidiaries as to which the Administrative Agent and the U.S. Borrower reasonably agree that the cost, burden, difficulty or consequence of obtaining a Guarantee of the Secured Obligations from such Subsidiary outweighs, or are excessive in relation to, the practical benefit to the Lenders of the Guarantee to be afforded thereby. For the avoidance of doubt and notwithstanding anything to the contrary set forth herein or in any other Loan Document, in no event shall the U.S. Borrower be an Excluded Subsidiary.</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65" w:right="439" w:bottom="1440" w:gutter="0" w:footer="0" w:header="0"/>
        </w:sectPr>
      </w:pPr>
    </w:p>
    <w:bookmarkStart w:id="40" w:name="page41"/>
    <w:bookmarkEnd w:id="40"/>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8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jc w:val="both"/>
        <w:ind w:left="4" w:hanging="4"/>
        <w:spacing w:after="0" w:line="251" w:lineRule="auto"/>
        <w:tabs>
          <w:tab w:leader="none" w:pos="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(d) any withholding Taxes imposed under FATCA and (e) in respect of payments made in respect of the Initial Tranche A Term Facility, any Incremental Term A Loan or any other term “A” Term Loan hereunder, Taxes imposed by Ireland if, (i) on the date on which the payment falls due, the payment could have been made to the relevant Lender without a deduction or withholding on account of Tax if the Lender had been an Irish Qualifying Lender, but on that date that Lender is not or has ceased to be an Irish Qualifying Lender other than as a result of any change after the date it became a Lender under this Agreement in (or in the interpretation, administration, or application of) any law or Irish Treaty or any published practice or published concession of any relevant taxing authority; or (ii) the relevant Lender is an Irish Treaty Lender and the Borrower making the payment is able to demonstrate that the payment could have been made to the Lender without deduction or withholding on account of Tax had that Lender complied with its obligations under </w:t>
      </w:r>
      <w:r>
        <w:rPr>
          <w:rFonts w:ascii="Times New Roman" w:cs="Times New Roman" w:eastAsia="Times New Roman" w:hAnsi="Times New Roman"/>
          <w:sz w:val="18"/>
          <w:szCs w:val="18"/>
          <w:u w:val="single" w:color="auto"/>
          <w:color w:val="auto"/>
        </w:rPr>
        <w:t>Section 2.17(f)(iii)</w:t>
      </w:r>
      <w:r>
        <w:rPr>
          <w:rFonts w:ascii="Times New Roman" w:cs="Times New Roman" w:eastAsia="Times New Roman" w:hAnsi="Times New Roman"/>
          <w:sz w:val="18"/>
          <w:szCs w:val="18"/>
          <w:color w:val="auto"/>
        </w:rPr>
        <w:t xml:space="preserve"> below.</w:t>
      </w:r>
    </w:p>
    <w:p>
      <w:pPr>
        <w:spacing w:after="0" w:line="19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Exclusive License</w:t>
      </w:r>
      <w:r>
        <w:rPr>
          <w:rFonts w:ascii="Times New Roman" w:cs="Times New Roman" w:eastAsia="Times New Roman" w:hAnsi="Times New Roman"/>
          <w:sz w:val="18"/>
          <w:szCs w:val="18"/>
          <w:color w:val="auto"/>
        </w:rPr>
        <w:t>” means any license to develop and commercialize a drug or other product line of any Person with a term greater than 10 years and made on an exclusive basis.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Tranche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70" w:right="43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(a) the Initial Tranche A Term Facility, (b) the Initial Tranche B Term Facility or (c) any other given Class of Loans or Incremental Commitments, as the context may require.</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3.07(b)(i)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0.00%, such rate shall be deemed to be 0.00% for the purposes of this Agreement.</w:t>
      </w:r>
    </w:p>
    <w:p>
      <w:pPr>
        <w:spacing w:after="0" w:line="18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means any “federal health care program” as defined in 42 U.S.C. §1320a-7b(f), as amended from time to time, including Medicare, managed Medicare, state Medicaid programs, managed Medicaid, state Medicaid waiver programs, state CHIP programs, TRICARE, “state health care programs” as defined in 42 U.S.C. §1320a-7(h), and similar federal, state or local health care programs or successor programs funded in whole or in part by, or for the benefit of, any Governmental Authority.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the Arranger Fee Letter and the Agent Fee Letter.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Release Conditions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(a) the chief financial officer, vice president of finance, principal accounting officer, treasurer or controller of such Person or (b) any other individual designated as a “Financial Officer” of such Person by any of the foregoing officers of such Person described in clause (a) in writing to the Administrative Agent and reasonably acceptable to the Administrative Agent.</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xml:space="preserve">” means the annual or quarterly financial statements, and accompanying certificates and other documents, of the TopCo Borrower and its Subsidiaries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2" w:name="page43"/>
    <w:bookmarkEnd w:id="42"/>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Lien Intercreditor Agreement</w:t>
      </w:r>
      <w:r>
        <w:rPr>
          <w:rFonts w:ascii="Times New Roman" w:cs="Times New Roman" w:eastAsia="Times New Roman" w:hAnsi="Times New Roman"/>
          <w:sz w:val="18"/>
          <w:szCs w:val="18"/>
          <w:color w:val="auto"/>
        </w:rPr>
        <w:t xml:space="preserve">” means an intercreditor agreement with respect to any Liens on the Collateral that are intended to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Liens securing the Obligations in a form reasonably satisfactory to the Administrative Agent (pursuant to Required Lenders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and the Borrowers.</w:t>
      </w:r>
    </w:p>
    <w:p>
      <w:pPr>
        <w:spacing w:after="0" w:line="17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Tier Foreign Subsidiary</w:t>
      </w:r>
      <w:r>
        <w:rPr>
          <w:rFonts w:ascii="Times New Roman" w:cs="Times New Roman" w:eastAsia="Times New Roman" w:hAnsi="Times New Roman"/>
          <w:sz w:val="18"/>
          <w:szCs w:val="18"/>
          <w:color w:val="auto"/>
        </w:rPr>
        <w:t>” means each Foreign Subsidiary with respect to which any one or more of the Loan Parties directly owns more than 50% of such Foreign Subsidiary’s issued and outstanding Equity Interests.</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means, as of any date of determination, (a) the greater of (i) $421,000,000 and (ii) 100% of Consolidated EBITDA for the most recently ended Test Period less (b) the aggregate principal amount of Incremental Term Loans, Incremental Term Commitments, Incremental Revolving Commitments and Incremental Equivalent Debt established prior to such date in reliance on the Fixed Incremental Amount and not subsequently reclassified as having been incurred in reliance on the Incremental Ratio Basket.</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Alternate Base Rate, the Term SOFR Rate or the Daily Simple SOFR, as applicable. For the avoidance of doubt the initial Floor for each of the Term SOFR Rate and Daily Simple SOFR shall be 0.00% and the initial Floor for the Alternate Base Rate shall be 1.00%.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Restricted Subsidiary which is not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Meeting</w:t>
      </w:r>
      <w:r>
        <w:rPr>
          <w:rFonts w:ascii="Times New Roman" w:cs="Times New Roman" w:eastAsia="Times New Roman" w:hAnsi="Times New Roman"/>
          <w:sz w:val="18"/>
          <w:szCs w:val="18"/>
          <w:color w:val="auto"/>
        </w:rPr>
        <w:t>” means the general meeting of the Target Shareholders (or any adjournment thereof) to be convened in connection with the implementation of a Scheme.</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Meeting Resolutions</w:t>
      </w:r>
      <w:r>
        <w:rPr>
          <w:rFonts w:ascii="Times New Roman" w:cs="Times New Roman" w:eastAsia="Times New Roman" w:hAnsi="Times New Roman"/>
          <w:sz w:val="18"/>
          <w:szCs w:val="18"/>
          <w:color w:val="auto"/>
        </w:rPr>
        <w:t>” means the resolutions to be proposed at and voted on at the General Meeting for the purposes of, amongst other things, approving the Scheme, as will be set out in the Scheme Circular.</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Clinical Practices</w:t>
      </w:r>
      <w:r>
        <w:rPr>
          <w:rFonts w:ascii="Times New Roman" w:cs="Times New Roman" w:eastAsia="Times New Roman" w:hAnsi="Times New Roman"/>
          <w:sz w:val="18"/>
          <w:szCs w:val="18"/>
          <w:color w:val="auto"/>
        </w:rPr>
        <w:t>” means standards for the design, conduct, performance, monitoring, auditing, recording, analysis, and reporting of clinical trials promulgated by applicable Regulatory Authorities, including 21 C.F.R. Parts 11, 50, 54, 56 and 312.</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Laboratory Practices</w:t>
      </w:r>
      <w:r>
        <w:rPr>
          <w:rFonts w:ascii="Times New Roman" w:cs="Times New Roman" w:eastAsia="Times New Roman" w:hAnsi="Times New Roman"/>
          <w:sz w:val="18"/>
          <w:szCs w:val="18"/>
          <w:color w:val="auto"/>
        </w:rPr>
        <w:t>” means standards for conducting non-clinical laboratory studies promulgated by applicable Regulatory Authorities, including those set forth in 21 C.F.R. Part 58.</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Manufacturing Practices</w:t>
      </w:r>
      <w:r>
        <w:rPr>
          <w:rFonts w:ascii="Times New Roman" w:cs="Times New Roman" w:eastAsia="Times New Roman" w:hAnsi="Times New Roman"/>
          <w:sz w:val="18"/>
          <w:szCs w:val="18"/>
          <w:color w:val="auto"/>
        </w:rPr>
        <w:t>” means current good manufacturing practices promulgated by applicable Regulatory Authorities, including those set forth in 21 C.F.R. Parts 210 and 211, 600, 606, 610 and 820.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8" w:right="439" w:bottom="1440" w:gutter="0" w:footer="0" w:header="0"/>
        </w:sectPr>
      </w:pPr>
    </w:p>
    <w:bookmarkStart w:id="43" w:name="page44"/>
    <w:bookmarkEnd w:id="43"/>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the European Union or any other nation or any political subdivision thereof, whether state or local or otherwise,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U.S. Borrower in good faith.</w:t>
      </w:r>
    </w:p>
    <w:p>
      <w:pPr>
        <w:spacing w:after="0" w:line="18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dated as of the Closing Date (including any and all supplements thereto) and executed by the Loan Parties, as amended, restated, supplemented or otherwise modified from time to time.</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or contaminants, including petroleum or petroleum distillates, asbestos or asbestos containing materials, polychlorinated biphenyls and all other substances or wastes regulated pursuant to, or that may result in Liability under, any Environmental Law due to their deleterious nature.</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(a) all local, state, federal and foreign health care laws, including but not limited to laws related to (i) health care fraud and abuse, including the Federal Anti-Kickback Statute (42 U.S.C. § 1320a-7b), the Federal False Claims Act (31 U.S.C. §§ 3729, et seq.), the Federal Civil Monetary Penalties Law (42 U.S.C. § 1320a-7a), the Federal Program Fraud Civil Remedies Act (31 U.S.C. § 3801 et seq.), the Federal Health Care Fraud law (18 U.S.C. § 1347), the criminal false claims and false statements statutes (e.g., 42 U.S.C. § 1320a-7b(a), 18 U.S.C. §§ 286, 287, 1347, 1349, and 1001), the Stark law (42 U.S.C. § 1395nn), the Physician Payment Sunshine Act (42 U.S.C. § 1320a-7h), the Federal Health Care Program Overpayment Statute (42 U.S.C. § 1320a-7k(d)) and the exclusion authorities (42 U.S.C. § 1320a-7); (ii) the Medicare Secondary Payor Statute (42 U.S.C. § 1395y(b)); (iii) the Clinical Laboratory Improvement Amendments (42 U.S.C. § 263a); (iv) health information privacy, including the Health Insurance Portability and Accountability Act of 1996 (42 U.S.C. § 1320d et seq.), the Health Information Technology for Economic and Clinical Health Act of 2009 (42 U.S.C. §§ 17921 et seq.), the U.S. Federal Trade Commission health breach notification rule, and state laws regulating health information, consumer health data, medical records, and privacy, security, and breaches; (v) the safety, efficacy, research, formulation, design, development, manufacture, ownership, testing, storage, security, diversion, trafficking, transportation, distribution, supply, packaging, recordkeeping, processing, production, handling, use,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4" w:name="page45"/>
    <w:bookmarkEnd w:id="44"/>
    <w:p>
      <w:pPr>
        <w:jc w:val="both"/>
        <w:ind w:left="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marketing, labeling, promotion, advertising, holding, possession, import or export, disposal, or sale or offer for sale of any product, controlled substance, controlled substance analogue, listed chemical, active pharmaceutical ingredient, or any other such substance, service, operation or activity of the Loan Parties, including, without limitation, (v) the U.S. Federal Food, Drug and Cosmetic Act (21 U.S.C. § 301 et seq.) (the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4" w:hanging="4"/>
        <w:spacing w:after="0" w:line="250" w:lineRule="auto"/>
        <w:tabs>
          <w:tab w:leader="none" w:pos="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Controlled Substances Act (21 U.S.C. § 801 et seq.), the Controlled Substances Import and Export Act (21 U.S.C. § 951 et seq.), and the Comprehensive Drug Abuse Prevention and Control Act of 1970 (Pub. L. No. 91-513) (collectively, the “</w:t>
      </w:r>
      <w:r>
        <w:rPr>
          <w:rFonts w:ascii="Times New Roman" w:cs="Times New Roman" w:eastAsia="Times New Roman" w:hAnsi="Times New Roman"/>
          <w:sz w:val="18"/>
          <w:szCs w:val="18"/>
          <w:u w:val="single" w:color="auto"/>
          <w:color w:val="auto"/>
        </w:rPr>
        <w:t>CSA</w:t>
      </w:r>
      <w:r>
        <w:rPr>
          <w:rFonts w:ascii="Times New Roman" w:cs="Times New Roman" w:eastAsia="Times New Roman" w:hAnsi="Times New Roman"/>
          <w:sz w:val="18"/>
          <w:szCs w:val="18"/>
          <w:color w:val="auto"/>
        </w:rPr>
        <w:t>”); (x) the Poison Prevention Packaging Act of 1970 (Pub. L. No. 91-601); (y) the Public Health Service Act (42 U.S.C. § 201 et seq.)(the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and (z) those laws and other requirements of the FDA, Drug Enforcement Administration and any successor agency thereto (“</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U.S. Department of Justice and any successor agency thereto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Ireland’s Health Products Regulatory Authority (“</w:t>
      </w:r>
      <w:r>
        <w:rPr>
          <w:rFonts w:ascii="Times New Roman" w:cs="Times New Roman" w:eastAsia="Times New Roman" w:hAnsi="Times New Roman"/>
          <w:sz w:val="18"/>
          <w:szCs w:val="18"/>
          <w:u w:val="single" w:color="auto"/>
          <w:color w:val="auto"/>
        </w:rPr>
        <w:t>HPRA</w:t>
      </w:r>
      <w:r>
        <w:rPr>
          <w:rFonts w:ascii="Times New Roman" w:cs="Times New Roman" w:eastAsia="Times New Roman" w:hAnsi="Times New Roman"/>
          <w:sz w:val="18"/>
          <w:szCs w:val="18"/>
          <w:color w:val="auto"/>
        </w:rPr>
        <w:t>”), European Medicines Agency (“</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and similar federal, state, local, and foreign Regulatory Authorities; and (vi) Good Manufacturing Practices, good distribution practices, Good Laboratory Practices, and Good Clinical Practices; (b) laws applicable to Federal Health Care Programs, including the Medicare statute (Title XVIII of the Social Security Act) and the Medicaid Statute (Title XIX of the Social Security Act), and laws applicable to claims for reimbursement submitted by the Loan Parties or their respective businesses to any third-party payor that is not a Federal Health Care Program; (c) licensure, quality, safety and accreditation requirements under</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federal, state, local or foreign laws or regulations or healthcare-related Governmental Authority; (d) the Inflation Reduction Act;</w:t>
      </w:r>
    </w:p>
    <w:p>
      <w:pPr>
        <w:spacing w:after="0" w:line="9" w:lineRule="exact"/>
        <w:rPr>
          <w:sz w:val="20"/>
          <w:szCs w:val="20"/>
          <w:color w:val="auto"/>
        </w:rPr>
      </w:pPr>
    </w:p>
    <w:p>
      <w:pPr>
        <w:jc w:val="both"/>
        <w:ind w:left="4" w:right="20" w:hanging="4"/>
        <w:spacing w:after="0" w:line="265" w:lineRule="auto"/>
        <w:tabs>
          <w:tab w:leader="none" w:pos="25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pricing and price reporting laws, and the processing of any applicable rebate, chargeback or adjustment, under such laws, including the Medicaid Drug Rebate Program (42 U.S.C. § 1396r-8) and any state supplemental rebate program, Medicare average sales price reporting (42 U.S.C. § 1395w-3a), PHSA (including 42 U.S.C. § 256b), the VA Federal Supply Schedule (38 U.S.C. § 8126) or any state pharmaceutical assistance program, Federal Supply Schedule of the General Services Administration or U.S. Department of Veterans Affairs agreement, and any similar or successor government programs; (f) with respect to (a)-(e), any similar laws of any Governmental Authority (including any successor Governmental Authority that implements, enforces or otherwise has authority relating to such laws); (g) the regulations promulgated under, pursuant to, or that implement the laws in</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 and (h) any amendments to the laws and regulations in (a)-(g).</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Permits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3.07(b)(vi)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and each applicable Borrower executed by (a) each applicable Borrower, (b) the Administrative Agent and</w:t>
      </w:r>
    </w:p>
    <w:p>
      <w:pPr>
        <w:ind w:left="4" w:right="20" w:hanging="4"/>
        <w:spacing w:after="0" w:line="260"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that agrees to provide all or any portion of the Incremental Term Facility or Incremental Revolving Facility being incurred pursuant thereto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Voluntary Prepayment Amount, plus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  the Fixed Incremental Amount; plus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(c)    an additional amount so long as, in the case of this clause (c), on a pro forma basis after giving effect to the incurrence of the applicable Indebtedness and the application of the proceeds thereof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45" w:name="page46"/>
    <w:bookmarkEnd w:id="45"/>
    <w:p>
      <w:pPr>
        <w:jc w:val="both"/>
        <w:ind w:left="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in the case of any revolving credit facility or delayed draw term loan facility, assuming a full drawing of such revolving credit facility or delayed draw term loan facility, as applicable, (i) if such Incremental Facility or Incremental Equivalent Debt is secured by Liens on Collateral that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Liens securing the Obligations, the Secured Net Leverage Ratio does not exceed 3.75:1.00, (ii) if such Incremental Equivalent Debt is</w:t>
      </w:r>
    </w:p>
    <w:p>
      <w:pPr>
        <w:spacing w:after="0" w:line="1" w:lineRule="exact"/>
        <w:rPr>
          <w:sz w:val="20"/>
          <w:szCs w:val="20"/>
          <w:color w:val="auto"/>
        </w:rPr>
      </w:pPr>
    </w:p>
    <w:p>
      <w:pPr>
        <w:jc w:val="both"/>
        <w:ind w:left="4" w:right="20" w:hanging="4"/>
        <w:spacing w:after="0" w:line="255" w:lineRule="auto"/>
        <w:tabs>
          <w:tab w:leader="none" w:pos="2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Liens on Collateral that rank junior to the Liens securing the Obligations or (y) secured by Liens on assets that do not constitute Collateral, the Secured Net Leverage Ratio does not exceed 4.25:1.00 and (iii) if such Incremental Equivalent Debt is unsecured, the Total Net Leverage Ratio does not exceed 4.75:1.00 (this clause (c), the “</w:t>
      </w:r>
      <w:r>
        <w:rPr>
          <w:rFonts w:ascii="Times New Roman" w:cs="Times New Roman" w:eastAsia="Times New Roman" w:hAnsi="Times New Roman"/>
          <w:sz w:val="18"/>
          <w:szCs w:val="18"/>
          <w:u w:val="single" w:color="auto"/>
          <w:color w:val="auto"/>
        </w:rPr>
        <w:t>Incremental Ratio Basket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Incremental Facility or Incremental Equivalent Debt may be incurred under one or more of clauses (a), (b) or (c) of this definition as selected by the U.S. Borrower in its sole discretion, (ii) if any Incremental Facility or Incremental Equivalent Debt is intended to be incurred or implemented in reliance on the Incremental Ratio Basket and any other of clauses (a) and/or (b) of this definition in a single transaction or series of related transactions, (x) the permissibility of the portion of such Incremental Facility or Incremental Equivalent Debt that is incurred or implemented in reliance on the Incremental Ratio Basket will be determined without giving effect to (1) any portion of such Incremental Facility or Incremental Equivalent Debt to be incurred or implemented in reliance on clauses (a) and/or (b) of this definition and/or (2) any simultaneous or substantially concurrent incurrence of any Indebtedness based on a basket or exception that is not based on a financial ratio, but giving full pro forma effect to the use of proceeds of the entire amount of the loans and commitments that will be incurred in reliance on each applicable provision of the Incremental Cap and the related transactions, and (y) thereafter, the permissibility of the portion of the Incremental Facility or Incremental Equivalent Debt to be incurred or implemented, as applicable, under clauses (a) and/or (b) of this definition will be determined, (iii) unless the U.S. Borrower elects otherwise, any Incremental Facility or Incremental Equivalent Debt will be deemed incurred first under the Incremental Ratio Basket to the extent permitted (and calculated prior to giving effect to any simultaneous or subsequent incurrence of any Indebtedness based on a basket or exception that is not based on a financial ratio, with any balance incurred under clauses (a) and/or (b) of this definition), and (iv) any portion of any Incremental Facility or Incremental Equivalent Debt incurred or implemented in reliance on clauses (a) and/or (b) of this definition will, unless the U.S. Borrower otherwise elects, automatically be reclassified from time to time after the incurrence or implementation of such Incremental Facility or Incremental Equivalent Debt as having been incurred in reliance on the Incremental Ratio Basket if the leverage ratio test under the Incremental Ratio Basket is satisfied on a pro forma basis at such time.</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an Incremental Revolving Commitment or a commitment to provide an Incremental Term Loan.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means an Incremental Revolving Facility and/or an Incremental Term Facility, as the context may require.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Ratio Basket</w:t>
      </w:r>
      <w:r>
        <w:rPr>
          <w:rFonts w:ascii="Times New Roman" w:cs="Times New Roman" w:eastAsia="Times New Roman" w:hAnsi="Times New Roman"/>
          <w:sz w:val="18"/>
          <w:szCs w:val="18"/>
          <w:color w:val="auto"/>
        </w:rPr>
        <w:t>” has the meaning assigned to such term in clause (c) of the definition of “Incremental Cap”.</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means the revolving commitments in respect of any Incremental Revolving Facility.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 Lender</w:t>
      </w:r>
      <w:r>
        <w:rPr>
          <w:rFonts w:ascii="Times New Roman" w:cs="Times New Roman" w:eastAsia="Times New Roman" w:hAnsi="Times New Roman"/>
          <w:sz w:val="18"/>
          <w:szCs w:val="18"/>
          <w:color w:val="auto"/>
        </w:rPr>
        <w:t>” means, with respect to any Incremental Revolving Facility, each Revolving Lender providing any portion of such Incremental Revolving Facility.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Delayed Draw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Increase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A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means the commitments to provide an Incremental Term Loan in respect of any Incremental Term Facility.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means, without duplication, (a) all obligations of such Person for borrowed money, (b) all obligations of such Person evidenced by bonds, debentures, notes or similar instruments, (c) [reserved], (d) all obligations of such Person under conditional sale or other title retention agreements relating to property acquired by such Person, (e) all obligations of such Person in respect of the deferred purchase price of property or services (excluding (x) trade accounts payable in the ordinary course of business, (y) any earn-out, deferred, royalty, milestone or similar obligations until such obligation becomes a liability on the balance sheet of such Person in accordance with GAAP and if not paid after becoming due and payable and (z) expenses accrued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Person has not assumed or otherwise become liable in respect of such Indebtedness, such obligations shall be deemed to be in an amount equal to the lesser of (i) the amount of such Indebtedness and (ii) the fair market value of such property at the time of determination (in the U.S. Borrower’s good faith estimate),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Sale and Leaseback Transactions and (l) all obligations of such Person in respect of Disqualified Equity.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w:t>
      </w:r>
    </w:p>
    <w:p>
      <w:pPr>
        <w:spacing w:after="0" w:line="10" w:lineRule="exact"/>
        <w:rPr>
          <w:sz w:val="20"/>
          <w:szCs w:val="20"/>
          <w:color w:val="auto"/>
        </w:rPr>
      </w:pPr>
    </w:p>
    <w:p>
      <w:pPr>
        <w:jc w:val="both"/>
        <w:ind w:left="4" w:hanging="4"/>
        <w:spacing w:after="0" w:line="253" w:lineRule="auto"/>
        <w:tabs>
          <w:tab w:leader="none" w:pos="2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identified asset as determined by such Person in good faith. Notwithstanding anything to the contrary in this definition, the term “Indebtedness” shall not include (i) deferred or prepaid revenue, (ii) purchase price holdbacks in respect of a portion of the purchase price of an asset to satisfy warranty or other unperformed obligations of the respective seller (and for the avoidance of doubt, “Indebtedness” shall not include the CVRs), (iii) obligations under Sale and Leaseback Transactions to the extent such obligations are not reflected as a liability on the consolidated balance sheet of the TopCo Borrower, (iv) milestone payments, (v) obligations under any Swap Agreements, including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47" w:name="page48"/>
    <w:bookmarkEnd w:id="47"/>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obligations which is a forward equity commitment or confirmation or forward equity sale agreement, any Permitted Bond Hedge Transaction or any Permitted Warrant Transaction, (vi) accruals for payroll and other similar employee liabilities accrued in the ordinary course of business or</w:t>
      </w:r>
    </w:p>
    <w:p>
      <w:pPr>
        <w:ind w:left="4" w:right="20" w:hanging="4"/>
        <w:spacing w:after="0" w:line="260"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under a Receivables Purchase Transaction (to the extent such obligations are not or are not required to be shown as liabilities on the balance sheet of such Person in accordance with GAAP).</w:t>
      </w:r>
    </w:p>
    <w:p>
      <w:pPr>
        <w:spacing w:after="0" w:line="181"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hereof, Other Taxes.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Commitment</w:t>
      </w:r>
      <w:r>
        <w:rPr>
          <w:rFonts w:ascii="Times New Roman" w:cs="Times New Roman" w:eastAsia="Times New Roman" w:hAnsi="Times New Roman"/>
          <w:sz w:val="18"/>
          <w:szCs w:val="18"/>
          <w:color w:val="auto"/>
        </w:rPr>
        <w:t>” means, with respect to each Initial Term Lender, such Initial Term Lender’s Initial Tranche A Term Commitment and/or Initial Tranche B Term Commitment.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Lenders</w:t>
      </w:r>
      <w:r>
        <w:rPr>
          <w:rFonts w:ascii="Times New Roman" w:cs="Times New Roman" w:eastAsia="Times New Roman" w:hAnsi="Times New Roman"/>
          <w:sz w:val="18"/>
          <w:szCs w:val="18"/>
          <w:color w:val="auto"/>
        </w:rPr>
        <w:t>” means the Initial Tranche A Term Lenders and the Initial Tranche B Term Lenders.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means the Initial Tranche A Term Loans and the Initial Tranche B Term Loans.</w:t>
      </w:r>
    </w:p>
    <w:p>
      <w:pPr>
        <w:spacing w:after="0" w:line="225"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A Term Commitment</w:t>
      </w:r>
      <w:r>
        <w:rPr>
          <w:rFonts w:ascii="Times New Roman" w:cs="Times New Roman" w:eastAsia="Times New Roman" w:hAnsi="Times New Roman"/>
          <w:sz w:val="18"/>
          <w:szCs w:val="18"/>
          <w:color w:val="auto"/>
        </w:rPr>
        <w:t xml:space="preserve">” means, with respect to any Initial Tranche A Term Lender,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Initial Tranche A Term Lender’s name under the heading “Initial Tranche A Term Commitment”, or in the Assignment and Assumption contemplated hereby pursuant to which such Initial Tranche A Term Lender shall have assumed its Initial Tranche A Term Commitment, as applicable, and giving effect to (a) any reduction in such amount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(ii) any reduction or increase in such amount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The initial aggregate amount of the Initial Tranche A Term Commitments on the Closing Date is $750,000,000.00.</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A Term Facility</w:t>
      </w:r>
      <w:r>
        <w:rPr>
          <w:rFonts w:ascii="Times New Roman" w:cs="Times New Roman" w:eastAsia="Times New Roman" w:hAnsi="Times New Roman"/>
          <w:sz w:val="18"/>
          <w:szCs w:val="18"/>
          <w:color w:val="auto"/>
        </w:rPr>
        <w:t>” means the Initial Tranche A Term Commitments and the Initial Tranche A Term Loans made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A Term Lender</w:t>
      </w:r>
      <w:r>
        <w:rPr>
          <w:rFonts w:ascii="Times New Roman" w:cs="Times New Roman" w:eastAsia="Times New Roman" w:hAnsi="Times New Roman"/>
          <w:sz w:val="18"/>
          <w:szCs w:val="18"/>
          <w:color w:val="auto"/>
        </w:rPr>
        <w:t>” means each Lender that holds an Initial Tranche A Term Commitment or Initial Tranche A Term Loan.</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A Term Loan Credit Exposures</w:t>
      </w:r>
      <w:r>
        <w:rPr>
          <w:rFonts w:ascii="Times New Roman" w:cs="Times New Roman" w:eastAsia="Times New Roman" w:hAnsi="Times New Roman"/>
          <w:sz w:val="18"/>
          <w:szCs w:val="18"/>
          <w:color w:val="auto"/>
        </w:rPr>
        <w:t>” means, as to any Initial Tranche A Term Lender, an amount equal to the aggregate principal amount of such Initial Tranche A Term Lender’s Initial Tranche A Term Loans outstanding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A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B Term Commitment</w:t>
      </w:r>
      <w:r>
        <w:rPr>
          <w:rFonts w:ascii="Times New Roman" w:cs="Times New Roman" w:eastAsia="Times New Roman" w:hAnsi="Times New Roman"/>
          <w:sz w:val="18"/>
          <w:szCs w:val="18"/>
          <w:color w:val="auto"/>
        </w:rPr>
        <w:t xml:space="preserve">” means, with respect to any Initial Tranche B Term Lender,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Initial Tranche B Term Lender’s name under the heading “Initial Tranche B Term Commitment”, or in the Assignment and Assumption contemplated hereby pursuant to which such Initial Tranche B Term Lender shall have assumed its Initial Tranche B Term Commitment, as applicable, and giving effect to (a) any reduction in such amount from time to time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48" w:name="page49"/>
    <w:bookmarkEnd w:id="48"/>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(ii) any reduction or increase in such amount from time to time pursuant to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The initial aggregate amount of the Initial Tranche B Term Commitments on the Closing Date is $775,000,000.00.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B Term Facility</w:t>
      </w:r>
      <w:r>
        <w:rPr>
          <w:rFonts w:ascii="Times New Roman" w:cs="Times New Roman" w:eastAsia="Times New Roman" w:hAnsi="Times New Roman"/>
          <w:sz w:val="18"/>
          <w:szCs w:val="18"/>
          <w:color w:val="auto"/>
        </w:rPr>
        <w:t>” means the Initial Tranche B Term Commitments and the Initial Tranche B Term Loans made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B Term Lender</w:t>
      </w:r>
      <w:r>
        <w:rPr>
          <w:rFonts w:ascii="Times New Roman" w:cs="Times New Roman" w:eastAsia="Times New Roman" w:hAnsi="Times New Roman"/>
          <w:sz w:val="18"/>
          <w:szCs w:val="18"/>
          <w:color w:val="auto"/>
        </w:rPr>
        <w:t>” means each Lender that holds an Initial Tranche B Term Commitment or Initial Tranche B Term Loan.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 B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right, priorities and privileges relating to intellectual property, whether arising under United States, multinational or foreign laws or otherwise, including, without limitation, copyrights, patents, trademarks (including the goodwill associated therewith), trade secrets, technology, know-how and processes, and all applications and registrations for any of the foregoing,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w:t>
      </w:r>
    </w:p>
    <w:p>
      <w:pPr>
        <w:spacing w:after="0" w:line="18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means any agreement executed on or after the Closing Date confirming or effecting the grant of any Lien on or security interest in United States registered or applied for patents, trademarks and copyrights owned by any Loan Party and exclusive licenses of United States registered copyrights granted to a Loan Party, as applicable, by any Loan Party to the Administrative Agent, for the benefit of the Administrative Agent and the other Secured Parties, in accordance with this Agreement and the U.S. Security Agreement or the Irish Collateral Documents.</w:t>
      </w:r>
    </w:p>
    <w:p>
      <w:pPr>
        <w:spacing w:after="0" w:line="183"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any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which shall be substantially in the form approved by the Administrative Agent and separately provided to the Borrower.</w:t>
      </w:r>
    </w:p>
    <w:p>
      <w:pPr>
        <w:spacing w:after="0" w:line="162"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the Maturity Date,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w:t>
      </w:r>
    </w:p>
    <w:p>
      <w:pPr>
        <w:spacing w:after="0" w:line="187"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as any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w:t>
      </w:r>
    </w:p>
    <w:p>
      <w:pPr>
        <w:spacing w:after="0" w:line="3" w:lineRule="exact"/>
        <w:rPr>
          <w:sz w:val="20"/>
          <w:szCs w:val="20"/>
          <w:color w:val="auto"/>
        </w:rPr>
      </w:pPr>
    </w:p>
    <w:p>
      <w:pPr>
        <w:jc w:val="both"/>
        <w:ind w:left="4" w:hanging="4"/>
        <w:spacing w:after="0" w:line="255"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9" w:name="page50"/>
    <w:bookmarkEnd w:id="4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shall be available for specification in such Borrowing Request or Interest Election Request unless reinstated pursuant to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Collateral Documents</w:t>
      </w:r>
      <w:r>
        <w:rPr>
          <w:rFonts w:ascii="Times New Roman" w:cs="Times New Roman" w:eastAsia="Times New Roman" w:hAnsi="Times New Roman"/>
          <w:sz w:val="18"/>
          <w:szCs w:val="18"/>
          <w:color w:val="auto"/>
        </w:rPr>
        <w:t>” means the Irish Security Agreement, any Irish Share Charge and any other Collateral Document governed by the laws of Ireland.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Loan Party</w:t>
      </w:r>
      <w:r>
        <w:rPr>
          <w:rFonts w:ascii="Times New Roman" w:cs="Times New Roman" w:eastAsia="Times New Roman" w:hAnsi="Times New Roman"/>
          <w:sz w:val="18"/>
          <w:szCs w:val="18"/>
          <w:color w:val="auto"/>
        </w:rPr>
        <w:t>” means a Loan Party organized under the laws of Ireland.</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a Lender which is beneficially entitled to interest payable to that Lender in respect of an advance under a Loan Document and is:</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    a bank within the meaning of section 246(1) TCA which is carrying on a bona fide banking business in Ireland for the purposes of section 246(3)(a) TCA; 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980" w:right="20"/>
        <w:spacing w:after="0" w:line="256" w:lineRule="auto"/>
        <w:rPr>
          <w:sz w:val="20"/>
          <w:szCs w:val="20"/>
          <w:color w:val="auto"/>
        </w:rPr>
      </w:pPr>
      <w:r>
        <w:rPr>
          <w:rFonts w:ascii="Times New Roman" w:cs="Times New Roman" w:eastAsia="Times New Roman" w:hAnsi="Times New Roman"/>
          <w:sz w:val="18"/>
          <w:szCs w:val="18"/>
          <w:color w:val="auto"/>
        </w:rPr>
        <w:t>(i)    a body corporate that is resident for the purposes of Tax in a member state of the European Communities (other than Ireland) or in a territory with which Ireland has an Irish Treaty that is in effect by virtue of section 826(1) TCA or in a territory with which Ireland has signed an Irish Treaty which will come into effect once all the ratification procedures set out in section 826(1) TCA have been completed (residence for these purposes to be determined in accordance with the laws of the territory of which the Lender claims to be resident) where that member state or territory imposes a Tax that generally applies to interest receivable in that member state or territory by companies from sources outside that member state or territory; 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     a body corporate where interest payable in respect of an advance:</w:t>
      </w:r>
    </w:p>
    <w:p>
      <w:pPr>
        <w:spacing w:after="0" w:line="252" w:lineRule="exact"/>
        <w:rPr>
          <w:sz w:val="20"/>
          <w:szCs w:val="20"/>
          <w:color w:val="auto"/>
        </w:rPr>
      </w:pPr>
    </w:p>
    <w:p>
      <w:pPr>
        <w:ind w:left="1960" w:right="20" w:hanging="533"/>
        <w:spacing w:after="0" w:line="28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exempted from the charge to Irish income Tax under an Irish Treaty having force of law under the procedures set out in section 826(1) TCA; or</w:t>
      </w:r>
    </w:p>
    <w:p>
      <w:pPr>
        <w:spacing w:after="0" w:line="188" w:lineRule="exact"/>
        <w:rPr>
          <w:rFonts w:ascii="Times New Roman" w:cs="Times New Roman" w:eastAsia="Times New Roman" w:hAnsi="Times New Roman"/>
          <w:sz w:val="18"/>
          <w:szCs w:val="18"/>
          <w:color w:val="auto"/>
        </w:rPr>
      </w:pPr>
    </w:p>
    <w:p>
      <w:pPr>
        <w:ind w:left="1960" w:hanging="533"/>
        <w:spacing w:after="0" w:line="28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exempted from the charge to Irish income Tax under an Irish Treaty entered into on or before the payment date of that interest if that Irish Treaty had the force of law under the provisions set out in section 826(1) TCA at that date; 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  a U.S. corporation, provided the U.S. corporation is incorporated in the U.S. and is taxed in the U.S. on its worldwide income; or</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(iv)    a U.S. Limited Liability Company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provided the ultimate recipients of the interest would, if they were themselves Lenders, be Irish Qualifying Lenders within paragraph (i) or (ii) or (iii) of this definition and the business conducted through the LLC is so structured for non-tax commercial reasons and not for tax avoidance purposes;</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provided in each case at (i), (ii), (iii) or (iv) the Lender is not (or in the case of (iv), the ultimate recipients of the interest are not) carrying on a trade or business in Ireland through an agency or branch with which the interest payment is connected;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an Irish Treaty Lender; 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a body corporate: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  which advances money in the ordinary course of a trade which includes the lending of money; and</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(ii)    in whose hands any interest payable in respect of monies so advanced is taken into account in computing the trading income of that body corporate; and</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(iii)    which has complied with all of the provisions of section 246(5)(a) TCA, including making the appropriate notifications thereunder; 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a qualifying company within the meaning of section 110 TCA; 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an exempt approved scheme within the meaning of section 774 TCA; or</w:t>
      </w:r>
    </w:p>
    <w:p>
      <w:pPr>
        <w:spacing w:after="0" w:line="225" w:lineRule="exact"/>
        <w:rPr>
          <w:sz w:val="20"/>
          <w:szCs w:val="20"/>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auto"/>
        </w:rPr>
        <w:t xml:space="preserve">(g) </w:t>
      </w:r>
      <w:r>
        <w:rPr>
          <w:sz w:val="20"/>
          <w:szCs w:val="20"/>
          <w:color w:val="auto"/>
        </w:rPr>
        <w:tab/>
      </w:r>
      <w:r>
        <w:rPr>
          <w:rFonts w:ascii="Times New Roman" w:cs="Times New Roman" w:eastAsia="Times New Roman" w:hAnsi="Times New Roman"/>
          <w:sz w:val="17"/>
          <w:szCs w:val="17"/>
          <w:color w:val="auto"/>
        </w:rPr>
        <w:t>an investment undertaking within the meaning of section 739B TCA.</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Security Agreement</w:t>
      </w:r>
      <w:r>
        <w:rPr>
          <w:rFonts w:ascii="Times New Roman" w:cs="Times New Roman" w:eastAsia="Times New Roman" w:hAnsi="Times New Roman"/>
          <w:sz w:val="18"/>
          <w:szCs w:val="18"/>
          <w:color w:val="auto"/>
        </w:rPr>
        <w:t>” means an Irish law-governed debenture entered into by the TopCo Borrower, each Irish Subsidiary party thereto and the Administrative Agent, as may be modified, amended or supplemented from time to time.</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Share Charge</w:t>
      </w:r>
      <w:r>
        <w:rPr>
          <w:rFonts w:ascii="Times New Roman" w:cs="Times New Roman" w:eastAsia="Times New Roman" w:hAnsi="Times New Roman"/>
          <w:sz w:val="18"/>
          <w:szCs w:val="18"/>
          <w:color w:val="auto"/>
        </w:rPr>
        <w:t>” means any Irish law-governed share charge entered into by any Loan Party that is a Material Domestic Subsidiary that owns Equity Interests in any Irish Subsidiary and the Administrative Agent, for the benefit of the Administrative Agent and the other Secured Parties, creating Liens over the Equity Interests in any such Irish Subsidiary, that is in form and substance reasonably satisfactory to the Administrative Agent, as such share charge may be modified, amended or supplemented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Subsidiary</w:t>
      </w:r>
      <w:r>
        <w:rPr>
          <w:rFonts w:ascii="Times New Roman" w:cs="Times New Roman" w:eastAsia="Times New Roman" w:hAnsi="Times New Roman"/>
          <w:sz w:val="18"/>
          <w:szCs w:val="18"/>
          <w:color w:val="auto"/>
        </w:rPr>
        <w:t>” means any Restricted Subsidiary that is incorporated or organized under the laws of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u w:val="single" w:color="auto"/>
          <w:color w:val="auto"/>
        </w:rPr>
        <w:t>Irish Treaty State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Lender</w:t>
      </w:r>
      <w:r>
        <w:rPr>
          <w:rFonts w:ascii="Times New Roman" w:cs="Times New Roman" w:eastAsia="Times New Roman" w:hAnsi="Times New Roman"/>
          <w:sz w:val="18"/>
          <w:szCs w:val="18"/>
          <w:color w:val="auto"/>
        </w:rPr>
        <w:t>” means, subject to the completion of procedural formalities, a Lender (other than a Lender falling within paragraph (b) of the definition of Irish Qualifying Lender) which is treated as a resident of an Irish Treaty State for the purposes of an Irish Treaty and does not carry on a business in Ireland through a permanent establishment with which that Lender’s participation in this Agreement is effectively connected.</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State</w:t>
      </w:r>
      <w:r>
        <w:rPr>
          <w:rFonts w:ascii="Times New Roman" w:cs="Times New Roman" w:eastAsia="Times New Roman" w:hAnsi="Times New Roman"/>
          <w:sz w:val="18"/>
          <w:szCs w:val="18"/>
          <w:color w:val="auto"/>
        </w:rPr>
        <w:t>” means a jurisdiction which has a double taxation agreement with Ireland (an “</w:t>
      </w:r>
      <w:r>
        <w:rPr>
          <w:rFonts w:ascii="Times New Roman" w:cs="Times New Roman" w:eastAsia="Times New Roman" w:hAnsi="Times New Roman"/>
          <w:sz w:val="18"/>
          <w:szCs w:val="18"/>
          <w:u w:val="single" w:color="auto"/>
          <w:color w:val="auto"/>
        </w:rPr>
        <w:t>Irish Treaty</w:t>
      </w:r>
      <w:r>
        <w:rPr>
          <w:rFonts w:ascii="Times New Roman" w:cs="Times New Roman" w:eastAsia="Times New Roman" w:hAnsi="Times New Roman"/>
          <w:sz w:val="18"/>
          <w:szCs w:val="18"/>
          <w:color w:val="auto"/>
        </w:rPr>
        <w:t>”) which is in effect and makes provision for full exemption from Tax imposed by Ireland on interest.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9.20.</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means, collectively, any Indebtedness for borrowed money of the TopCo Borrower or any of its Restricted Subsidiaries that is (x) secured by a Lien on the Collateral that is junior in priority to the Lien on the Collateral securing the Secured Obligations or (y) Subordinated Indebtedness.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Junior Indebtedness Documents</w:t>
      </w:r>
      <w:r>
        <w:rPr>
          <w:rFonts w:ascii="Times New Roman" w:cs="Times New Roman" w:eastAsia="Times New Roman" w:hAnsi="Times New Roman"/>
          <w:sz w:val="18"/>
          <w:szCs w:val="18"/>
          <w:color w:val="auto"/>
        </w:rPr>
        <w:t>” means any document, agreement or instrument evidencing or governing any Junior Indebtedness.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means an intercreditor agreement with respect to any Liens on the Collateral that are intended to rank junior to the Liens securing the Obligations in a form reasonably satisfactory to the Administrative Agent (pursuant to Required Lenders Negative Consent) and the Borrowers.</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shall mean and refer to (i) the actual knowledge of a Responsible Officer of any Loan Party or (ii) the knowledge that such Responsible Officer would have obtained if such officer had engaged in good faith and diligent performance of such officer’s duties. For the avoidance of doubt, “know”, “known” and “knew,” words, or phrases of similar import, relating to the knowledge or the awareness of any Loan Party used in this Agreement or any other Loan Document, shall have the respective correlative meaning thereto.</w:t>
      </w:r>
    </w:p>
    <w:p>
      <w:pPr>
        <w:spacing w:after="0" w:line="18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Incremental Term Loans, any Incremental Commitments, any Extended Term Loan or any Refinancing Term Loans, in each case as extended in accordance with this Agreement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Reservations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wholly-owned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an Assignment and Assumption or otherwise, other than any such Person that ceases to be a party hereto pursuant to an Assignment and Assumption or otherwise. Unless the context otherwise requires, the term “Lenders” includes the Initial Tranche A Term Lenders and the Initial Tranche B Term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constitute a Lien.</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Conditionality Transaction</w:t>
      </w:r>
      <w:r>
        <w:rPr>
          <w:rFonts w:ascii="Times New Roman" w:cs="Times New Roman" w:eastAsia="Times New Roman" w:hAnsi="Times New Roman"/>
          <w:sz w:val="18"/>
          <w:szCs w:val="18"/>
          <w:color w:val="auto"/>
        </w:rPr>
        <w:t>” means (a) any Acquisition or similar Investment, in each case permitted by this Agreement, the consummation of which is not conditioned on the availability of, or on obtaining, third party financing and (b) any redemption, repurchase, defeasance, satisfaction and discharge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2" w:name="page53"/>
    <w:bookmarkEnd w:id="5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repayment of Indebtedness requiring irrevocable notice (which may be conditional) in advance of such redemption, repurchase, defeasance, satisfaction and discharge or repayment.</w:t>
      </w:r>
    </w:p>
    <w:p>
      <w:pPr>
        <w:spacing w:after="0" w:line="162"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(including schedules and exhibits hereto), the Collateral Documents, the Guaranty, the Fee Letters, any other fee letters, and all other agreements, instruments, documents and certificates identified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executed and delivered to, or in favor of, the Administrative Agent or any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Loan Documents shall not include any Banking Services Agreement or Swap Agreement.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and the Subsidiary Guarantors.</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 including the Term Loans and if applicable, the Incremental Loans, the Refinancing Term Loans and the Extended Term Loans.</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means the “End Date” (as defined in the Acquisition Agreement, as in effect on the date hereof), including, for the avoidance of doubt, as such date may be automatically extended pursuant to and in accordance with the definition of “End Date” set forth in the Acquisition Agreement, as in effect on the date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Cancellation Event</w:t>
      </w:r>
      <w:r>
        <w:rPr>
          <w:rFonts w:ascii="Times New Roman" w:cs="Times New Roman" w:eastAsia="Times New Roman" w:hAnsi="Times New Roman"/>
          <w:sz w:val="18"/>
          <w:szCs w:val="18"/>
          <w:color w:val="auto"/>
        </w:rPr>
        <w:t>” means the occurrence of any of the following conditions or events:</w:t>
      </w:r>
    </w:p>
    <w:p>
      <w:pPr>
        <w:spacing w:after="0" w:line="225"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(a)    where the Target Acquisition proceeds by way of a Scheme: (i) a Court Meeting is held to approve the Scheme at which a vote is held to approve the Scheme Resolutions, but the Scheme Resolutions are not so approved by the Target Shareholders by the requisite majorities at such Court Meeting; (ii) a General Meeting is held to pass the General Meeting Resolutions at which a vote is held to approve the General Meeting Resolutions, but the General Meeting Resolutions are not so approved by the requisite majorities of the Target Shareholders at such General Meeting; (iii) applications for the sanction of the Scheme and the issuance of the Court Order are made to the Court but the Court declines to sanction the Scheme and refuses to grant the Court Order; (iv) either the Scheme lapses or is withdrawn with the consent of the Panel; (v) [reserved]; (vi) a Court Order is issued but not filed with the Registrar within twenty-one days of its issuance; (vii) the date which is 15 days after the Scheme Effective Date (or if the Panel consents to any extension of the period for settlement of consideration pursuant to the Takeover Rules, the date of expiry of such extended period); or (viii) 5:00 p.m., New York City time, on the Long Stop Date, unless the Scheme Effective Date has occurred prior thereto, in which case clause (vii) above shall apply, unless, in respect of clause (iv) above, for the purpose of switching from a Scheme to an Offer, within five Business Days of such event the U.S. Borrower has delivered an Offer Conversion Notice to the Administrative Agent, and then within 10 Business Days (or such later period as the Administrative Agent may agree in its sole discretion) after delivery of such notice does with the consent of the Panel issue, an Offer Press Release that includes an Acceptance Condition that is not lower than the Minimum Acceptance Level, in which case no Mandatory Cancellation Event shall have occurred pursuant to clause (iv) above) and provided that the postponement or adjournment of any Court Meeting or General Meeting shall not constitute a Mandatory Cancellation Event if such Court Meeting or General Meeting is capable of being re-convened on a future date prior to 5:00 p.m., New York City time, on the Long Stop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53" w:name="page54"/>
    <w:bookmarkEnd w:id="53"/>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where the Target Acquisition proceeds by way of an Offer: (i) such Offer lapses, terminates or is withdrawn; (ii) the date upon which all payments made or to be made for Certain Funds Purposes have been paid in full in cleared funds; or (iii) 5:00 p.m., New York City time, on the Long Stop Date;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the Commitments are utilized in full; and</w:t>
      </w:r>
    </w:p>
    <w:p>
      <w:pPr>
        <w:spacing w:after="0" w:line="225"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(e)  the Target becomes a Wholly-Owned Subsidiary of the TopCo Borrower and the TopCo Borrower has paid for all the Target Shares beneficially owned by it;</w:t>
      </w:r>
    </w:p>
    <w:p>
      <w:pPr>
        <w:spacing w:after="0" w:line="162"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switch from a Scheme to an Offer or from an Offer to a Scheme in compliance with this Agreement (or, for the avoidance of doubt, any amendment to the terms or conditions of a Scheme or an Offer in compliance with this Agreement) shall not constitute a lapse, termination or withdrawal for the purposes of this definition.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U and X, as applicable.</w:t>
      </w:r>
    </w:p>
    <w:p>
      <w:pPr>
        <w:spacing w:after="0" w:line="225"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xml:space="preserve">” means an amount equal to (a) the sum of (i) the total number of issued and outstanding shares of common stock of the TopCo Borrower on the date of the declaration of a Restricted Payment permitted pursuant to </w:t>
      </w:r>
      <w:r>
        <w:rPr>
          <w:rFonts w:ascii="Times New Roman" w:cs="Times New Roman" w:eastAsia="Times New Roman" w:hAnsi="Times New Roman"/>
          <w:sz w:val="18"/>
          <w:szCs w:val="18"/>
          <w:u w:val="single" w:color="auto"/>
          <w:color w:val="auto"/>
        </w:rPr>
        <w:t>clause (q)</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multiplied by (ii) the arithmetic mean of the closing prices per share of such shares on the principal securities exchange on which such shares are traded for the 30 consecutive trading days immediately preceding the date of declaration of such Restricted Payment.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 material adverse effect on (a) the business, assets, operations or financial condition of the TopCo Borrower and its Restricted Subsidiaries taken as a whole, (b) the ability of any Loan Party to perform any of its payment obligations under the Loan Documents or</w:t>
      </w:r>
    </w:p>
    <w:p>
      <w:pPr>
        <w:spacing w:after="0" w:line="1" w:lineRule="exact"/>
        <w:rPr>
          <w:sz w:val="20"/>
          <w:szCs w:val="20"/>
          <w:color w:val="auto"/>
        </w:rPr>
      </w:pPr>
    </w:p>
    <w:p>
      <w:pPr>
        <w:ind w:left="4" w:hanging="4"/>
        <w:spacing w:after="0" w:line="260" w:lineRule="auto"/>
        <w:tabs>
          <w:tab w:leader="none" w:pos="2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of this Agreement or any other Loan Documents or the rights or remedies (taken as a whole) of the Administrative Agent and the Lenders thereunder.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Disposition</w:t>
      </w:r>
      <w:r>
        <w:rPr>
          <w:rFonts w:ascii="Times New Roman" w:cs="Times New Roman" w:eastAsia="Times New Roman" w:hAnsi="Times New Roman"/>
          <w:sz w:val="18"/>
          <w:szCs w:val="18"/>
          <w:color w:val="auto"/>
        </w:rPr>
        <w:t>” has the meaning assigned to such term in the definition of “Consolidated EBITDA”.</w:t>
      </w:r>
    </w:p>
    <w:p>
      <w:pPr>
        <w:spacing w:after="0" w:line="225"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Domestic Subsidiary</w:t>
      </w:r>
      <w:r>
        <w:rPr>
          <w:rFonts w:ascii="Times New Roman" w:cs="Times New Roman" w:eastAsia="Times New Roman" w:hAnsi="Times New Roman"/>
          <w:sz w:val="18"/>
          <w:szCs w:val="18"/>
          <w:color w:val="auto"/>
        </w:rPr>
        <w:t xml:space="preserve">” means each Domestic Subsidiary (i) which, as of the most recent fiscal quarter of the TopCo Borrower, for the period of four consecutive fiscal quarters then ended,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(or, if prior to the date of the delivery of the first financial statements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the most recent financial statements referred to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contributed greater than 5.0% of Consolidated EBITDA for such period or (ii) which contributed greater than 5.0% of Consolidated Total Assets as of the last day of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 aggregate amount of Consolidated EBITDA or Consolidated Total Assets attributable to all Domestic Subsidiaries that are not Material Domestic Subsidiaries exceeds 10.0% of Consolidated EBITDA for any such period or 10.0% of Consolidated Total Assets as of the end of any such fiscal quarter, the U.S. Borrower shall designate sufficient Domestic Subsidiaries as “Material Domestic Subsidiaries” to eliminate such excess, and such designated Subsidiaries shall for all purposes of this Agreement constitute Material Domestic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Domestic Subsidiary that is a Subsidiary of the TopCo Borrower and beneficially</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owns, directly or indirectly, any Equity Interests of the U.S. Borrower shall be deemed to be a Material Domestic Subsidiary.</w:t>
      </w:r>
    </w:p>
    <w:p>
      <w:pPr>
        <w:spacing w:after="0" w:line="22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Foreign Subsidiary</w:t>
      </w:r>
      <w:r>
        <w:rPr>
          <w:rFonts w:ascii="Times New Roman" w:cs="Times New Roman" w:eastAsia="Times New Roman" w:hAnsi="Times New Roman"/>
          <w:sz w:val="18"/>
          <w:szCs w:val="18"/>
          <w:color w:val="auto"/>
        </w:rPr>
        <w:t xml:space="preserve">” means each Foreign Subsidiary which, as of the most recent fiscal quarter of the TopCo Borrower, for the period of four consecutive fiscal quarters then ended,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(or, if prior to the date of the delivery of the first financial statements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the most recent financial statements referred to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(a) contributed greater than 5.0% of Consolidated EBITDA for such period or (b) contributed greater than 5.0% of Consolidated Total Assets as of the last day of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 aggregate amount of Consolidated EBITDA or Consolidated Total Assets attributable to all Foreign Subsidiaries that are not Material Foreign Subsidiaries exceeds 10.0% of Consolidated EBITDA for any such period or 10.0% of Consolidated Total Assets as of the end of any such fiscal quarter, the U.S. Borrower shall designate sufficient Foreign Subsidiaries as “Material Foreign Subsidiaries” to eliminate such excess, and such designated Subsidiaries shall for all purposes of this Agreement constitute Material Foreign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Foreign Subsidiary that is a Subsidiary of the TopCo Borrower and beneficially owns, directly or indirectly, any Equity Interests of the U.S. Borrower shall be deemed to be a Material Foreign Subsidiary.</w:t>
      </w:r>
    </w:p>
    <w:p>
      <w:pPr>
        <w:spacing w:after="0" w:line="194"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any intercompany Indebtedness solely between or among the TopCo Borrower and its Restricted Subsidiaries), or obligations in respect of one or more Swap Agreements, of any one or more of the TopCo Borrower and its Restricted Subsidiaries in an aggregate principal amount exceeding $75,000,000. For purposes of determining Material Indebtedness, the “principal amount” of the obligations of the TopCo Borrower or any Restricted Subsidiary in respect of any Swap Agreement at any time shall be the maximum aggregate amount (giving effect to any netting agreements) that the TopCo Borrower or such Restricted Subsidiary would be required to pay if such Swap Agreement were terminated at such time.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Irish Subsidiary</w:t>
      </w:r>
      <w:r>
        <w:rPr>
          <w:rFonts w:ascii="Times New Roman" w:cs="Times New Roman" w:eastAsia="Times New Roman" w:hAnsi="Times New Roman"/>
          <w:sz w:val="18"/>
          <w:szCs w:val="18"/>
          <w:color w:val="auto"/>
        </w:rPr>
        <w:t>” means any Irish Subsidiary that is a Material Foreign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Material Domestic Subsidiary or a Material Foreign Subsidiary.</w:t>
      </w:r>
    </w:p>
    <w:p>
      <w:pPr>
        <w:spacing w:after="0" w:line="225"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Materially Adverse Amendment</w:t>
      </w:r>
      <w:r>
        <w:rPr>
          <w:rFonts w:ascii="Times New Roman" w:cs="Times New Roman" w:eastAsia="Times New Roman" w:hAnsi="Times New Roman"/>
          <w:sz w:val="18"/>
          <w:szCs w:val="18"/>
          <w:color w:val="auto"/>
        </w:rPr>
        <w:t xml:space="preserve">” means a modification, amendment or waiver to or of the terms or conditions of the Acquisition Documents compared to the terms and conditions that are included in the Scheme Press Release and executed Acquisition Agreement (as in effect on November 18, 2025) which (when taken as a whole and having regard to the Transactions as a whole) is materially adverse to the interests of the Lenders (taken as a whole)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modification, amendment or waiver (including the treatment of a condition as having been satisfied) (i) that changes the purchase price in connection with the Target Acquisition, so long as (A) any increase in the purchase price is either (x) no greater than 10% of the purchase price set forth in the Acquisition Documents (as in effect on November 18, 2025) or (y) not funded with additional Indebtedness and (B) any reduction in the purchase price is no greater than 10% of the purchase price set forth in the Acquisition Documents (as in effect on November 18, 2025), (ii) that is required or requested pursuant to the Takeover Rules or by a court of competent jurisdiction, any other applicable law, regulation or regulatory body or the Panel (including any refusal by the Panel to allow the invocation of a condition) or reasonably determined by the TopCo Borrower as being necessary or desirable to comply with any of the foregoing requirements or requests, (iii) reducing the Acceptance Condition to not less than the Minimum Acceptance Level, (iv) in the case of an Offer, that is an extension or reduction of the period in which holders of the Target Shares may accept the Offer (other than an extension beyond 81 days from the date on which the Offer Documents are issued) or in the case of a Scheme, that is an adjournment or change to the date of the Court Meeting or General Meeting, (v) necessary to effect the switch from a Scheme to an Offer (or vice versa), (vi) in respect of or relating to a term or condition to the Target Acquisition which the TopCo Borrower reasonably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55" w:name="page56"/>
    <w:bookmarkEnd w:id="55"/>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believes that it would not be entitled, in accordance with Rule 13.3(a) of the Takeover Rules, to invoke so as to cause the Target Acquisition not to proceed, to lapse or be withdrawn provided that the other conditions to the Target Acquisition have been, or will contemporaneously be, satisfied or waived, or (vii) contemplated by, or otherwise permitted under the terms of this Agreement or any other Loan Documents in each case, shall not be a Materially Adverse Amendment. In the case of an Offer, if the TopCo Borrower or any person acting in concert with the TopCo Borrower (within the meaning of the Takeover Rules) makes a statement that the TopCo Borrower has waived any conditions to the Offer, such waiver shall be considered to be a voluntary waiver for the purposes of this definition and not a requirement of the Takeover Rules or the Panel.</w:t>
      </w:r>
    </w:p>
    <w:p>
      <w:pPr>
        <w:spacing w:after="0" w:line="18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(a) with respect to the Initial Tranche A Term Facility, the date that is five (5) years after the Closing Date, (b) with respect to the Initial Tranche B Term Facility, the date that is five and a half (5.5) years after the Closing Date, (c) with respect to any Class of Incremental Loans or Incremental Revolving Commitments, the final maturity date as specified in the applicable Incremental Amendment, (d) with respect to any Class of Extended Term Loans, the final maturity date as specified in the applicable Extension Request accepted by the respective Lender or Lenders and (e) with respect to any Class of Refinancing Term Loans, the final maturity date as specified in the applicable Refinancing Facility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date is not a Business Day, the Maturity Date shall be the immediately preceding Business Day.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Acceptance Level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each mortgage, charge, deed of trust or other agreement which conveys or evidences a Lien in favor of the Administrative Agent, for the benefit of the Administrative Agent and the Secured Parties, on real property of a Loan Party, including any amendment, restatement, modification or supplement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xml:space="preserve">” means any real property that is the subject of a Mortgage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Instruments</w:t>
      </w:r>
      <w:r>
        <w:rPr>
          <w:rFonts w:ascii="Times New Roman" w:cs="Times New Roman" w:eastAsia="Times New Roman" w:hAnsi="Times New Roman"/>
          <w:sz w:val="18"/>
          <w:szCs w:val="18"/>
          <w:color w:val="auto"/>
        </w:rPr>
        <w:t>” means such title reports, ALTA title insurance policies (with commercially reasonable endorsements), evidence of zoning compliance, property insurance, flood certifications and flood insurance (and, if applicable FEMA form acknowledgements of insurance), commercially reasonable opinions of counsel, ALTA surveys, appraisals, environmental assessments and reports, mortgage tax affidavits, if applicable and other similar information and related certifications as are requested by, and in form and substance reasonably acceptable to, the Administrative Agent from time to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cash insurance proceeds and (iii) in the case of a condemnation or similar event, cash condemnation awards and similar cash payments, net of (b) the sum of (i) all reasonable fees and out-of-pocket expenses and underwriting discounts and commissions paid to third parties (other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6" w:name="page57"/>
    <w:bookmarkEnd w:id="56"/>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Affiliates) in connection with such event, (ii) in the case of a sale, transfer or other disposition of an asset (including pursuant to a Sale and Leaseback Transaction or a casualty event or a condemnation or similar proceeding), the amount of all payments required to be made as a result of such event to repay Indebtedness (other than Loans and Incremental Equivalent Debt (or Permitted Refinancing Indebtedness in respect thereof))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Incremental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Incremental Term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would be less than 0.00%, such rate shall be deemed to be 0.00%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TopCo Borrower and the other Loan Parties (including the U.S. Borrower and the U.S. Co-Borrower) to any of the Lenders, the Administrative Agent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instruments at any time evidencing any thereof.</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means a contractual takeover offer made by the TopCo Borrower for all of the Target Shares other than any Target Shares that at the date of the offer are already held by the TopCo Borrower on the terms contained in the Offer Documents (as those Offer Documents may from time to time be amended in accordance with the terms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Conversion Notice</w:t>
      </w:r>
      <w:r>
        <w:rPr>
          <w:rFonts w:ascii="Times New Roman" w:cs="Times New Roman" w:eastAsia="Times New Roman" w:hAnsi="Times New Roman"/>
          <w:sz w:val="18"/>
          <w:szCs w:val="18"/>
          <w:color w:val="auto"/>
        </w:rPr>
        <w:t xml:space="preserve">” has the meaning given to that term in </w:t>
      </w:r>
      <w:r>
        <w:rPr>
          <w:rFonts w:ascii="Times New Roman" w:cs="Times New Roman" w:eastAsia="Times New Roman" w:hAnsi="Times New Roman"/>
          <w:sz w:val="18"/>
          <w:szCs w:val="18"/>
          <w:u w:val="single" w:color="auto"/>
          <w:color w:val="auto"/>
        </w:rPr>
        <w:t>Section 5.11(a)(vii)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7" w:name="page58"/>
    <w:bookmarkEnd w:id="57"/>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means the Offer Press Release and the offer document to be sent by the TopCo Borrower and/ or Target to the holders of Target Shares (and which may form part of the proxy statement sent by the Target to its shareholders).</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Press Release</w:t>
      </w:r>
      <w:r>
        <w:rPr>
          <w:rFonts w:ascii="Times New Roman" w:cs="Times New Roman" w:eastAsia="Times New Roman" w:hAnsi="Times New Roman"/>
          <w:sz w:val="18"/>
          <w:szCs w:val="18"/>
          <w:color w:val="auto"/>
        </w:rPr>
        <w:t>” means the press release announcing, in compliance with Rule 2.7 of the Takeover Rules, a firm intention to make an offer for the Target which is to be implemented by way of an Offer following service of an Offer Conversion Notice.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Unconditional Date</w:t>
      </w:r>
      <w:r>
        <w:rPr>
          <w:rFonts w:ascii="Times New Roman" w:cs="Times New Roman" w:eastAsia="Times New Roman" w:hAnsi="Times New Roman"/>
          <w:sz w:val="18"/>
          <w:szCs w:val="18"/>
          <w:color w:val="auto"/>
        </w:rPr>
        <w:t>” means the date on which the Offer becomes or is declared unconditional in all respects.</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Panel</w:t>
      </w:r>
      <w:r>
        <w:rPr>
          <w:rFonts w:ascii="Times New Roman" w:cs="Times New Roman" w:eastAsia="Times New Roman" w:hAnsi="Times New Roman"/>
          <w:sz w:val="18"/>
          <w:szCs w:val="18"/>
          <w:color w:val="auto"/>
        </w:rPr>
        <w:t>” means the Irish Takeover Panel.</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Indebtedness</w:t>
      </w:r>
      <w:r>
        <w:rPr>
          <w:rFonts w:ascii="Times New Roman" w:cs="Times New Roman" w:eastAsia="Times New Roman" w:hAnsi="Times New Roman"/>
          <w:sz w:val="18"/>
          <w:szCs w:val="18"/>
          <w:color w:val="auto"/>
        </w:rPr>
        <w:t>” means Incremental Equivalent Debt secured by Liens on the Collateral that rank pari passu with the Liens securing the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of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any Acquisition (but excluding in any event a Hostile Acquisition) if, at the time of and immediately after giving effect thereto, (a) no Event of Default has occurred and is continuing or would arise immediately after giving effect (including giving effect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basis) thereto, (b) the business of the Person whose Equity Interests are being acquired or the division or line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8" w:name="page59"/>
    <w:bookmarkEnd w:id="58"/>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being acquired or relating to the assets acquired would be permitted under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(c) all actions required to be taken with respect to such acquired or newly formed Subsidiary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shall have been taken or will be taken within the periods permitted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(d) if the aggregate Acquisition Consideration in respect of such Acquisition exceeds $50,000,000, the U.S. Borrower shall have delivered to the Administrative Agent a certificate of a Financial Officer of the U.S. Borrower, in a form reasonably satisfactory to the Administrative Agent, certifying that the applicable requirements set forth in this definition have been satisfied with respect to such Acquisition, (e) in the case of an Acquisition involving the TopCo Borrower, the TopCo Borrower is the surviving entity of any applicable merger and/or consolidation, in the case of an Acquisition involving the U.S. Borrower, the U.S. Borrower is the surviving entity of any applicable merger and/or consolidation and in the case of an Acquisition involving a Subsidiary Guarantor, a Subsidiary Guarantor is the surviving entity of any applicable merger and/or consolidation, (f) the aggregate Acquisition Consideration (other than any portion of such Acquisition made in reliance on </w:t>
      </w:r>
      <w:r>
        <w:rPr>
          <w:rFonts w:ascii="Times New Roman" w:cs="Times New Roman" w:eastAsia="Times New Roman" w:hAnsi="Times New Roman"/>
          <w:sz w:val="18"/>
          <w:szCs w:val="18"/>
          <w:u w:val="single" w:color="auto"/>
          <w:color w:val="auto"/>
        </w:rPr>
        <w:t>Section 6.05(z)</w:t>
      </w:r>
      <w:r>
        <w:rPr>
          <w:rFonts w:ascii="Times New Roman" w:cs="Times New Roman" w:eastAsia="Times New Roman" w:hAnsi="Times New Roman"/>
          <w:sz w:val="18"/>
          <w:szCs w:val="18"/>
          <w:color w:val="auto"/>
        </w:rPr>
        <w:t xml:space="preserve">) paid in respect of any such Acquisition of a Person that does not become a Loan Party or of assets which are not owned by a Loan Party, when taken together with the aggregate Acquisition Consideration (other than any portion of such Acquisitions made in reliance on </w:t>
      </w:r>
      <w:r>
        <w:rPr>
          <w:rFonts w:ascii="Times New Roman" w:cs="Times New Roman" w:eastAsia="Times New Roman" w:hAnsi="Times New Roman"/>
          <w:sz w:val="18"/>
          <w:szCs w:val="18"/>
          <w:u w:val="single" w:color="auto"/>
          <w:color w:val="auto"/>
        </w:rPr>
        <w:t>Section 6.05(z)</w:t>
      </w:r>
      <w:r>
        <w:rPr>
          <w:rFonts w:ascii="Times New Roman" w:cs="Times New Roman" w:eastAsia="Times New Roman" w:hAnsi="Times New Roman"/>
          <w:sz w:val="18"/>
          <w:szCs w:val="18"/>
          <w:color w:val="auto"/>
        </w:rPr>
        <w:t>) paid in respect of all other similar Acquisitions made in reliance on this clause (f), does not exceed the greater of $105,250,000 and 25% of Consolidated EBITDA for the most recently ended Test Period and</w:t>
      </w:r>
    </w:p>
    <w:p>
      <w:pPr>
        <w:spacing w:after="0" w:line="2" w:lineRule="exact"/>
        <w:rPr>
          <w:sz w:val="20"/>
          <w:szCs w:val="20"/>
          <w:color w:val="auto"/>
        </w:rPr>
      </w:pPr>
    </w:p>
    <w:p>
      <w:pPr>
        <w:ind w:left="4" w:right="20" w:hanging="4"/>
        <w:spacing w:after="0" w:line="260" w:lineRule="auto"/>
        <w:tabs>
          <w:tab w:leader="none" w:pos="2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Initial Tranche A Term Loans are outstanding at such time, the TopCo Borrower will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Covenants.</w:t>
      </w:r>
    </w:p>
    <w:p>
      <w:pPr>
        <w:spacing w:after="0" w:line="181"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 Transaction</w:t>
      </w:r>
      <w:r>
        <w:rPr>
          <w:rFonts w:ascii="Times New Roman" w:cs="Times New Roman" w:eastAsia="Times New Roman" w:hAnsi="Times New Roman"/>
          <w:sz w:val="18"/>
          <w:szCs w:val="18"/>
          <w:color w:val="auto"/>
        </w:rPr>
        <w:t xml:space="preserve">” means any call or capped call option (or substantively equivalent derivative transaction) relating to the TopCo Borrower’s common stock (or other securities or property following a merger event, reclassification or other change of the common stock of the TopCo Borrower) that is (A) purchased or otherwise entered into by the TopCo Borrower in connection with the issuance of any Permitted Convertible Debt, (B) settled in common stock of the TopCo Borrower (or such other securities or property), cash or a combination thereof (such amount of cash determined by reference to the price of the TopCo Borrower’s common stock or such other securities or property), and cash in lieu of fractional shares of common stock of the TopCo Borrower and (C) on terms and conditions customary for bond hedge transactions in respect of transactions related to public market convertible indebtedness (pursuant to a public offering or an offering under Rule 144A or Regulation S of the Securities Act) as reasonably determined by the U.S.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purchase price for such Permitted Bond Hedge Transaction, less the proceeds received by the TopCo Borrower from the sale of any related Permitted Warrant Transaction (or in the case of capped calls, where such proceeds are not received but are reflected in a reduction of the premium), does not result in the incurrence of additional Indebtedness by the TopCo Borrower (other than Indebtedness from the issuance of Permitted Convertible Debt in connection with such Permitted Bond Hedge Transaction).</w:t>
      </w:r>
    </w:p>
    <w:p>
      <w:pPr>
        <w:spacing w:after="0" w:line="192" w:lineRule="exact"/>
        <w:rPr>
          <w:sz w:val="20"/>
          <w:szCs w:val="20"/>
          <w:color w:val="auto"/>
        </w:rPr>
      </w:pPr>
    </w:p>
    <w:p>
      <w:pPr>
        <w:jc w:val="both"/>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Debt</w:t>
      </w:r>
      <w:r>
        <w:rPr>
          <w:rFonts w:ascii="Times New Roman" w:cs="Times New Roman" w:eastAsia="Times New Roman" w:hAnsi="Times New Roman"/>
          <w:sz w:val="18"/>
          <w:szCs w:val="18"/>
          <w:color w:val="auto"/>
        </w:rPr>
        <w:t xml:space="preserve">” means senior Indebtedness issued by the TopCo Borrower, the U.S. Borrower, the U.S. Co-Borrower or a Subsidiary Guarantor having a feature which entitles the holder thereof to convert or exchange all or a portion of such Indebtedness into Equity Interests of the TopCo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Permitted Convertible Debt shall be unsecured, (ii) such Permitted Convertible Debt is not guaranteed by any Subsidiary of the TopCo Borrower other than the U.S. Borrower, the U.S. Co-Borrower and the Subsidiary Guarantors, (iii) Permitted Convertible Debt shall not include any financial maintenance covenants and shall only include covenants and defaults that are customary for public market convertible indebtedness (pursuant to a public offering or an offering under Rule 144A or Regulation S of the Securities Act), as determined by the U.S. Borrower in its good faith judgment, (iv) no Event of Default shall have occurred and be continuing at the time of incurrence of such Permitted Convertible Debt or would immediately result therefrom and (v) such Permitted Convertible Debt shall not mature, and is otherwise not subject to any mandatory prepayment, redemption, defeasance, scheduled amortization or other scheduled payments of principal, in each case prior to the date that is 91 days after the Maturity Date (it being understood that no provision requiring an offer to purchase such Permitted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70"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Convertible Debt as a result of a change of control, asset sale or other fundamental change shall violate the foregoing restriction).</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 xml:space="preserve">(a)   Liens imposed by law for Taxes that are not yet due and payable or that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 xml:space="preserve"> and Liens for unpaid utility charges;</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(b)   carriers’, warehousemen’s, mechanics’, materialmen’s, repairmen’s, supplier’s, construction contractors’, airports’, navigation authority’s and other like Liens imposed by law, arising in the ordinary course of business and securing obligations that are not overdue by more than 60 days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(c)   pledges and deposits made in the ordinary course of business in connection with workers’ compensation, unemployment insurance and other social security or retirement benefits laws, to secure liability to insurance carriers under insurance of self-insurance arrangements or regulations or employment laws or to secure other public, statutory or regulatory regulations;</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(d)   pledges and deposits to secure the performance of bids, trade contracts, government contracts, leases, statutory obligations, customer deposit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(e)   (i) judgment Liens in respect of judgments that do not constitute an Event of Default under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 xml:space="preserve"> or (ii) Liens securing appeal or surety bonds related to such judgments;</w:t>
      </w:r>
    </w:p>
    <w:p>
      <w:pPr>
        <w:spacing w:after="0" w:line="159" w:lineRule="exact"/>
        <w:rPr>
          <w:sz w:val="20"/>
          <w:szCs w:val="20"/>
          <w:color w:val="auto"/>
        </w:rPr>
      </w:pPr>
    </w:p>
    <w:p>
      <w:pPr>
        <w:jc w:val="both"/>
        <w:ind w:right="20" w:firstLine="551"/>
        <w:spacing w:after="0" w:line="263" w:lineRule="auto"/>
        <w:rPr>
          <w:sz w:val="20"/>
          <w:szCs w:val="20"/>
          <w:color w:val="auto"/>
        </w:rPr>
      </w:pPr>
      <w:r>
        <w:rPr>
          <w:rFonts w:ascii="Times New Roman" w:cs="Times New Roman" w:eastAsia="Times New Roman" w:hAnsi="Times New Roman"/>
          <w:sz w:val="19"/>
          <w:szCs w:val="19"/>
          <w:color w:val="auto"/>
        </w:rPr>
        <w:t>(f)   easements, zoning restrictions, rights-of-way, rights of others for, licenses, rights-of-way, servitudes, sewers, electric lines, drains, telegraph and telephone and cable television lines, gas and oil pipelines and other similar purposes, reservations of rights or zoning, building codes and similar restrictions, charges or encumbrances on real property recorded in public record, imposed by law or arising in the ordinary course of business that do not secure any monetary obligations and do not prohibit the insurability of the affected property or materially interfere with the ordinary conduct of business of the TopCo Borrower and its Restricted Subsidiaries, taken as a whole;</w:t>
      </w:r>
    </w:p>
    <w:p>
      <w:pPr>
        <w:spacing w:after="0" w:line="16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(g)   leases, licenses and sublicenses, or subleases granted (i) to others in the ordinary course of business and on ordinary commercial terms that do not materially adversely interfere with the conduct of the business of the TopCo Borrower and its Restricted Subsidiaries as conducted at the time granted, taken as a whole or (ii) between or among any of the Loan Parties or any of their Restricted Subsidiaries;</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(h)   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(i)   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65" w:right="439" w:bottom="1440" w:gutter="0" w:footer="0" w:header="0"/>
        </w:sectPr>
      </w:pPr>
    </w:p>
    <w:bookmarkStart w:id="60" w:name="page61"/>
    <w:bookmarkEnd w:id="60"/>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    Liens in favor of customs and revenue authorities arising as a matter of law to secure payment of customs duties in connection with the importation of goods in the ordinary course of business so long as such Liens only cover the related goods;</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(k)    Liens encumbering reasonable customary initial deposits and margin deposits and similar Liens attaching to commodity trading accounts or other brokerage accounts incurred in the ordinary course of business and not for speculative purposes;</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(l)    any interest or title of a landlord, lessor or sublessor under any lease of real estate or any Lien affecting solely the interest of the landlord, lessor or sublessor ;</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(m)    purported Liens evidenced by the filing of precautionary UCC financing statements or similar filings relating to operating leases of personal property entered into by the TopCo Borrower or any of its Restricted Subsidiaries in the ordinary course of business;</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(n)    any interest or title of a licensor under any license or sublicense entered into by the TopCo Borrower or any Restricted Subsidiary as a licensee or sublicensee (i) existing on the Closing Date or (ii) in the ordinary course of its business;</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(o)    with respect to any real property, immaterial title defects or irregularities that do not, individually or in the aggregate, materially impair the use of such real property;</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(p)      any zoning, building or similar laws or rights reserved to or vested in any Governmental Authority; and</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(q)    any state of facts a guaranteed current survey of any real property would show that do not prohibit the insurability of the affected property or materially interfere with the ordinary conduct of business of the TopCo Borrower and its Restricted Subsidiaries, taken as a whole;</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 (other than clauses (d), (e) and</w:t>
      </w:r>
    </w:p>
    <w:p>
      <w:pPr>
        <w:spacing w:after="0" w:line="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w:t>
      </w:r>
    </w:p>
    <w:p>
      <w:pPr>
        <w:spacing w:after="0" w:line="194" w:lineRule="exact"/>
        <w:rPr>
          <w:sz w:val="20"/>
          <w:szCs w:val="20"/>
          <w:color w:val="auto"/>
        </w:rPr>
      </w:pPr>
    </w:p>
    <w:p>
      <w:pPr>
        <w:jc w:val="both"/>
        <w:ind w:left="4" w:firstLine="551"/>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 Amount</w:t>
      </w:r>
      <w:r>
        <w:rPr>
          <w:rFonts w:ascii="Times New Roman" w:cs="Times New Roman" w:eastAsia="Times New Roman" w:hAnsi="Times New Roman"/>
          <w:sz w:val="19"/>
          <w:szCs w:val="19"/>
          <w:color w:val="auto"/>
        </w:rPr>
        <w:t xml:space="preserve">” means, with respect to any Indebtedness being refinanced, an amount equal to (a) any accrued and unpaid interest on such refinanced Indebtedness,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amount of any reasonable tender or redemption premium paid thereof or any penalty or premium required to be paid under the terms of the instrument or documents governing such refinanced Indebtedness, </w:t>
      </w:r>
      <w:r>
        <w:rPr>
          <w:rFonts w:ascii="Times New Roman" w:cs="Times New Roman" w:eastAsia="Times New Roman" w:hAnsi="Times New Roman"/>
          <w:sz w:val="19"/>
          <w:szCs w:val="19"/>
          <w:u w:val="single" w:color="auto"/>
          <w:color w:val="auto"/>
        </w:rPr>
        <w:t>plus</w:t>
      </w:r>
    </w:p>
    <w:p>
      <w:pPr>
        <w:ind w:left="4" w:right="20" w:hanging="4"/>
        <w:spacing w:after="0" w:line="246" w:lineRule="auto"/>
        <w:tabs>
          <w:tab w:leader="none" w:pos="27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reasonable costs, fees and expenses incurred in connection with the issuance of the refinancing Indebtedness and the refinancing of such refinanced Indebtedness.</w:t>
      </w:r>
    </w:p>
    <w:p>
      <w:pPr>
        <w:spacing w:after="0" w:line="182"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means any Indebtedness issued in exchange for, or the net proceeds of which are used to extend, refinance, renew, replace, defease or refund (collectively, to “</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xml:space="preserve">”), the Indebtedness being Refinanced (or previous refinancings thereof constituting Permitted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Indebtedness shall constitute Permitted Refinancing Indebtedness only to the extent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Permitted Refinancing Amount), (b) (i) the Weighted Average Life to Maturity of such Permitted Refinancing Indebtedness is not shorter than the remaining Weighted Average Life To Maturity of the Indebtedness being Refinanced, (ii) the maturity of such Permitted Refinancing Indebtedness is not earlier than the earlier of the stated maturity of the Indebtedness being Refinanced and the Latest Maturity Date applicable to any existing Class of Term Loans and (iii) such Permitted Refinancing Indebtedness is not subject to any mandatory prepayment, redemption, defeasance,</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65" w:right="439" w:bottom="1440" w:gutter="0" w:footer="0" w:header="0"/>
        </w:sectPr>
      </w:pPr>
    </w:p>
    <w:bookmarkStart w:id="61" w:name="page62"/>
    <w:bookmarkEnd w:id="61"/>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scheduled amortization or other scheduled payments of principal, in each case prior to the earlier of the stated maturity of the Indebtedness being Refinanced and the Latest Maturity Date applicable to any existing Class of Term Loans (it being understood that no provision requiring an offer to purchase such Indebtedness as a result of change of control or asset sale or other fundamental change shall violate the foregoing restriction), (c) if the Indebtedness being Refinanced is subordinated in right of payment to the Obligations or any Guarantees thereof, such Permitted Refinancing Indebtedness shall be subordinated in right of payment to such Obligations or such Guarantees on terms at least as favorable to the Lenders as those contained in the documentation governing the Indebtedness being Refinanced as determined by the U.S. Borrower in its good faith judgment, (d) no Permitted Refinancing Indebtedness shall have different obligors, or greater guarantees or security, than the Indebtedness being Refinanced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Indebtedness (a) of any Loan Party may be Refinanced to add or substitute as an obligor another Loan Party and (b) of any Restricted Subsidiary that is not a Loan Party may be Refinanced to add or substitute as an obligor another Restricted Subsidiary that is not a Loan Party, in each case to the extent then permitted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(ii) other guarantees and security may be added to the extent then permitted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and (e) if the Indebtedness being Refinanced is secured by any Collateral (whether equally and ratably with, or junior to, the Secured Parties or otherwise), such Permitted Refinancing Indebtedness may be secured by such Collateral (including any collateral pursuant to after-acquired property clauses to the extent any such collateral would have secured the Indebtedness being Refinanced) on terms not materially less favorable to the Secured Parties than those contained in the documentation (including any intercreditor agreement) governing the Indebtedness being Refinanced, as determined in good faith by the U.S. Borrower.</w:t>
      </w:r>
    </w:p>
    <w:p>
      <w:pPr>
        <w:spacing w:after="0" w:line="19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Warrant Transaction</w:t>
      </w:r>
      <w:r>
        <w:rPr>
          <w:rFonts w:ascii="Times New Roman" w:cs="Times New Roman" w:eastAsia="Times New Roman" w:hAnsi="Times New Roman"/>
          <w:sz w:val="20"/>
          <w:szCs w:val="20"/>
          <w:color w:val="auto"/>
        </w:rPr>
        <w:t>” means any call option, warrant or right to purchase (or substantively equivalent derivative transaction) relating to the TopCo Borrower’s common stock (or other securities or property following a merger event, reclassification or other change of the common stock of the TopCo Borrower) sold by the TopCo Borrower, substantially concurrently with any purchase by the TopCo Borrower of a Permitted Bond Hedge Transaction and settled in common stock of the TopCo Borrower, cash or a combination thereof (such amount of cash determined by reference to the price of the TopCo Borrower’s common stock or such other securities or property), and cash in lieu of fractional shares of common stock of the TopCo Borrower, with a strike price higher than the strike price of the Permitted Bond Hedge Transaction.</w:t>
      </w:r>
    </w:p>
    <w:p>
      <w:pPr>
        <w:spacing w:after="0" w:line="18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Planned Expenditures</w:t>
      </w:r>
      <w:r>
        <w:rPr>
          <w:rFonts w:ascii="Times New Roman" w:cs="Times New Roman" w:eastAsia="Times New Roman" w:hAnsi="Times New Roman"/>
          <w:sz w:val="20"/>
          <w:szCs w:val="20"/>
          <w:color w:val="auto"/>
        </w:rPr>
        <w:t>” has the meaning given to such term in the definition of “Excess Cash Flow”.</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means 29 CFR § 2510.3-101, as modified by Section 3(42) of ERISA, as amended from time to time.</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Subsidiary</w:t>
      </w:r>
      <w:r>
        <w:rPr>
          <w:rFonts w:ascii="Times New Roman" w:cs="Times New Roman" w:eastAsia="Times New Roman" w:hAnsi="Times New Roman"/>
          <w:sz w:val="20"/>
          <w:szCs w:val="20"/>
          <w:color w:val="auto"/>
        </w:rPr>
        <w:t>” means (i) each Domestic Subsidiary, (ii) each Irish Subsidiary and (iii) each First Tier Foreign Subsidiary (other than an Irish Subsidiary) which is a Material Foreign Subsidiary.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65" w:right="439" w:bottom="1440" w:gutter="0" w:footer="0" w:header="0"/>
        </w:sectPr>
      </w:pPr>
    </w:p>
    <w:bookmarkStart w:id="62" w:name="page63"/>
    <w:bookmarkEnd w:id="62"/>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(a)    any sale, transfer or other Disposition (including pursuant to a Sale and Leaseback Transaction) (or series of related sales, transfers or other Dispositions) of property or assets of the TopCo Borrower or any Restricted Subsidiary (i) pursuant to </w:t>
      </w:r>
      <w:r>
        <w:rPr>
          <w:rFonts w:ascii="Times New Roman" w:cs="Times New Roman" w:eastAsia="Times New Roman" w:hAnsi="Times New Roman"/>
          <w:sz w:val="20"/>
          <w:szCs w:val="20"/>
          <w:u w:val="single" w:color="auto"/>
          <w:color w:val="auto"/>
        </w:rPr>
        <w:t>Section 6.04(j)</w:t>
      </w:r>
      <w:r>
        <w:rPr>
          <w:rFonts w:ascii="Times New Roman" w:cs="Times New Roman" w:eastAsia="Times New Roman" w:hAnsi="Times New Roman"/>
          <w:sz w:val="20"/>
          <w:szCs w:val="20"/>
          <w:color w:val="auto"/>
        </w:rPr>
        <w:t xml:space="preserve"> that yields Net Proceeds equal to or greater than the greater of $15,000,000 and 3.75% of Consolidated EBITDA for the most recently ended Test Period in any single transaction or series of related transactions or (ii) not permitted by this Agreement;</w:t>
      </w:r>
    </w:p>
    <w:p>
      <w:pPr>
        <w:spacing w:after="0" w:line="180"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(b)    any casualty or other insured damage to, or any taking under power of eminent domain or by condemnation or similar proceeding of, any property or asset of the TopCo Borrower or any Restricted Subsidiary with a fair market value immediately prior to such event equal to or greater than the greater of $15,000,000 and 3.75% of Consolidated EBITDA for the most recently ended Test Period in any single transaction or series of related transactions (collectively with clause (a) above, an “</w:t>
      </w:r>
      <w:r>
        <w:rPr>
          <w:rFonts w:ascii="Times New Roman" w:cs="Times New Roman" w:eastAsia="Times New Roman" w:hAnsi="Times New Roman"/>
          <w:sz w:val="20"/>
          <w:szCs w:val="20"/>
          <w:u w:val="single" w:color="auto"/>
          <w:color w:val="auto"/>
        </w:rPr>
        <w:t>Asset Sale/Casualty Event Prepayment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or</w:t>
      </w:r>
    </w:p>
    <w:p>
      <w:pPr>
        <w:spacing w:after="0" w:line="185"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(c)    the issuance or incurrence by the TopCo Borrower or any Restricted Subsidiary of any Indebtedness, other than Loans and other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permitted by the Required Lenders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Press Release</w:t>
      </w:r>
      <w:r>
        <w:rPr>
          <w:rFonts w:ascii="Times New Roman" w:cs="Times New Roman" w:eastAsia="Times New Roman" w:hAnsi="Times New Roman"/>
          <w:sz w:val="20"/>
          <w:szCs w:val="20"/>
          <w:color w:val="auto"/>
        </w:rPr>
        <w:t>” means an Offer Press Release or a Scheme Press Release.</w:t>
      </w:r>
    </w:p>
    <w:p>
      <w:pPr>
        <w:spacing w:after="0" w:line="212"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last quoted by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as the “Prime Rate” in the U.S. or, if </w:t>
      </w:r>
      <w:r>
        <w:rPr>
          <w:rFonts w:ascii="Times New Roman" w:cs="Times New Roman" w:eastAsia="Times New Roman" w:hAnsi="Times New Roman"/>
          <w:sz w:val="20"/>
          <w:szCs w:val="20"/>
          <w:i w:val="1"/>
          <w:iCs w:val="1"/>
          <w:color w:val="auto"/>
        </w:rPr>
        <w:t>The Wall Street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Journal </w:t>
      </w:r>
      <w:r>
        <w:rPr>
          <w:rFonts w:ascii="Times New Roman" w:cs="Times New Roman" w:eastAsia="Times New Roman" w:hAnsi="Times New Roman"/>
          <w:sz w:val="20"/>
          <w:szCs w:val="20"/>
          <w:color w:val="auto"/>
        </w:rPr>
        <w:t>ceases to quote such rate, the highest</w:t>
      </w:r>
      <w:r>
        <w:rPr>
          <w:rFonts w:ascii="Times New Roman" w:cs="Times New Roman" w:eastAsia="Times New Roman" w:hAnsi="Times New Roman"/>
          <w:sz w:val="20"/>
          <w:szCs w:val="20"/>
          <w:i w:val="1"/>
          <w:iCs w:val="1"/>
          <w:color w:val="auto"/>
        </w:rPr>
        <w:t xml:space="preserve"> per annum </w:t>
      </w:r>
      <w:r>
        <w:rPr>
          <w:rFonts w:ascii="Times New Roman" w:cs="Times New Roman" w:eastAsia="Times New Roman" w:hAnsi="Times New Roman"/>
          <w:sz w:val="20"/>
          <w:szCs w:val="20"/>
          <w:color w:val="auto"/>
        </w:rPr>
        <w:t>interest rate published by the Federal Reserve Board in Federal Reserve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claim, litigation, investigation, action, suit, arbitration or administrative, judicial or regulatory action or proceeding in any jurisdiction.</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Products</w:t>
      </w:r>
      <w:r>
        <w:rPr>
          <w:rFonts w:ascii="Times New Roman" w:cs="Times New Roman" w:eastAsia="Times New Roman" w:hAnsi="Times New Roman"/>
          <w:sz w:val="20"/>
          <w:szCs w:val="20"/>
          <w:color w:val="auto"/>
        </w:rPr>
        <w:t>” means any current or future product, drug, controlled substance, controlled substance analogue, listed chemical, active pharmaceutical ingredient, or any other such substance, biologic, or medical device that is researched, formulated, designed, developed, tested, manufactured, owned, packaged, recorded, processed, produced, handled, stored, secured, used, held, possessed, labeled, tested, commercialized, imported, exported, transported, distributed, supplied, promoted, marketed, advertised, disposed, sold or offered for sale by or on behalf of the TopCo Borrower and its Restricted Subsidiaries, including, without limitation, marketed products and products under development.</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Purchasing Borrower Party</w:t>
      </w:r>
      <w:r>
        <w:rPr>
          <w:rFonts w:ascii="Times New Roman" w:cs="Times New Roman" w:eastAsia="Times New Roman" w:hAnsi="Times New Roman"/>
          <w:sz w:val="20"/>
          <w:szCs w:val="20"/>
          <w:color w:val="auto"/>
        </w:rPr>
        <w:t>” means any Borrower or any Restricted Subsidiary.</w:t>
      </w:r>
    </w:p>
    <w:p>
      <w:pPr>
        <w:spacing w:after="0" w:line="216"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65" w:right="439" w:bottom="1440" w:gutter="0" w:footer="0" w:header="0"/>
        </w:sectPr>
      </w:pPr>
    </w:p>
    <w:bookmarkStart w:id="63" w:name="page64"/>
    <w:bookmarkEnd w:id="63"/>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Receivables Purchase Assets</w:t>
      </w:r>
      <w:r>
        <w:rPr>
          <w:rFonts w:ascii="Times New Roman" w:cs="Times New Roman" w:eastAsia="Times New Roman" w:hAnsi="Times New Roman"/>
          <w:sz w:val="20"/>
          <w:szCs w:val="20"/>
          <w:color w:val="auto"/>
        </w:rPr>
        <w:t>” means, in connection with a Receivables Purchase Transaction, (i) accounts receivable, notes receivables and/or other payment intangibles, (ii) interests therein and/or related assets or rights, including any collection accounts with respect thereto and (iii) the proceeds of any of the foregoing.</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Transaction</w:t>
      </w:r>
      <w:r>
        <w:rPr>
          <w:rFonts w:ascii="Times New Roman" w:cs="Times New Roman" w:eastAsia="Times New Roman" w:hAnsi="Times New Roman"/>
          <w:sz w:val="20"/>
          <w:szCs w:val="20"/>
          <w:color w:val="auto"/>
        </w:rPr>
        <w:t>” means an arrangement whereby the TopCo Borrower or any of its Restricted Subsidiaries (including a special purpose subsidiary) sells, on a non-recourse basis, except to the extent customary in a “true sale” arrangement, its accounts receivable in connection with the collection of such accounts receivable in the ordinary course of business.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the Administrative Agent and (b) any Lender, as applicable.</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has the meaning assigned to such term in the definition of Consolidated EBITDA.</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a.m. (Chicago time) on the day that is two U.S. Government Securities Business Days preceding the date of such setting, (2) if the</w:t>
      </w:r>
    </w:p>
    <w:p>
      <w:pPr>
        <w:spacing w:after="0"/>
        <w:rPr>
          <w:sz w:val="20"/>
          <w:szCs w:val="20"/>
          <w:color w:val="auto"/>
        </w:rPr>
      </w:pPr>
      <w:r>
        <w:rPr>
          <w:rFonts w:ascii="Times New Roman" w:cs="Times New Roman" w:eastAsia="Times New Roman" w:hAnsi="Times New Roman"/>
          <w:sz w:val="20"/>
          <w:szCs w:val="20"/>
          <w:color w:val="auto"/>
        </w:rPr>
        <w:t>RFR for such Benchmark is Daily Simple SOFR, then four U.S. Government Securities Business Days prior to such setting or (3) if such</w:t>
      </w:r>
    </w:p>
    <w:p>
      <w:pPr>
        <w:spacing w:after="0"/>
        <w:rPr>
          <w:sz w:val="20"/>
          <w:szCs w:val="20"/>
          <w:color w:val="auto"/>
        </w:rPr>
      </w:pPr>
      <w:r>
        <w:rPr>
          <w:rFonts w:ascii="Times New Roman" w:cs="Times New Roman" w:eastAsia="Times New Roman" w:hAnsi="Times New Roman"/>
          <w:sz w:val="20"/>
          <w:szCs w:val="20"/>
          <w:color w:val="auto"/>
        </w:rPr>
        <w:t>Benchmark is none of the Term SOFR Rate or Daily Simple SOFR, the time determined by the Administrative Agent in its reasonable</w:t>
      </w:r>
    </w:p>
    <w:p>
      <w:pPr>
        <w:spacing w:after="0"/>
        <w:rPr>
          <w:sz w:val="20"/>
          <w:szCs w:val="20"/>
          <w:color w:val="auto"/>
        </w:rPr>
      </w:pPr>
      <w:r>
        <w:rPr>
          <w:rFonts w:ascii="Times New Roman" w:cs="Times New Roman" w:eastAsia="Times New Roman" w:hAnsi="Times New Roman"/>
          <w:sz w:val="20"/>
          <w:szCs w:val="20"/>
          <w:color w:val="auto"/>
        </w:rPr>
        <w:t>discretion.</w:t>
      </w:r>
    </w:p>
    <w:p>
      <w:pPr>
        <w:spacing w:after="0" w:line="19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Facility Agreement</w:t>
      </w:r>
      <w:r>
        <w:rPr>
          <w:rFonts w:ascii="Times New Roman" w:cs="Times New Roman" w:eastAsia="Times New Roman" w:hAnsi="Times New Roman"/>
          <w:sz w:val="20"/>
          <w:szCs w:val="20"/>
          <w:color w:val="auto"/>
        </w:rPr>
        <w:t xml:space="preserve">” means an agreement in form and substance reasonably satisfactory to the Administrative Agent, among the Borrowers, the Administrative Agent and one or more Refinancing Term Lenders, establishing Refinancing Term Loan Commitments and effecting such other amendments hereto and to the other Loan Documents as are contemplated by </w:t>
      </w:r>
      <w:r>
        <w:rPr>
          <w:rFonts w:ascii="Times New Roman" w:cs="Times New Roman" w:eastAsia="Times New Roman" w:hAnsi="Times New Roman"/>
          <w:sz w:val="20"/>
          <w:szCs w:val="20"/>
          <w:u w:val="single" w:color="auto"/>
          <w:color w:val="auto"/>
        </w:rPr>
        <w:t>Section 2.22</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 Commitments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Federal Reserve Board, as in effect from time to time and all official rulings and interpretations thereunder or thereof.</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Federal Reserve Board, as in effect from time to time and all official rulings and interpretations thereunder or thereof.</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3.07(b)(i)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Reinstatement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partners, directors, officers, managers, employees, agents and advisors of such Person and such Person’s Affiliates.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65" w:right="439" w:bottom="1440" w:gutter="0" w:footer="0" w:header="0"/>
        </w:sectPr>
      </w:pPr>
    </w:p>
    <w:bookmarkStart w:id="64" w:name="page65"/>
    <w:bookmarkEnd w:id="64"/>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NYFRB, or a committee officially endorsed or convened by the Federal Reserve Board and/or the NYFRB or, in each case, any successor thereto.</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the Term SOFR Rate or (ii) with respect to any RFR Borrowing, Daily Simple SOFR, as applicable.</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Transaction</w:t>
      </w:r>
      <w:r>
        <w:rPr>
          <w:rFonts w:ascii="Times New Roman" w:cs="Times New Roman" w:eastAsia="Times New Roman" w:hAnsi="Times New Roman"/>
          <w:sz w:val="20"/>
          <w:szCs w:val="20"/>
          <w:color w:val="auto"/>
        </w:rPr>
        <w:t xml:space="preserve">” means (a) any repayment, refinancing, substitution or replacement of all or a portion of the Initial Tranche B Term Loans substantially concurrently with the incurrence by any Loan Party of any secured syndicated term loans (other than a customary bank term loan “A” or customary bank bridge loan) having an Effective Yield that is less than the Effective Yield applicable to the Initial Tranche B Term Loans so prepaid, repaid, refinanced, substituted or replaced and (b) any amendment, waiver or other modification to this Agreement that would have the effect of reducing the Effective Yield applicable to the Initial Tranche B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primary purpose (as determined by the U.S. Borrower in good faith) of such prepayment, repayment, refinancing, substitution, replacement, amendment, waiver or other modification was to reduce the Effective Yield applicable to the Initial Tranche B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no event shall any such prepayment, repayment, refinancing, substitution, replacement, amendment, waiver or other modification in connection with a Change in Control or Transformative Acquisition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spacing w:after="0" w:line="187"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Initial Tranche A Term Lenders</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Initial Tranche A Term Lenders having Initial Tranche A Term Loan Credit Exposures representing more than 50% of the sum of total Initial Tranche A Term Loan Credit Exposures at such time or if no such Initial Tranche A Term Loan Credit Exposures are then outstanding, Initial Tranche A Term Lenders holding more than 50% of the outstanding Initial Tranche A Term Commitments at such time.</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Lenders having Credit Exposures representing more than 50% of the sum of the total Credit Exposures at such time or if no such Credit Exposures are then outstanding, Lenders holding more than 50% of the outstanding Commitments at such time.</w:t>
      </w:r>
    </w:p>
    <w:p>
      <w:pPr>
        <w:spacing w:after="0" w:line="174"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 Negative Consent</w:t>
      </w:r>
      <w:r>
        <w:rPr>
          <w:rFonts w:ascii="Times New Roman" w:cs="Times New Roman" w:eastAsia="Times New Roman" w:hAnsi="Times New Roman"/>
          <w:sz w:val="20"/>
          <w:szCs w:val="20"/>
          <w:color w:val="auto"/>
        </w:rPr>
        <w:t>” means, with respect to any instrument, agreement, term or condition provided for in this Agreement or any other Loan Document, that such instruction, agreement, term or condition has been presented to the Lenders by the Administrative Agent and the same has not been objected to in writing by the Required Lenders within five (5) Business Days following the Administrative Agent’s delivery of notice thereof. Following such five (5) Business Days period without objection by the Required Lenders, the Administrative Agent and the applicable Loan Parties shall be permitted to enter into, execute and deliver such instrument or agreement, and/or such term or condition shall be deemed satisfied, in each case under this Agreement and the other Loan Documents.</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the president, a Financial Officer or other executive officer (or in the case of an Irish Subsidiary, director) of a Loan Party.</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Debt Payment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65" w:right="439" w:bottom="1440" w:gutter="0" w:footer="0" w:header="0"/>
        </w:sectPr>
      </w:pPr>
    </w:p>
    <w:bookmarkStart w:id="65" w:name="page66"/>
    <w:bookmarkEnd w:id="65"/>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Restricted Margin Stock</w:t>
      </w:r>
      <w:r>
        <w:rPr>
          <w:rFonts w:ascii="Times New Roman" w:cs="Times New Roman" w:eastAsia="Times New Roman" w:hAnsi="Times New Roman"/>
          <w:sz w:val="20"/>
          <w:szCs w:val="20"/>
          <w:color w:val="auto"/>
        </w:rPr>
        <w:t xml:space="preserve">” means Margin Stock owned by the TopCo Borrower or any of its Restricted Subsidiaries which represents not more than 25% of the aggregate value (determined in accordance with Regulation U), on a consolidated basis, of the property and assets of the TopCo Borrower and its Restricted Subsidiaries (including any Margin Stock) that is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and the provisions of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4" w:firstLine="551"/>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xml:space="preserve">” means any dividend or other distribution (whether in cash, securities or other property) with respect to any Equity Interests in the TopCo Borrower or any Restricted Subsidiary, or any payment (whether in cash, securities or other property), including any sinking fund or similar deposit, on account of the purchase, redemption, retirement, acquisition, cancellation or termination of any such Equity Interests in the TopCo Borrower or any Restricted Subsidiary or any option, warrant or other similar right to acquire any such Equity Interests in the TopCo Borrower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 that the issuance of, entry into (including any payments of premiums in connection therewith), performance of obligations under, and conversion, exercise, repurchase, redemption, settlement or early termination or cancellation of (whether in whole or in part and including by netting or set-off) (in each case, whether in cash, common stock of the TopCo Borrower or, following a merger event or other change of the common stock of the TopCo Borrower, other securities or property) any Permitted Convertible Debt (subject to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any Permitted Warrant Transactions or any Permitted Bond Hedge Transactions, or the satisfaction of any condition that would permit or require any of the foregoing, including any payment or delivery in connection with a Permitted Warrant Transaction or Permitted Bond Hedge Transaction by (a) delivery of shares of the TopCo Borrower’s common stock upon net share settlement thereof and any related purchase of such common stock required to be made in connection with such delivery, (b) set-off or payment of an early termination payment or similar payment thereunder, in each case, in the TopCo Borrower’s common stock upon any early termination thereof or (c) in the event of cash settlement upon settlement, any payment of a cash settlement or equivalent amount, in each case, shall not constitute a Restricted Payment by the TopCo Borrower and</w:t>
      </w:r>
    </w:p>
    <w:p>
      <w:pPr>
        <w:spacing w:after="0" w:line="10" w:lineRule="exact"/>
        <w:rPr>
          <w:sz w:val="20"/>
          <w:szCs w:val="20"/>
          <w:color w:val="auto"/>
        </w:rPr>
      </w:pPr>
    </w:p>
    <w:p>
      <w:pPr>
        <w:ind w:left="4" w:right="20" w:hanging="4"/>
        <w:spacing w:after="0" w:line="246" w:lineRule="auto"/>
        <w:tabs>
          <w:tab w:leader="none" w:pos="30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or other distribution of Unrestricted Margin Stock by the TopCo Borrower or any of its Restricted Subsidiaries shall not constitute a Restricted Payment by the TopCo Borrower or any of its Restricted Subsidiaries.</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other than an Unrestricted Subsidiary.</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any revolving credit commitment added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Increase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each lender that holds a Revolving Commitment and/or a Revolving Loan.</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means any revolving loan added hereunder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Daily Simple SOFR.</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 division of S&amp;P Global Inc. and any successor thereto.</w:t>
      </w:r>
    </w:p>
    <w:p>
      <w:pPr>
        <w:spacing w:after="0" w:line="216" w:lineRule="exact"/>
        <w:rPr>
          <w:sz w:val="20"/>
          <w:szCs w:val="20"/>
          <w:color w:val="auto"/>
        </w:rPr>
      </w:pPr>
    </w:p>
    <w:p>
      <w:pPr>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sale or other transfer of any property or asset (other than Unrestricted Margin Stock) by any Person with the intent to lease such property or asset as lessee.</w:t>
      </w:r>
    </w:p>
    <w:p>
      <w:pPr>
        <w:spacing w:after="0" w:line="159" w:lineRule="exact"/>
        <w:rPr>
          <w:sz w:val="20"/>
          <w:szCs w:val="20"/>
          <w:color w:val="auto"/>
        </w:rPr>
      </w:pPr>
    </w:p>
    <w:p>
      <w:pPr>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target of comprehensive Sanctions (at the time of this Agreement, the Crimea, so-called Donetsk People’s Republic,</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65" w:right="43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Kherson, so-called Luhansk People’s Republic, and Zaporizhzhia regions of Ukraine, Cuba, Iran and North Korea).</w:t>
      </w:r>
    </w:p>
    <w:p>
      <w:pPr>
        <w:spacing w:after="0" w:line="216"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person with whom or which transactions contemplated are prohibited by Sanctions, including as a result of being (a) listed on any Sanctions-related list, (b) organized, located or a resident in a Sanctioned Country, or (c) 50% or more owned or controlled, individually or in the aggregate, by any such Person or Persons described in the foregoing clauses (a) or (b).</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w:t>
      </w:r>
    </w:p>
    <w:p>
      <w:pPr>
        <w:spacing w:after="0" w:line="22" w:lineRule="exact"/>
        <w:rPr>
          <w:sz w:val="20"/>
          <w:szCs w:val="20"/>
          <w:color w:val="auto"/>
        </w:rPr>
      </w:pPr>
    </w:p>
    <w:p>
      <w:pPr>
        <w:ind w:left="4" w:right="20" w:hanging="4"/>
        <w:spacing w:after="0" w:line="246" w:lineRule="auto"/>
        <w:tabs>
          <w:tab w:leader="none" w:pos="30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 U.S. Department of State or (b) the United Nations Security Council, (c) the European Union, (d) any European Union member state, or (e) His Majesty’s Treasury of the United Kingdom.</w:t>
      </w:r>
    </w:p>
    <w:p>
      <w:pPr>
        <w:spacing w:after="0" w:line="182"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Scheme</w:t>
      </w:r>
      <w:r>
        <w:rPr>
          <w:rFonts w:ascii="Times New Roman" w:cs="Times New Roman" w:eastAsia="Times New Roman" w:hAnsi="Times New Roman"/>
          <w:sz w:val="20"/>
          <w:szCs w:val="20"/>
          <w:color w:val="auto"/>
        </w:rPr>
        <w:t>” means a scheme of arrangement made pursuant to Chapter 1 of Part 9 of the Companies Act to be proposed by the Target to its shareholders substantially on the terms set out in the Scheme Press Release (as such scheme may be amended in accordance with the terms of this Agreement).</w:t>
      </w:r>
    </w:p>
    <w:p>
      <w:pPr>
        <w:spacing w:after="0" w:line="174"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Scheme Circular</w:t>
      </w:r>
      <w:r>
        <w:rPr>
          <w:rFonts w:ascii="Times New Roman" w:cs="Times New Roman" w:eastAsia="Times New Roman" w:hAnsi="Times New Roman"/>
          <w:sz w:val="20"/>
          <w:szCs w:val="20"/>
          <w:color w:val="auto"/>
        </w:rPr>
        <w:t>” means the circular (including any supplemental circular) to the shareholders of the Target issued or to be issued by the Target setting out the proposals for the Scheme and containing the notices of the Court Meeting and the General Meeting (and which may form part of the proxy statement sent by the Target to its shareholders).</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Scheme Documents</w:t>
      </w:r>
      <w:r>
        <w:rPr>
          <w:rFonts w:ascii="Times New Roman" w:cs="Times New Roman" w:eastAsia="Times New Roman" w:hAnsi="Times New Roman"/>
          <w:sz w:val="20"/>
          <w:szCs w:val="20"/>
          <w:color w:val="auto"/>
        </w:rPr>
        <w:t>” means the Scheme Press Release, the Scheme Circular and the Court Order.</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Scheme Effective Date</w:t>
      </w:r>
      <w:r>
        <w:rPr>
          <w:rFonts w:ascii="Times New Roman" w:cs="Times New Roman" w:eastAsia="Times New Roman" w:hAnsi="Times New Roman"/>
          <w:sz w:val="20"/>
          <w:szCs w:val="20"/>
          <w:color w:val="auto"/>
        </w:rPr>
        <w:t>” means the date on which the Scheme becomes effective in accordance with its terms.</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Scheme Press Release</w:t>
      </w:r>
      <w:r>
        <w:rPr>
          <w:rFonts w:ascii="Times New Roman" w:cs="Times New Roman" w:eastAsia="Times New Roman" w:hAnsi="Times New Roman"/>
          <w:sz w:val="20"/>
          <w:szCs w:val="20"/>
          <w:color w:val="auto"/>
        </w:rPr>
        <w:t>” means the press release made by or on behalf of the TopCo Borrower on November 18, 2025, announcing, in compliance with Rule 2.7 of the Takeover Rules, a firm intention to make an offer for the Target Shares which is to be implemented by means of the Scheme.</w:t>
      </w:r>
    </w:p>
    <w:p>
      <w:pPr>
        <w:spacing w:after="0" w:line="174"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Scheme Resolutions</w:t>
      </w:r>
      <w:r>
        <w:rPr>
          <w:rFonts w:ascii="Times New Roman" w:cs="Times New Roman" w:eastAsia="Times New Roman" w:hAnsi="Times New Roman"/>
          <w:sz w:val="20"/>
          <w:szCs w:val="20"/>
          <w:color w:val="auto"/>
        </w:rPr>
        <w:t>” means the resolutions to be considered and voted on at the Court Meeting, as will be set out in the Scheme Circular.</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United States of America or any Governmental Authority succeeding to any of its principal functions.</w:t>
      </w:r>
    </w:p>
    <w:p>
      <w:pPr>
        <w:spacing w:after="0" w:line="159" w:lineRule="exact"/>
        <w:rPr>
          <w:sz w:val="20"/>
          <w:szCs w:val="20"/>
          <w:color w:val="auto"/>
        </w:rPr>
      </w:pPr>
    </w:p>
    <w:p>
      <w:pPr>
        <w:jc w:val="both"/>
        <w:ind w:left="4"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Net Leverage Ratio</w:t>
      </w:r>
      <w:r>
        <w:rPr>
          <w:rFonts w:ascii="Times New Roman" w:cs="Times New Roman" w:eastAsia="Times New Roman" w:hAnsi="Times New Roman"/>
          <w:sz w:val="20"/>
          <w:szCs w:val="20"/>
          <w:color w:val="auto"/>
        </w:rPr>
        <w:t xml:space="preserve">” means the ratio, determined as of the last day of the then most recently ended fiscal quarter for which financial statements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prior to the delivery of any such financial statements, the last day of the last fiscal quarter included in the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of (a) Consolidated Secured Net Indebtedness outstanding, to (b) Consolidated EBITDA for the period of four consecutive fiscal quarters ending with the end of such fiscal quarter, all calculated for the TopCo Borrower and its Restricted Subsidiaries on a consolidated basis.</w:t>
      </w:r>
    </w:p>
    <w:p>
      <w:pPr>
        <w:spacing w:after="0" w:line="185"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Swap Obligations or Banking Services Obligations owing to the Administrative Agent, one or more Lenders or their respective Affiliates (or any Person that was a Lender or an Affiliate of a Lender at the time any such Swap Obligations or Banking Services Obligations were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“Secured Obligations” shall not create or include any guarantee by any Loan Party of (or grant of security interest by any Loan Party to</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6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 as applicable) any Excluded Swap Obligations of such Loan Party for purposes of determining any obligations of any Loan Party.</w:t>
      </w:r>
    </w:p>
    <w:p>
      <w:pPr>
        <w:spacing w:after="0" w:line="227"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the holders of the Secured Obligations from time to time and shall include (i) each Lender in respect of its Loans, (ii) the Administrative Agent and the Lenders in respect of all other present and future obligations and liabilities of the TopCo Borrower and each Restricted Subsidiary of every type and description arising under or in connection with this Agreement or any other Loan Document, (iii) each Lender and Affiliate of such Lender in respect of Swap Agreements and Banking Services Agreements entered into with such Person by the TopCo Borrower or any Restricted Subsidiary, (iv) each indemnified party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 respect of the obligations and liabilities of the Borrowers to such Person hereunder and under the other Loan Documents, and (v) their respective successors and (in the case of a Lender, permitted) transferees and assigns.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 Repurchase Program</w:t>
      </w:r>
      <w:r>
        <w:rPr>
          <w:rFonts w:ascii="Times New Roman" w:cs="Times New Roman" w:eastAsia="Times New Roman" w:hAnsi="Times New Roman"/>
          <w:sz w:val="20"/>
          <w:szCs w:val="20"/>
          <w:color w:val="auto"/>
        </w:rPr>
        <w:t>” means that certain share repurchase program of the TopCo Borrower announced on February 15,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90"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means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secured overnight financing rate as administered by the SOFR Administrator on the SOFR Administrator’s Website.</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has the meaning assigned to such term in the definition of “Daily Simple SOFR”.</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assigned to such term in the definition of “Daily Simple SOFR”.</w:t>
      </w:r>
    </w:p>
    <w:p>
      <w:pPr>
        <w:spacing w:after="0" w:line="21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as to any Person as of any date of determination, that on such date (a) the amount of the “present fair salable value” (as determined by in accordance with applicable federal and state laws governing determination of insolvency of debtors) of the assets of such Person (on a going concern basis) is greater than the total amount of liabilities, including contingent liabilities, of such Person, (b) the present fair saleable value of such Person (on a going concern basis) is not less than the amount that will be required to pay the probable liability of such Person on its debts, including contingent debts, as they become absolute and matured in the ordinary course of business, (c) such Person will be able to pay its debts as they mature in the ordinary course of business and (d) such Person will not have, as of such date of determination, an unreasonably small amount of capital with which to conduct its business.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8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an Event of Default arising under any of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Investments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6.05(ee)</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65" w:right="439" w:bottom="1440" w:gutter="0" w:footer="0" w:header="0"/>
        </w:sectPr>
      </w:pPr>
    </w:p>
    <w:bookmarkStart w:id="68" w:name="page69"/>
    <w:bookmarkEnd w:id="68"/>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Specified 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Squeeze-Out</w:t>
      </w:r>
      <w:r>
        <w:rPr>
          <w:rFonts w:ascii="Times New Roman" w:cs="Times New Roman" w:eastAsia="Times New Roman" w:hAnsi="Times New Roman"/>
          <w:sz w:val="20"/>
          <w:szCs w:val="20"/>
          <w:color w:val="auto"/>
        </w:rPr>
        <w:t>” means the procedures set out in Chapter 2 of Part 9 of the Companies Act for the compulsory acquisition of all of the outstanding shares in the Target which the TopCo Borrower has not acquired, contracted to acquire or in respect of which it has not received valid acceptances.</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Squeeze-Out Notice</w:t>
      </w:r>
      <w:r>
        <w:rPr>
          <w:rFonts w:ascii="Times New Roman" w:cs="Times New Roman" w:eastAsia="Times New Roman" w:hAnsi="Times New Roman"/>
          <w:sz w:val="20"/>
          <w:szCs w:val="20"/>
          <w:color w:val="auto"/>
        </w:rPr>
        <w:t>” means a notice issued to a holder of Target Shares who has not accepted the Offer by the TopCo Borrower in accordance with the Companies Act implementing the procedures required for a Squeeze-Out.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Squeeze-Out Rights</w:t>
      </w:r>
      <w:r>
        <w:rPr>
          <w:rFonts w:ascii="Times New Roman" w:cs="Times New Roman" w:eastAsia="Times New Roman" w:hAnsi="Times New Roman"/>
          <w:sz w:val="20"/>
          <w:szCs w:val="20"/>
          <w:color w:val="auto"/>
        </w:rPr>
        <w:t>” means the rights of the TopCo Borrower pursuant to Chapter 2 of Part 9 of the Companies Act to acquire any remaining Target Shares which are the subject of the Offer.</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the TopCo Borrower or any Restricted Subsidiary the payment of which is contractually subordinated to payment of the obligations under the Loan Documents.</w:t>
      </w:r>
    </w:p>
    <w:p>
      <w:pPr>
        <w:spacing w:after="0" w:line="159"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TopCo Borrower, including, for avoidance of doubt, the U.S. Borrower and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Co-Borrower.</w:t>
      </w:r>
    </w:p>
    <w:p>
      <w:pPr>
        <w:spacing w:after="0" w:line="19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xml:space="preserve">” means each Material Domestic Subsidiary (other than the U.S. Borrower and the U.S. Co-Borrower), each Material Irish Subsidiary and each other Restricted Subsidiary that is a party to the Guaranty. The Subsidiary Guarantors on the Closing Date are identified as such in </w:t>
      </w:r>
      <w:r>
        <w:rPr>
          <w:rFonts w:ascii="Times New Roman" w:cs="Times New Roman" w:eastAsia="Times New Roman" w:hAnsi="Times New Roman"/>
          <w:sz w:val="20"/>
          <w:szCs w:val="20"/>
          <w:u w:val="single" w:color="auto"/>
          <w:color w:val="auto"/>
        </w:rPr>
        <w:t>Schedule 3.01</w:t>
      </w:r>
      <w:r>
        <w:rPr>
          <w:rFonts w:ascii="Times New Roman" w:cs="Times New Roman" w:eastAsia="Times New Roman" w:hAnsi="Times New Roman"/>
          <w:sz w:val="20"/>
          <w:szCs w:val="20"/>
          <w:color w:val="auto"/>
        </w:rPr>
        <w:t xml:space="preserve"> hereto.</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Supporting Obligations</w:t>
      </w:r>
      <w:r>
        <w:rPr>
          <w:rFonts w:ascii="Times New Roman" w:cs="Times New Roman" w:eastAsia="Times New Roman" w:hAnsi="Times New Roman"/>
          <w:sz w:val="19"/>
          <w:szCs w:val="19"/>
          <w:color w:val="auto"/>
        </w:rPr>
        <w:t>” has the meaning set forth in Article 9 of the UCC.“</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the TopCo Borrower or the Restricted Subsidiaries shall be a Swap Agreement. Notwithstanding anything to the contrary in the foregoing, neither any Permitted Bond Hedge Transaction nor any Permitted Warrant Transaction shall be a Swap Agreement.</w:t>
      </w:r>
    </w:p>
    <w:p>
      <w:pPr>
        <w:spacing w:after="0" w:line="172"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any and all obligations of the TopCo Borrower or any Restricted Subsidiary, whether absolute or contingent and howsoever and whensoever created, arising, evidenced or acquired (including all renewals, extensions and modifications thereof and substitutions therefor), under (a)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65" w:right="439" w:bottom="1440" w:gutter="0" w:footer="0" w:header="0"/>
        </w:sectPr>
      </w:pPr>
    </w:p>
    <w:bookmarkStart w:id="69" w:name="page70"/>
    <w:bookmarkEnd w:id="69"/>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Swap Agreements permitted hereunder with the Administrative Agent, a Lender or any of their respective Affiliates (or a Person that was the Administrative Agent, a Lender or an Affiliate of the Administrative Agent or a Lender at the time such Swap Agreement was entered into), and (b) any and all cancellations, buy backs, reversals, terminations or assignments of any such Swap Agreement transaction.</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Bank of America, N.A., in its capacity as syndication agent hereunder.</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means at any time, any lease (including leases that may be terminated by the lessee at any time) of any property</w:t>
      </w:r>
    </w:p>
    <w:p>
      <w:pPr>
        <w:spacing w:after="0" w:line="22" w:lineRule="exact"/>
        <w:rPr>
          <w:sz w:val="20"/>
          <w:szCs w:val="20"/>
          <w:color w:val="auto"/>
        </w:rPr>
      </w:pPr>
    </w:p>
    <w:p>
      <w:pPr>
        <w:ind w:left="4" w:right="20" w:hanging="4"/>
        <w:spacing w:after="0" w:line="246" w:lineRule="auto"/>
        <w:tabs>
          <w:tab w:leader="none" w:pos="29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Takeover Rules</w:t>
      </w:r>
      <w:r>
        <w:rPr>
          <w:rFonts w:ascii="Times New Roman" w:cs="Times New Roman" w:eastAsia="Times New Roman" w:hAnsi="Times New Roman"/>
          <w:sz w:val="20"/>
          <w:szCs w:val="20"/>
          <w:color w:val="auto"/>
        </w:rPr>
        <w:t>” means the Irish Takeover Panel Act 1997, Takeover Rules, 2022, as administered by the Panel.</w:t>
      </w:r>
    </w:p>
    <w:p>
      <w:pPr>
        <w:spacing w:after="0" w:line="216"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means AVADEL PHARMACEUTICALS PLC, a company incorporated under the laws of the Ireland (registered number 572535).</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Acquisition</w:t>
      </w:r>
      <w:r>
        <w:rPr>
          <w:rFonts w:ascii="Times New Roman" w:cs="Times New Roman" w:eastAsia="Times New Roman" w:hAnsi="Times New Roman"/>
          <w:sz w:val="20"/>
          <w:szCs w:val="20"/>
          <w:color w:val="auto"/>
        </w:rPr>
        <w:t>” means the acquisition by the TopCo Borrower of the Target Shares to be effected by way of Offer or Scheme on the terms of the Acquisition Documents and, if applicable, a Squeeze-Out.</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Group</w:t>
      </w:r>
      <w:r>
        <w:rPr>
          <w:rFonts w:ascii="Times New Roman" w:cs="Times New Roman" w:eastAsia="Times New Roman" w:hAnsi="Times New Roman"/>
          <w:sz w:val="20"/>
          <w:szCs w:val="20"/>
          <w:color w:val="auto"/>
        </w:rPr>
        <w:t>” means the Target and its subsidiaries from time to time.</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Shareholders</w:t>
      </w:r>
      <w:r>
        <w:rPr>
          <w:rFonts w:ascii="Times New Roman" w:cs="Times New Roman" w:eastAsia="Times New Roman" w:hAnsi="Times New Roman"/>
          <w:sz w:val="20"/>
          <w:szCs w:val="20"/>
          <w:color w:val="auto"/>
        </w:rPr>
        <w:t>” means the registered holders of Target Shares at the relevant time.</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Shares</w:t>
      </w:r>
      <w:r>
        <w:rPr>
          <w:rFonts w:ascii="Times New Roman" w:cs="Times New Roman" w:eastAsia="Times New Roman" w:hAnsi="Times New Roman"/>
          <w:sz w:val="20"/>
          <w:szCs w:val="20"/>
          <w:color w:val="auto"/>
        </w:rPr>
        <w:t>” means the issued and unconditionally allotted ordinary shares in the Target as at the date of this Agreement and any further such shares which may be issued or unconditionally allotted, on or after the date of this Agreement pursuant to the exercise of any subscription or conversion rights, options or otherwise.</w:t>
      </w:r>
    </w:p>
    <w:p>
      <w:pPr>
        <w:spacing w:after="0" w:line="174"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TCA</w:t>
      </w:r>
      <w:r>
        <w:rPr>
          <w:rFonts w:ascii="Times New Roman" w:cs="Times New Roman" w:eastAsia="Times New Roman" w:hAnsi="Times New Roman"/>
          <w:sz w:val="20"/>
          <w:szCs w:val="20"/>
          <w:color w:val="auto"/>
        </w:rPr>
        <w:t>” means the Taxes Consolidation Act 1997 of Ireland.</w:t>
      </w:r>
    </w:p>
    <w:p>
      <w:pPr>
        <w:spacing w:after="0" w:line="21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Term SOFR Rate, unless such Loan or Borrowing is an ABR Loan or ABR Borrowing bearing interest at a rate determined by reference to clause (c) of the definition of Alternate Base Rate.</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each Lender that holds a Term Loan Commitment or a Term Loan.</w:t>
      </w:r>
    </w:p>
    <w:p>
      <w:pPr>
        <w:spacing w:after="0" w:line="216"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means, with respect to any Term Lender, the Initial Tranche A Term Commitment, the Initial Tranche B Term Commitment, the Incremental Term Commitment and the Refinancing Term Loan Commitment of such Lender.</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Initial Tranche A Term Loans, the Initial Tranche B Term Loans, any Incremental Term Loans, any Refinancing Term Loans and any Extended Term Loans.</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65" w:right="439" w:bottom="1440" w:gutter="0" w:footer="0" w:header="0"/>
        </w:sectPr>
      </w:pPr>
    </w:p>
    <w:bookmarkStart w:id="70" w:name="page71"/>
    <w:bookmarkEnd w:id="70"/>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1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Term SOFR Rate as so determined would be less than the Floor, such rate shall be deemed to be equal to the Floor for the purposes of this Agreement.</w:t>
      </w:r>
    </w:p>
    <w:p>
      <w:pPr>
        <w:spacing w:after="0" w:line="185"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xml:space="preserve">”), with respect to any Term Benchmark Borrowing denominated in Dollars and for any tenor comparable to the applicable Interest Period,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92"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as of any date, the period of four consecutive fiscal quarters then most recently ended for which financial statements under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as applicable, have been delivered (or are required to have been delivered) (or, if prior to the date of the delivery of the first financial statements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the most recent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w:t>
      </w:r>
      <w:r>
        <w:rPr>
          <w:rFonts w:ascii="Times New Roman" w:cs="Times New Roman" w:eastAsia="Times New Roman" w:hAnsi="Times New Roman"/>
          <w:sz w:val="20"/>
          <w:szCs w:val="20"/>
          <w:color w:val="auto"/>
        </w:rPr>
        <w:t>” means any Person other than the TopCo Borrower or any of its Subsidiaries.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TLA Borrowers</w:t>
      </w:r>
      <w:r>
        <w:rPr>
          <w:rFonts w:ascii="Times New Roman" w:cs="Times New Roman" w:eastAsia="Times New Roman" w:hAnsi="Times New Roman"/>
          <w:sz w:val="20"/>
          <w:szCs w:val="20"/>
          <w:color w:val="auto"/>
        </w:rPr>
        <w:t>” means the U.S. Borrower and the TopCo Borrower.</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TLB Borrowers</w:t>
      </w:r>
      <w:r>
        <w:rPr>
          <w:rFonts w:ascii="Times New Roman" w:cs="Times New Roman" w:eastAsia="Times New Roman" w:hAnsi="Times New Roman"/>
          <w:sz w:val="20"/>
          <w:szCs w:val="20"/>
          <w:color w:val="auto"/>
        </w:rPr>
        <w:t>” means the U.S. Borrower and the U.S. Co-Borrower.</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TLB Ticking Fee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TopCo Borrower</w:t>
      </w:r>
      <w:r>
        <w:rPr>
          <w:rFonts w:ascii="Times New Roman" w:cs="Times New Roman" w:eastAsia="Times New Roman" w:hAnsi="Times New Roman"/>
          <w:sz w:val="20"/>
          <w:szCs w:val="20"/>
          <w:color w:val="auto"/>
        </w:rPr>
        <w:t>” has the meaning assigned to such term in the introductory paragraph.</w:t>
      </w:r>
    </w:p>
    <w:p>
      <w:pPr>
        <w:spacing w:after="0" w:line="216"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means the ratio, determined as of the last day of the then most recently ended fiscal quarter for which financial statements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prior to the delivery of the first financial statements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the last day of the last fiscal quarter included in the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of (a) Consolidated Total Net Indebtedness outstanding, to (b) Consolidated EBITDA for the period of four consecutive fiscal quarters ending with the end of such fiscal quarter, all calculated for the TopCo Borrower and its Restricted Subsidiaries on a consolidated basis.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9.04(e)(i)</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65" w:right="439" w:bottom="1440" w:gutter="0" w:footer="0" w:header="0"/>
        </w:sectPr>
      </w:pPr>
    </w:p>
    <w:bookmarkStart w:id="71" w:name="page72"/>
    <w:bookmarkEnd w:id="71"/>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xml:space="preserve">” means (a) the Target Acquisition (and, if applicable, any other acquisition of Target Shares in connection with the Target Acquisition, including pursuant to a Squeeze-out), (b) the Borrowers’ obtaining up to $1,525,000,000.00 of gross proceeds from the borrowing of the Initial Term Loans on the Closing Date, (c) the issuance of CVRs, (d) the payments described in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and (e) the transactions related to the foregoing.</w:t>
      </w:r>
    </w:p>
    <w:p>
      <w:pPr>
        <w:spacing w:after="0" w:line="180"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Transformative Acquisition</w:t>
      </w:r>
      <w:r>
        <w:rPr>
          <w:rFonts w:ascii="Times New Roman" w:cs="Times New Roman" w:eastAsia="Times New Roman" w:hAnsi="Times New Roman"/>
          <w:sz w:val="20"/>
          <w:szCs w:val="20"/>
          <w:color w:val="auto"/>
        </w:rPr>
        <w:t>” means any acquisition by the TopCo Borrower or any of its Restricted Subsidiaries of an unrelated Third Party that is either (a) not permitted by the terms hereof or (b) if permitted by the terms hereof immediately prior to the consummation of such acquisition, would not provide the TopCo Borrower and its Restricted Subsidiaries with adequate flexibility under this Agreement for the continuation and/or expansion of their combined operations following such consummation (as determined by the U.S. Borrower in good faith).</w:t>
      </w:r>
    </w:p>
    <w:p>
      <w:pPr>
        <w:spacing w:after="0" w:line="185"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Term SOFR Rate, the Alternate Base Rate or Daily Simple SOFR.</w:t>
      </w:r>
    </w:p>
    <w:p>
      <w:pPr>
        <w:spacing w:after="0" w:line="159"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from time to time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by reason of any mandatory provisions of law, the perfection, the effect of perfection or non-perfection or priority of the security interests granted to the Administrative Agent pursuant to this Security Agreement are governed by the Uniform Commercial Code as in effect in a jurisdiction of the United States other than New York, then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such perfection, effect of perfection or non-perfection or priority.</w:t>
      </w:r>
    </w:p>
    <w:p>
      <w:pPr>
        <w:spacing w:after="0" w:line="185"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any obligation (including any guarantee) that is contingent in nature at such time; (ii) inchoate indemnity obligations; or (iii) an obligation to provide collateral to secure any of the foregoing types of obligations.</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Margin Stock</w:t>
      </w:r>
      <w:r>
        <w:rPr>
          <w:rFonts w:ascii="Times New Roman" w:cs="Times New Roman" w:eastAsia="Times New Roman" w:hAnsi="Times New Roman"/>
          <w:sz w:val="20"/>
          <w:szCs w:val="20"/>
          <w:color w:val="auto"/>
        </w:rPr>
        <w:t>” means any Margin Stock owned by the TopCo Borrower or any of its Restricted Subsidiaries which is not Restricted Margin Stock.</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 any Subsidiary of the TopCo Borrower (other than the U.S. Borrower and the U.S. Co-Borrower) that is designated as an Unrestricted Subsidiary by the U.S. Borrower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and (b) any Subsidiary of an Unrestricted Subsidiary.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5" w:right="439" w:bottom="1440" w:gutter="0" w:footer="0" w:header="0"/>
        </w:sectPr>
      </w:pPr>
    </w:p>
    <w:bookmarkStart w:id="72" w:name="page73"/>
    <w:bookmarkEnd w:id="72"/>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has the meaning assigned to such term in the introductory paragraph.</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Co-Borrower</w:t>
      </w:r>
      <w:r>
        <w:rPr>
          <w:rFonts w:ascii="Times New Roman" w:cs="Times New Roman" w:eastAsia="Times New Roman" w:hAnsi="Times New Roman"/>
          <w:sz w:val="20"/>
          <w:szCs w:val="20"/>
          <w:color w:val="auto"/>
        </w:rPr>
        <w:t>” has the meaning assigned to such term in the introductory paragraph.</w:t>
      </w:r>
    </w:p>
    <w:p>
      <w:pPr>
        <w:spacing w:after="0" w:line="21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 Code.</w:t>
      </w:r>
    </w:p>
    <w:p>
      <w:pPr>
        <w:spacing w:after="0" w:line="216"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means that certain Pledge and Security Agreement (including any and all supplements thereto), dated as of the Closing Date, among the Domestic Loan Parties, the Irish Loan Parties party thereto, each other Loan Party that owns Equity Interests of a Domestic Subsidiary and the Administrative Agent, for the benefit of the Administrative Agent and the other Secured Parties, and any other pledge or security agreement entered into after the date of this Agreement by any Domestic Loan Party or any other Loan Party that owns Equity Interests of any Domestic Subsidiary (in each case, as required by this Agreement or any other Loan Document), as the same may be amended, restated, supplemented or otherwise modified from time to time.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 xml:space="preserve">(a)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9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value added tax as provided for in the Value-Added Tax Consolidation Act 2010 of Ireland;</w:t>
            </w:r>
          </w:p>
        </w:tc>
      </w:tr>
      <w:tr>
        <w:trPr>
          <w:trHeight w:val="446"/>
        </w:trPr>
        <w:tc>
          <w:tcPr>
            <w:tcW w:w="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 xml:space="preserve">(b)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99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any value added tax imposed by the Value Added Tax Act 1994 of the United Kingdom;</w:t>
            </w:r>
          </w:p>
        </w:tc>
      </w:tr>
      <w:tr>
        <w:trPr>
          <w:trHeight w:val="417"/>
        </w:trPr>
        <w:tc>
          <w:tcPr>
            <w:tcW w:w="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 xml:space="preserve">(c)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99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any tax imposed in compliance with the Council Directive of 28 November 2006 on the common system of value added tax</w:t>
            </w:r>
          </w:p>
        </w:tc>
      </w:tr>
      <w:tr>
        <w:trPr>
          <w:trHeight w:val="258"/>
        </w:trPr>
        <w:tc>
          <w:tcPr>
            <w:tcW w:w="11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(EC Directive 2006/112); and</w:t>
            </w:r>
          </w:p>
        </w:tc>
      </w:tr>
      <w:tr>
        <w:trPr>
          <w:trHeight w:val="439"/>
        </w:trPr>
        <w:tc>
          <w:tcPr>
            <w:tcW w:w="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 xml:space="preserve">(d)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99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any other tax of a similar nature, whether imposed in a member state of the European Union in substitution for, or levied in</w:t>
            </w:r>
          </w:p>
        </w:tc>
      </w:tr>
    </w:tbl>
    <w:p>
      <w:pPr>
        <w:spacing w:after="0"/>
        <w:rPr>
          <w:sz w:val="20"/>
          <w:szCs w:val="20"/>
          <w:color w:val="auto"/>
        </w:rPr>
      </w:pPr>
      <w:r>
        <w:rPr>
          <w:rFonts w:ascii="Times New Roman" w:cs="Times New Roman" w:eastAsia="Times New Roman" w:hAnsi="Times New Roman"/>
          <w:sz w:val="20"/>
          <w:szCs w:val="20"/>
          <w:color w:val="auto"/>
        </w:rPr>
        <w:t>addition to, such tax referred to in paragraphs (a), (b) and (c) above, or imposed elsewhere.</w:t>
      </w:r>
    </w:p>
    <w:p>
      <w:pPr>
        <w:spacing w:after="0" w:line="194"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Voluntary Prepayment Amount</w:t>
      </w:r>
      <w:r>
        <w:rPr>
          <w:rFonts w:ascii="Times New Roman" w:cs="Times New Roman" w:eastAsia="Times New Roman" w:hAnsi="Times New Roman"/>
          <w:sz w:val="20"/>
          <w:szCs w:val="20"/>
          <w:color w:val="auto"/>
        </w:rPr>
        <w:t xml:space="preserve">” means as of any date, an amount equal to (a) the sum of the aggregate principal amount of all optional prepayments of Term Loans, Incremental Revolving Loans and Pari Passu Indebtedness made after the Closing Date and any cash payments in respect of buybacks of Term Loans by the Borrowers and their respective Subsidiaries in accordance with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(excluding (i) prepayments and buybacks made with the proceeds of long-term Indebtedness (other than extensions of credit under any revolving credit or similar facility) and (ii) prepayments in respect of any revolving credit facility to the extent not accompanied by a permanent reduction in commitments thereunder) less (b) the aggregate principal amount of Incremental Term Loans, Incremental Term Commitments, Incremental Revolving Commitments and Incremental Equivalent Debt established prior to such date in reliance on the Voluntary Prepayment Amount and not subsequently reclassified as having been incurred in reliance on the Incremental Ratio Basket.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65" w:right="439" w:bottom="1440" w:gutter="0" w:footer="0" w:header="0"/>
        </w:sectPr>
      </w:pPr>
    </w:p>
    <w:bookmarkStart w:id="73" w:name="page74"/>
    <w:bookmarkEnd w:id="73"/>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effect of any prepayment made in respect of such Indebtedness shall be disregarded in making such calculation.</w:t>
      </w:r>
    </w:p>
    <w:p>
      <w:pPr>
        <w:spacing w:after="0" w:line="18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a Subsidiary with respect to which 100% of the issued and outstanding Equity Interests are owned directly or indirectly by the TopCo Borrower (other than (i) directors’ qualifying shares; (ii) shares issued to foreign nationals to the extent required by applicable law; and (iii) shares held by a Person on trust for, or otherwise where the beneficial interest is held by, the TopCo Borrower (directly or indirectly)).</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means at any date, the excess of Current Assets on such date over Current Liabilities on such date.</w:t>
      </w:r>
    </w:p>
    <w:p>
      <w:pPr>
        <w:spacing w:after="0" w:line="21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“Initial Tranche A Term Loan”) or by a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Loan”)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Initial Tranche A Term Loan”). Borrowings also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an “Initial Tranche A Term Loan Borrowing”)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Borrowing”)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Initial Tranche A Term Loan Borrowing”).</w:t>
      </w:r>
    </w:p>
    <w:p>
      <w:pPr>
        <w:spacing w:after="0" w:line="185" w:lineRule="exact"/>
        <w:rPr>
          <w:sz w:val="20"/>
          <w:szCs w:val="20"/>
          <w:color w:val="auto"/>
        </w:rPr>
      </w:pPr>
    </w:p>
    <w:p>
      <w:pPr>
        <w:jc w:val="both"/>
        <w:ind w:right="20"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65" w:right="439" w:bottom="1440" w:gutter="0" w:footer="0" w:header="0"/>
        </w:sectPr>
      </w:pPr>
    </w:p>
    <w:bookmarkStart w:id="74" w:name="page75"/>
    <w:bookmarkEnd w:id="74"/>
    <w:p>
      <w:pPr>
        <w:jc w:val="both"/>
        <w:ind w:left="4"/>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any restrictions on such amendments, restatements, supplements or modifications set forth herein), (b) any definition of or reference to any law, statute, rule or regulation shall, unless otherwise specified,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w:t>
      </w:r>
    </w:p>
    <w:p>
      <w:pPr>
        <w:jc w:val="both"/>
        <w:ind w:left="4" w:right="20" w:hanging="4"/>
        <w:spacing w:after="0" w:line="241" w:lineRule="auto"/>
        <w:tabs>
          <w:tab w:leader="none" w:pos="28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8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 Pro Forma Calculations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19"/>
          <w:szCs w:val="19"/>
          <w:color w:val="auto"/>
        </w:rPr>
        <w:t xml:space="preserve">(a)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U.S. Borrower notifies the Administrative Agent that the U.S. Borrower requests an amendment to any provision hereof to eliminate the effect of any change occurring after the date hereof in GAAP or in the application thereof on the operation of such provision (or if the Administrative Agent notifies the U.S.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Accounting Standards Codification or Financial Accounting Standard having a similar result or effect) to value any Indebtedness or other liabilities of the TopCo Borrower or any Subsidiary at “fair value”, as defined therein and (ii)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w:t>
      </w:r>
      <w:r>
        <w:rPr>
          <w:rFonts w:ascii="Times New Roman" w:cs="Times New Roman" w:eastAsia="Times New Roman" w:hAnsi="Times New Roman"/>
          <w:sz w:val="19"/>
          <w:szCs w:val="19"/>
          <w:u w:val="single" w:color="auto"/>
          <w:color w:val="auto"/>
        </w:rPr>
        <w:t>Section 1.04(a)</w:t>
      </w:r>
      <w:r>
        <w:rPr>
          <w:rFonts w:ascii="Times New Roman" w:cs="Times New Roman" w:eastAsia="Times New Roman" w:hAnsi="Times New Roman"/>
          <w:sz w:val="19"/>
          <w:szCs w:val="19"/>
          <w:color w:val="auto"/>
        </w:rPr>
        <w:t xml:space="preserve"> 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19"/>
          <w:szCs w:val="19"/>
          <w:u w:val="single" w:color="auto"/>
          <w:color w:val="auto"/>
        </w:rPr>
        <w:t>FAS 842</w:t>
      </w:r>
      <w:r>
        <w:rPr>
          <w:rFonts w:ascii="Times New Roman" w:cs="Times New Roman" w:eastAsia="Times New Roman" w:hAnsi="Times New Roman"/>
          <w:sz w:val="19"/>
          <w:szCs w:val="19"/>
          <w:color w:val="auto"/>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except that, at the U.S. Borrower’s option, financial statements delivered under this Agreement, including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may be prepared in accordance with GAAP (including giving effect to FAS 842) as in effect at the time of such delivery.</w:t>
      </w:r>
    </w:p>
    <w:p>
      <w:pPr>
        <w:spacing w:after="0" w:line="178" w:lineRule="exact"/>
        <w:rPr>
          <w:sz w:val="20"/>
          <w:szCs w:val="20"/>
          <w:color w:val="auto"/>
        </w:rPr>
      </w:pPr>
    </w:p>
    <w:p>
      <w:pPr>
        <w:jc w:val="both"/>
        <w:ind w:left="4"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(b)    All pro forma computations required to be made hereunder giving effect to any acquisition or disposition, or issuance, incurrence or assumption of Indebtedness, designation of any Unrestricted Subsidiary or Restricted Subsidiary or other transaction shall in each case be calculated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(and, in the case of any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computation made hereunder to determine whether such acquisition or disposition, or issuance, incurrence or assumption of Indebtedness, or other transaction is permitted to be consummated hereunder, to any other such transaction consummated since the first day of</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65" w:right="439" w:bottom="1440" w:gutter="0" w:footer="0" w:header="0"/>
        </w:sectPr>
      </w:pPr>
    </w:p>
    <w:bookmarkStart w:id="75" w:name="page76"/>
    <w:bookmarkEnd w:id="75"/>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period covered by any component of such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computation and on or prior to the date of such computation) as if such transaction had occurred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prior to the delivery of any such financial statements, ending with the last fiscal quarter included in the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and, to the extent applicable, to the historical earnings and cash flows associated with the assets acquired or disposed of and any related incurrence or reduction of Indebtedness, all in accordance with Article 11 of Regulation S-X under the Securities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calculations shall not include any cost savings (other than cost savings and cost synergies permitted to be included in the determination of Consolidated EBITDA pursuant to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of the definition thereof (subject to the caps set forth in such definition)) or revenue synergies. If any Indebtedness bears a floating rate of interest and is being given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 interest on such Indebtedness shall be calculated as if the rate in effect on the date of determination had been the applicable rate for the entire period (taking into account any Swap Agreement applicable to such Indebtedness).</w:t>
      </w:r>
    </w:p>
    <w:p>
      <w:pPr>
        <w:spacing w:after="0" w:line="194"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Leverage Ratios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(a)    Notwithstanding anything to the contrary contained herein, for purposes of calculating any leverage ratio herein in connection with the incurrence of any Indebtedness, (i) there shall be no netting of the cash proceeds proposed to be received in connection with the incurrence of such Indebtedness and (ii) to the extent the Indebtedness to be incurred is revolving Indebtedness, such incurred revolving Indebtedness (or if applicable, the portion (and only such portion) of the increased commitments thereunder) shall be treated as fully drawn.</w:t>
      </w:r>
    </w:p>
    <w:p>
      <w:pPr>
        <w:spacing w:after="0" w:line="185"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(b)    Notwithstanding anything to the contrary herein, with respect to any amounts incurred or transactions entered into (or consummated) in reliance on a provision of the same section of any Loan Document that does not require compliance with a financial ratio or test (any such amounts, including baskets determined by reference to Consolidated EBITDA,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with any amounts incurred or transactions entered into (or consummated) in reliance on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61" w:right="439" w:bottom="1440" w:gutter="0" w:footer="0" w:header="0"/>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 of the same section of any Loan Document that requires compliance with any such financial ratio or test (any such amounts, the “</w:t>
      </w:r>
      <w:r>
        <w:rPr>
          <w:rFonts w:ascii="Times New Roman" w:cs="Times New Roman" w:eastAsia="Times New Roman" w:hAnsi="Times New Roman"/>
          <w:sz w:val="20"/>
          <w:szCs w:val="20"/>
          <w:u w:val="single" w:color="auto"/>
          <w:color w:val="auto"/>
        </w:rPr>
        <w:t>Incurrence Based Amounts</w:t>
      </w:r>
      <w:r>
        <w:rPr>
          <w:rFonts w:ascii="Times New Roman" w:cs="Times New Roman" w:eastAsia="Times New Roman" w:hAnsi="Times New Roman"/>
          <w:sz w:val="20"/>
          <w:szCs w:val="20"/>
          <w:color w:val="auto"/>
        </w:rPr>
        <w:t>”), it is understood and agreed that, for purposes of this Agreement, the Fixed Amounts under such section (and any cash proceeds thereof) shall be disregarded in the calculation of the financial ratio or test applicable to the Incurrence Based Amounts in connection with such substantially concurrent incurrence.</w:t>
      </w:r>
    </w:p>
    <w:p>
      <w:pPr>
        <w:spacing w:after="0" w:line="180"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5"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Limited Conditionality Transactions</w:t>
      </w:r>
      <w:r>
        <w:rPr>
          <w:rFonts w:ascii="Times New Roman" w:cs="Times New Roman" w:eastAsia="Times New Roman" w:hAnsi="Times New Roman"/>
          <w:sz w:val="20"/>
          <w:szCs w:val="20"/>
          <w:color w:val="auto"/>
        </w:rPr>
        <w:t>. As it relates to any action being taken solely in connection with a Limited Conditionality Transaction, for purposes of:</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(a)    determining compliance with any provision of this Agreement (other than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itself, but including any other provision of this Agreement that references compliance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which requires the calculation of the Total Net Leverage Ratio, Secured Net Leverage Ratio or Consolidated Interest Coverage Ratio,</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(b)      determining compliance with representations and warranties, Defaults or Events of Default; or</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(c)    testing availability under baskets or exceptions set forth in this Agreement (including baskets determined by reference to Consolidated EBITDA);</w:t>
      </w:r>
    </w:p>
    <w:p>
      <w:pPr>
        <w:spacing w:after="0" w:line="15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in each case, at the option of the U.S. Borrower (the U.S. Borrower’s election to exercise such option in connection with any Limited Conditionality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of determination of whether any such action is permitted hereunder shall be deemed to be the date the definitive agreements or irrevocable notice for such Limited Conditionality Transaction are entered into or delivered, as applicable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and if,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the Limited Conditionality Transaction (and the other transactions to be entered into in connection therewith), the TopCo Borrower or any of its Restricted Subsidiaries would have been permitted to take such action on the relevant LCT Test Date in compliance with such ratio, test or basket, such ratio, test (including compliance with representations, warranties, Defaults and Events of Default) or basket shall be deemed to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to the extent the relevant action requires no Default or Event of Default (as applicable) to have occurred, no Default or Event of Default (as applicable) shall exist and be continuing at the time of the LCT Test Date and no Specified Event of Default shall exist and be continuing immediately prior to or immediately after giving effect to such Limited Conditionality Transaction.</w:t>
      </w:r>
    </w:p>
    <w:p>
      <w:pPr>
        <w:spacing w:after="0" w:line="190" w:lineRule="exact"/>
        <w:rPr>
          <w:sz w:val="20"/>
          <w:szCs w:val="20"/>
          <w:color w:val="auto"/>
        </w:rPr>
      </w:pPr>
    </w:p>
    <w:p>
      <w:pPr>
        <w:jc w:val="both"/>
        <w:ind w:right="20" w:firstLine="551"/>
        <w:spacing w:after="0" w:line="243" w:lineRule="auto"/>
        <w:rPr>
          <w:sz w:val="20"/>
          <w:szCs w:val="20"/>
          <w:color w:val="auto"/>
        </w:rPr>
      </w:pPr>
      <w:r>
        <w:rPr>
          <w:rFonts w:ascii="Times New Roman" w:cs="Times New Roman" w:eastAsia="Times New Roman" w:hAnsi="Times New Roman"/>
          <w:sz w:val="20"/>
          <w:szCs w:val="20"/>
          <w:color w:val="auto"/>
        </w:rPr>
        <w:t>For the avoidance of doubt, if the U.S. Borrower has made an LCT Election and any of the ratios, tests or baskets for which compliance was determined or tested as of the LCT Test Date would have failed to have been complied with, or any representation or warranty would be breached or any Default or Event of Default blocker would apply, as a result of fluctuations in any such ratio, test or basket, including due to fluctuations in Consolidated EBITDA of the TopCo Borrower or the Person subject to such Limited Conditionality Transaction, or as a result of the occurrence of any Default or Event of Default or other event, in each case, at or prior to the consummation of the relevant transaction or action, such baskets, tests or ratios will not be deemed to have failed to have been complied with as a result of such fluctuations, such representation and warranty shall be deemed to not have been breached, and such Default or Event 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65" w:right="439" w:bottom="1440" w:gutter="0" w:footer="0" w:header="0"/>
        </w:sectPr>
      </w:pPr>
    </w:p>
    <w:bookmarkStart w:id="77" w:name="page78"/>
    <w:bookmarkEnd w:id="77"/>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Default shall be deemed not to have occurred. If the U.S. Borrower has made an LCT Election for any Limited Conditionality Transaction, then in connection with any calculation of any ratio or test (other than that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itself, but including any other provision of this Agreement that references compliance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6.13) with respect to the incurrence of Indebtedness or Liens, the making of Restricted Payments, the making of any Investment, the designation of an Unrestricted Subsidiary or Restricted Subsidiary, the making of Restricted Debt Payments, or mergers, the conveyance, lease or other transfer of all or substantially all of the assets of the TopCo Borrower (each, a “</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xml:space="preserve">”) following the relevant LCT Test Date and prior to the earlier of the date on which such Limited Conditionality Transaction is consummated or the date that the definitive agreement or irrevocable notice for such Limited Conditionality Transaction is terminated or expires without consummation of such Limited Conditionality Transaction, for purposes of determining whether such Subsequent Transaction is permitted under this Agreement, any such ratio or test shall be required to be satisfied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assuming such Limited Conditionality Transaction and other transactions in connection therewith (including any incurrence of Indebtedness and the use of proceeds thereof) have been consummated.</w:t>
      </w:r>
    </w:p>
    <w:p>
      <w:pPr>
        <w:spacing w:after="0" w:line="19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Irish terms</w:t>
      </w:r>
      <w:r>
        <w:rPr>
          <w:rFonts w:ascii="Times New Roman" w:cs="Times New Roman" w:eastAsia="Times New Roman" w:hAnsi="Times New Roman"/>
          <w:sz w:val="20"/>
          <w:szCs w:val="20"/>
          <w:color w:val="auto"/>
        </w:rPr>
        <w:t>. In this Agreement where it relates to a Loan Party incorporated in Ireland or where the context so requires, a reference to:</w:t>
      </w:r>
    </w:p>
    <w:p>
      <w:pPr>
        <w:spacing w:after="0" w:line="1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a “</w:t>
      </w:r>
      <w:r>
        <w:rPr>
          <w:rFonts w:ascii="Times New Roman" w:cs="Times New Roman" w:eastAsia="Times New Roman" w:hAnsi="Times New Roman"/>
          <w:sz w:val="20"/>
          <w:szCs w:val="20"/>
          <w:u w:val="single" w:color="auto"/>
          <w:color w:val="auto"/>
        </w:rPr>
        <w:t>dissolution</w:t>
      </w:r>
      <w:r>
        <w:rPr>
          <w:rFonts w:ascii="Times New Roman" w:cs="Times New Roman" w:eastAsia="Times New Roman" w:hAnsi="Times New Roman"/>
          <w:sz w:val="20"/>
          <w:szCs w:val="20"/>
          <w:color w:val="auto"/>
        </w:rPr>
        <w:t>” includes such entity being struck off by the Registrar of Companies in Ireland;</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      “duly organized” means duly incorporated;</w:t>
      </w:r>
    </w:p>
    <w:p>
      <w:pPr>
        <w:spacing w:after="0" w:line="216" w:lineRule="exact"/>
        <w:rPr>
          <w:sz w:val="20"/>
          <w:szCs w:val="20"/>
          <w:color w:val="auto"/>
        </w:rPr>
      </w:pPr>
    </w:p>
    <w:p>
      <w:pPr>
        <w:ind w:left="540" w:right="20" w:firstLine="530"/>
        <w:spacing w:after="0" w:line="269" w:lineRule="auto"/>
        <w:tabs>
          <w:tab w:leader="none" w:pos="142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u w:val="single" w:color="auto"/>
          <w:color w:val="auto"/>
        </w:rPr>
        <w:t>examiner</w:t>
      </w:r>
      <w:r>
        <w:rPr>
          <w:rFonts w:ascii="Times New Roman" w:cs="Times New Roman" w:eastAsia="Times New Roman" w:hAnsi="Times New Roman"/>
          <w:sz w:val="20"/>
          <w:szCs w:val="20"/>
          <w:color w:val="auto"/>
        </w:rPr>
        <w:t>” has the meaning given to that term in section 508 of the Companies Act and “</w:t>
      </w:r>
      <w:r>
        <w:rPr>
          <w:rFonts w:ascii="Times New Roman" w:cs="Times New Roman" w:eastAsia="Times New Roman" w:hAnsi="Times New Roman"/>
          <w:sz w:val="20"/>
          <w:szCs w:val="20"/>
          <w:u w:val="single" w:color="auto"/>
          <w:color w:val="auto"/>
        </w:rPr>
        <w:t>examinership</w:t>
      </w:r>
      <w:r>
        <w:rPr>
          <w:rFonts w:ascii="Times New Roman" w:cs="Times New Roman" w:eastAsia="Times New Roman" w:hAnsi="Times New Roman"/>
          <w:sz w:val="20"/>
          <w:szCs w:val="20"/>
          <w:color w:val="auto"/>
        </w:rPr>
        <w:t>” shall be construed in accordance with Part 10 of the Companies Act;</w:t>
      </w:r>
    </w:p>
    <w:p>
      <w:pPr>
        <w:spacing w:after="0" w:line="159"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(iv)    “</w:t>
      </w:r>
      <w:r>
        <w:rPr>
          <w:rFonts w:ascii="Times New Roman" w:cs="Times New Roman" w:eastAsia="Times New Roman" w:hAnsi="Times New Roman"/>
          <w:sz w:val="20"/>
          <w:szCs w:val="20"/>
          <w:u w:val="single" w:color="auto"/>
          <w:color w:val="auto"/>
        </w:rPr>
        <w:t>inability to pay debts</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unable to pay its debts</w:t>
      </w:r>
      <w:r>
        <w:rPr>
          <w:rFonts w:ascii="Times New Roman" w:cs="Times New Roman" w:eastAsia="Times New Roman" w:hAnsi="Times New Roman"/>
          <w:sz w:val="20"/>
          <w:szCs w:val="20"/>
          <w:color w:val="auto"/>
        </w:rPr>
        <w:t>” and/or any similar term (in each case, however described in any Loan Document) includes that person being unable to pay its debts within the meaning of Section 509(3)(a), Section 509(3)(c) or Section 570 of the Companies Act; and</w:t>
      </w:r>
    </w:p>
    <w:p>
      <w:pPr>
        <w:spacing w:after="0" w:line="1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(v)      “Ireland” means Ireland, excluding Northern Ireland, and the word “Irish” shall be construed accordingly.</w:t>
      </w:r>
    </w:p>
    <w:p>
      <w:pPr>
        <w:spacing w:after="0" w:line="216"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Delayed Draw Term Loans</w:t>
      </w:r>
      <w:r>
        <w:rPr>
          <w:rFonts w:ascii="Times New Roman" w:cs="Times New Roman" w:eastAsia="Times New Roman" w:hAnsi="Times New Roman"/>
          <w:sz w:val="20"/>
          <w:szCs w:val="20"/>
          <w:color w:val="auto"/>
        </w:rPr>
        <w:t>. If any delayed draw term loan Indebtedness is incurred in reliance on a provision of any Loan Document that requires compliance with a Secured Net Leverage Ratio or Total Net Leverage Ratio incurrence test, such applicable leverage ratio shall be calculated assuming the full amount of such Indebtedness has been drawn on the date of testing thereof, and with respect to any subsequent calculation of the Secured Net Leverage Ratio or the Total Net Leverage Ratio for purposes of incurrence of any other Indebtedness (but not, for the avoidance of doubt, for purposes of testing the Financial Covenants), such delayed draw term loan Indebtedness shall be deemed drawn until the earlier of (i) the full drawing thereof and (ii) the date of termination of any remaining unused commitments in respect thereof.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CREDITS</w:t>
      </w:r>
    </w:p>
    <w:p>
      <w:pPr>
        <w:spacing w:after="0" w:line="19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During the Certain Funds Period, subject to the terms and conditions set forth herein, (a) each Initial Tranche A Term Lender (severally and not jointly) agrees to make a term loan (an “</w:t>
      </w:r>
      <w:r>
        <w:rPr>
          <w:rFonts w:ascii="Times New Roman" w:cs="Times New Roman" w:eastAsia="Times New Roman" w:hAnsi="Times New Roman"/>
          <w:sz w:val="20"/>
          <w:szCs w:val="20"/>
          <w:u w:val="single" w:color="auto"/>
          <w:color w:val="auto"/>
        </w:rPr>
        <w:t>Initial Tranche A Term Loan</w:t>
      </w:r>
      <w:r>
        <w:rPr>
          <w:rFonts w:ascii="Times New Roman" w:cs="Times New Roman" w:eastAsia="Times New Roman" w:hAnsi="Times New Roman"/>
          <w:sz w:val="20"/>
          <w:szCs w:val="20"/>
          <w:color w:val="auto"/>
        </w:rPr>
        <w:t>”) to the TopCo Borrower and the U.S. Borrower in Dollars in a single drawing on the Closing Date, in an amount equal to such Initial Tranche A Term Lender’s Initial Tranche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65" w:right="439" w:bottom="1440" w:gutter="0" w:footer="0" w:header="0"/>
        </w:sectPr>
      </w:pPr>
    </w:p>
    <w:bookmarkStart w:id="78" w:name="page79"/>
    <w:bookmarkEnd w:id="7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Term Commitment and (b) each Initial Tranche B Term Lender (severally and not jointly) agrees to make a term loan (an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Tranche B Term Loan</w:t>
      </w:r>
      <w:r>
        <w:rPr>
          <w:rFonts w:ascii="Times New Roman" w:cs="Times New Roman" w:eastAsia="Times New Roman" w:hAnsi="Times New Roman"/>
          <w:sz w:val="20"/>
          <w:szCs w:val="20"/>
          <w:color w:val="auto"/>
        </w:rPr>
        <w:t>”) to the U.S. Borrower and the U.S. Co-Borrower in Dollars in a single drawing on the Closing Date, in an amount equal to such Initial Tranche B Term Lender’s Initial Tranche B Term Commitment. Amounts repaid or prepaid in respect of Term Loans may not be reborrowed.</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(a)    Each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 Lenders are several and no Lender shall be responsible for any other Lender’s failure to make Loans as required. The Term Loans shall amortize as set forth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(b)    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Borrowing shall be comprised entirely of ABR Loans or Term Benchmark Loans as any applicable Borrower may request in accordance herewith. Each Lender at its option may make any Loan by causing any domestic or foreign branch or Affiliate of such Lender to make such Loan (and in the case of an Affiliate,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each applicable Borrower to repay such Loan in accordance with the terms of this Agreement.</w:t>
      </w:r>
    </w:p>
    <w:p>
      <w:pPr>
        <w:spacing w:after="0" w:line="185"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(c)    At the commencement of each Interest Period for any Term Benchmark Borrowing, such Borrowing shall be in an aggregate amount that is an integral multiple of $500,000 and not less than $1,000,000. At the time that each ABR Borrowing is made, such Borrowing shall be in an aggregate amount that is an integral multiple of $250,000 and not less than $500,000. Borrowings of more than one Type and Class may be outstanding at the same time; provided that there shall not at any time be more than a total of ten (10) Term Benchmark Borrowings outstanding (or such greater number as may be agreed to by the Administrative Agent).</w:t>
      </w:r>
    </w:p>
    <w:p>
      <w:pPr>
        <w:spacing w:after="0" w:line="185"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Notwithstanding any other provision of this Agreement, the Borrowers shall not be entitled to request, or to elect to convert or continue, any Borrowing if the Interest Period requested with respect thereto would end after the Maturity Date.</w:t>
      </w:r>
    </w:p>
    <w:p>
      <w:pPr>
        <w:spacing w:after="0" w:line="159" w:lineRule="exact"/>
        <w:rPr>
          <w:sz w:val="20"/>
          <w:szCs w:val="20"/>
          <w:color w:val="auto"/>
        </w:rPr>
      </w:pPr>
    </w:p>
    <w:p>
      <w:pPr>
        <w:jc w:val="both"/>
        <w:ind w:right="20" w:firstLine="551"/>
        <w:spacing w:after="0" w:line="260" w:lineRule="auto"/>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Requests for Borrowings</w:t>
      </w:r>
      <w:r>
        <w:rPr>
          <w:rFonts w:ascii="Times New Roman" w:cs="Times New Roman" w:eastAsia="Times New Roman" w:hAnsi="Times New Roman"/>
          <w:sz w:val="19"/>
          <w:szCs w:val="19"/>
          <w:color w:val="auto"/>
        </w:rPr>
        <w:t xml:space="preserve">. To request a Borrowing, the applicable Borrower shall notify the Administrative Agent of such request by irrevocable written notice (via a written Borrowing Request signed by a Responsible Officer of such Borrower) (a) in the case of a Term Benchmark Borrowing, not later than 11:00 a.m., New York City time, three U.S. Government Securities Business Days before the date of the proposed Borrowing or (b) in the case of an ABR Borrowing, not later than 11:00 a.m., New York City time, one U.S. Government Securities Business Day before the date of the proposed Borrowing (or, in each case, such later time as the Administrative Agent may agree). Each such Borrowing Request shall specify the following information in compliance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9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aggregate principal amount of the requested Borrowing;</w:t>
            </w:r>
          </w:p>
        </w:tc>
      </w:tr>
      <w:tr>
        <w:trPr>
          <w:trHeight w:val="445"/>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99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 date of such Borrowing, which shall be a Business Day;</w:t>
            </w:r>
          </w:p>
        </w:tc>
      </w:tr>
      <w:tr>
        <w:trPr>
          <w:trHeight w:val="445"/>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9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whether such Borrowing is to be an ABR Borrowing or a Term Benchmark Borrowing;</w:t>
            </w:r>
          </w:p>
        </w:tc>
      </w:tr>
      <w:tr>
        <w:trPr>
          <w:trHeight w:val="43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99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whether such Borrowing is to be an Initial Tranche A Term Loan Borrowing, an Initial Tranche B Term Loan Borrowing or</w:t>
            </w:r>
          </w:p>
        </w:tc>
      </w:tr>
    </w:tbl>
    <w:p>
      <w:pPr>
        <w:spacing w:after="0"/>
        <w:rPr>
          <w:sz w:val="20"/>
          <w:szCs w:val="20"/>
          <w:color w:val="auto"/>
        </w:rPr>
      </w:pPr>
      <w:r>
        <w:rPr>
          <w:rFonts w:ascii="Times New Roman" w:cs="Times New Roman" w:eastAsia="Times New Roman" w:hAnsi="Times New Roman"/>
          <w:sz w:val="20"/>
          <w:szCs w:val="20"/>
          <w:color w:val="auto"/>
        </w:rPr>
        <w:t>a combination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65" w:right="439" w:bottom="1440" w:gutter="0" w:footer="0" w:header="0"/>
        </w:sectPr>
      </w:pPr>
    </w:p>
    <w:bookmarkStart w:id="79" w:name="page80"/>
    <w:bookmarkEnd w:id="79"/>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in the case of a Term Benchmark Borrowing, the initial Interest Period to be applicable thereto, which shall be a period contemplated by the definition of the term “Interest Period”; and</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(f)    the location and number of the applicable Borrower’s account to which funds are to be disbursed, which shall comply with the requirements of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4"/>
        <w:spacing w:after="0" w:line="243"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Benchmark Borrowing, then the applicable Borrower shall be deemed to have selected an Interest Period of one month’s duration. The Borrowing Request delivered with respect to the borrowing of Loans on the Closing Date may, at the option of the applicable Borrower, be conditioned on the consummation (or substantially concurrent consummation) of the Target Acquisition on such date, in which case such Borrowing Request may be withdrawn by such Borrower, or the date of such borrowing of Loans specified therein may be extended to another date (which must be a Business Day), in each case, by notice to the Administrative Agent if such condition is not satisfied (which must be received by the Administrative Agent not later than the time by which the Lenders are required to make available to the Administrative Agent their respective Loans as set forth below).</w:t>
      </w:r>
    </w:p>
    <w:p>
      <w:pPr>
        <w:spacing w:after="0" w:line="18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Intentionally Omitted.</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46" w:lineRule="auto"/>
        <w:rPr>
          <w:sz w:val="20"/>
          <w:szCs w:val="20"/>
          <w:color w:val="auto"/>
        </w:rPr>
      </w:pPr>
      <w:r>
        <w:rPr>
          <w:rFonts w:ascii="Times New Roman" w:cs="Times New Roman" w:eastAsia="Times New Roman" w:hAnsi="Times New Roman"/>
          <w:sz w:val="20"/>
          <w:szCs w:val="20"/>
          <w:color w:val="auto"/>
        </w:rPr>
        <w:t>(a)    Each Lender shall make each Loan to be made by it hereunder on the proposed date thereof solely by wire transfer of immediately available funds by 12:00 noon, New York City time, to the account of the Administrative Agent most recently designated by it for such purpose by notice to the Lenders. The Administrative Agent will make such Loans available to the applicable Borrowers by promptly crediting the funds so received in the aforesaid account of the Administrative Agent to an account of the applicable Borrowers maintained with the Administrative Agent and designated by such Borrowers in the applicable Borrowing Request.</w:t>
      </w:r>
    </w:p>
    <w:p>
      <w:pPr>
        <w:spacing w:after="0" w:line="185" w:lineRule="exact"/>
        <w:rPr>
          <w:sz w:val="20"/>
          <w:szCs w:val="20"/>
          <w:color w:val="auto"/>
        </w:rPr>
      </w:pPr>
    </w:p>
    <w:p>
      <w:pPr>
        <w:jc w:val="both"/>
        <w:ind w:left="4" w:firstLine="551"/>
        <w:spacing w:after="0" w:line="255" w:lineRule="auto"/>
        <w:rPr>
          <w:sz w:val="20"/>
          <w:szCs w:val="20"/>
          <w:color w:val="auto"/>
        </w:rPr>
      </w:pPr>
      <w:r>
        <w:rPr>
          <w:rFonts w:ascii="Times New Roman" w:cs="Times New Roman" w:eastAsia="Times New Roman" w:hAnsi="Times New Roman"/>
          <w:sz w:val="19"/>
          <w:szCs w:val="19"/>
          <w:color w:val="auto"/>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2.07(a)</w:t>
      </w:r>
      <w:r>
        <w:rPr>
          <w:rFonts w:ascii="Times New Roman" w:cs="Times New Roman" w:eastAsia="Times New Roman" w:hAnsi="Times New Roman"/>
          <w:sz w:val="19"/>
          <w:szCs w:val="19"/>
          <w:color w:val="auto"/>
        </w:rPr>
        <w:t xml:space="preserve"> and may, in reliance upon such assumption, make available to the applicable Borrowers a corresponding amount. In such event, if such Lender has not in fact made its share of the applicable Borrowing available to the Administrative Agent, then such Lender and the applicable Borrowers severally agree to pay to the Administrative Agent forthwith on demand such corresponding amount with interest thereon, for each day from and including the date such amount is made available to the applicable Borrowers to but excluding the date of payment to the Administrative Agent, at</w:t>
      </w:r>
    </w:p>
    <w:p>
      <w:pPr>
        <w:spacing w:after="0" w:line="4" w:lineRule="exact"/>
        <w:rPr>
          <w:sz w:val="20"/>
          <w:szCs w:val="20"/>
          <w:color w:val="auto"/>
        </w:rPr>
      </w:pPr>
    </w:p>
    <w:p>
      <w:pPr>
        <w:jc w:val="both"/>
        <w:ind w:left="4" w:hanging="4"/>
        <w:spacing w:after="0" w:line="261" w:lineRule="auto"/>
        <w:tabs>
          <w:tab w:leader="none" w:pos="26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such Lender, the greater of the NYFRB Rate and a rate determined by the Administrative Agent in accordance with banking industry rules on interbank compensation or (ii) in the case of any Borrower, the interest rate applicable to ABR Loans. If such Lender pays such amount to the Administrative Agent, then such amount shall constitute such Lender’s Loan included in such Borrowing.</w:t>
      </w:r>
    </w:p>
    <w:p>
      <w:pPr>
        <w:spacing w:after="0" w:line="17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4"/>
          </w:cols>
          <w:pgMar w:left="436" w:top="265" w:right="439" w:bottom="1440" w:gutter="0" w:footer="0" w:header="0"/>
        </w:sectPr>
      </w:pPr>
    </w:p>
    <w:bookmarkStart w:id="80" w:name="page81"/>
    <w:bookmarkEnd w:id="80"/>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Each Borrowing initially shall be of the Type specified in the applicable Borrowing Request and, in the case of a Term Benchmark Borrowing, shall have an initial Interest Period as specified in such Borrowing Request. Thereafter, the applicable Borrowers may elect to convert such Borrowing to a different Type or to continue such Borrowing and, in the case of a Term Benchmark Borrowing, may elect Interest Periods therefor, all as provided 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Such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4"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 xml:space="preserve">(b)      To make an election pursuant to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the applicable Borrowers shall notify the Administrative Agent of such election (by irrevocable written notice via an Interest Election Request signed by a Responsible Officer of such Borrower) by the time that a Borrowing Request would be required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if such Borrower were requesting a Borrowing of the Type resulting from such election to be made on the effective date of such election. Notwithstanding any contrary provision herein,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shall not be construed to permit any Borrower to (i) elect an Interest Period for Term Benchmark Loans that does not comply with </w:t>
      </w:r>
      <w:r>
        <w:rPr>
          <w:rFonts w:ascii="Times New Roman" w:cs="Times New Roman" w:eastAsia="Times New Roman" w:hAnsi="Times New Roman"/>
          <w:sz w:val="20"/>
          <w:szCs w:val="20"/>
          <w:u w:val="single" w:color="auto"/>
          <w:color w:val="auto"/>
        </w:rPr>
        <w:t>Section 2.02(d)</w:t>
      </w:r>
      <w:r>
        <w:rPr>
          <w:rFonts w:ascii="Times New Roman" w:cs="Times New Roman" w:eastAsia="Times New Roman" w:hAnsi="Times New Roman"/>
          <w:sz w:val="20"/>
          <w:szCs w:val="20"/>
          <w:color w:val="auto"/>
        </w:rPr>
        <w:t xml:space="preserve"> or (ii) convert any Borrowing to a Borrowing of a Type of Loans other than ABR Loans or Term Benchmark Loans.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(c)       Each Interest Election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shall be specified for each resulting Borrowing);</w:t>
      </w:r>
    </w:p>
    <w:p>
      <w:pPr>
        <w:spacing w:after="0" w:line="1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       the effective date of the election made pursuant to such Interest Election Request, which shall be a Business Day;</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(iii)       whether the resulting Borrowing is to be an ABR Borrowing or a Term Benchmark Borrowing; and</w:t>
      </w:r>
    </w:p>
    <w:p>
      <w:pPr>
        <w:spacing w:after="0" w:line="216"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(iv)      if the resulting Borrowing is a Term Benchmark Borrowing, the Interest Period to be applicable thereto after giving effect to such election, which Interest Period shall be a period contemplated by the definition of the term “Interest Period”.</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applicable Borrowers shall be deemed to have selected an Interest Period of one month’s duration.</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Promptly following receipt of an Interest Election Request, the Administrative Agent shall advise each Lender of the details thereof and of such Lender’s portion of each resulting Borrowing.</w:t>
      </w:r>
    </w:p>
    <w:p>
      <w:pPr>
        <w:spacing w:after="0" w:line="159"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(e)      If any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applicable Borrower, then, so long as an Event of Default is continuing (i) no outstanding Borrowing may be converted to or continued as a Term Benchmark Borrowing and (ii) unless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65" w:right="439" w:bottom="1440" w:gutter="0" w:footer="0" w:header="0"/>
        </w:sectPr>
      </w:pPr>
    </w:p>
    <w:bookmarkStart w:id="81" w:name="page82"/>
    <w:bookmarkEnd w:id="81"/>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repaid, each Term Benchmark Borrowing shall be converted to an ABR Borrowing at the end of the Interest Period applicable thereto.</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Termination of Commitments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(a)    The applicable Borrowers may at any time terminate, or from time to time reduce, any Class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partial reduction of any Class of the Commitments shall be in an amount that is an integral multiple of $1,000,000 and not less than $5,000,000.</w:t>
      </w:r>
    </w:p>
    <w:p>
      <w:pPr>
        <w:spacing w:after="0" w:line="174"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0"/>
          <w:szCs w:val="20"/>
          <w:color w:val="auto"/>
        </w:rPr>
        <w:t xml:space="preserve">(b)    The applicable Borrowers shall notify the Administrative Agent of any election to terminate or reduce any Class of the Commitments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any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or reduction of any Class of the Commitments delivered by a Borrower may state that such notice is conditioned upon the effectiveness of other credit facilities or other transactions or events specified therein, in which case such notice may be revoked or extended by such Borrower or the U.S. Borrower, as applicable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9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Repayment and Amortization of Loans; Evidence of Debt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45" w:lineRule="auto"/>
        <w:rPr>
          <w:sz w:val="20"/>
          <w:szCs w:val="20"/>
          <w:color w:val="auto"/>
        </w:rPr>
      </w:pPr>
      <w:r>
        <w:rPr>
          <w:rFonts w:ascii="Times New Roman" w:cs="Times New Roman" w:eastAsia="Times New Roman" w:hAnsi="Times New Roman"/>
          <w:sz w:val="20"/>
          <w:szCs w:val="20"/>
          <w:color w:val="auto"/>
        </w:rPr>
        <w:t>(a)    The TLA Borrowers hereby unconditionally promise to repay the Initial Tranche A Term Loans in equal consecutive quarterly installments on the last Business Day of each March, June, September and December, commencing on the last Business Day of the first full fiscal quarter of the TopCo Borrower ending after the Closing Date, in an amount equal to (i) commencing with the first full fiscal quarter ending after the Closing Date through the eighth full fiscal quarter ending after the Closing Date, 0.625% and</w:t>
      </w:r>
    </w:p>
    <w:p>
      <w:pPr>
        <w:spacing w:after="0" w:line="1" w:lineRule="exact"/>
        <w:rPr>
          <w:sz w:val="20"/>
          <w:szCs w:val="20"/>
          <w:color w:val="auto"/>
        </w:rPr>
      </w:pPr>
    </w:p>
    <w:p>
      <w:pPr>
        <w:jc w:val="both"/>
        <w:ind w:left="4" w:hanging="4"/>
        <w:spacing w:after="0" w:line="241" w:lineRule="auto"/>
        <w:tabs>
          <w:tab w:leader="none" w:pos="3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commencing with the ninth full fiscal quarter ending after the Closing Date through the last full fiscal quarter ending prior to the Maturity Date applicable to the Initial Tranche A Term Loans, 1.25%, in each case, of the stated principal amount of the Initial Tranche A Term Loans funded on the Closing Date (as such installments may be adjusted from time to time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with the remaining balance thereof payable on the Maturity Date applicable to the Initial Tranche A Term Loans.</w:t>
      </w:r>
    </w:p>
    <w:p>
      <w:pPr>
        <w:spacing w:after="0" w:line="187" w:lineRule="exact"/>
        <w:rPr>
          <w:sz w:val="20"/>
          <w:szCs w:val="20"/>
          <w:color w:val="auto"/>
        </w:rPr>
      </w:pPr>
    </w:p>
    <w:p>
      <w:pPr>
        <w:jc w:val="both"/>
        <w:ind w:left="4" w:right="20" w:firstLine="551"/>
        <w:spacing w:after="0" w:line="245" w:lineRule="auto"/>
        <w:rPr>
          <w:sz w:val="20"/>
          <w:szCs w:val="20"/>
          <w:color w:val="auto"/>
        </w:rPr>
      </w:pPr>
      <w:r>
        <w:rPr>
          <w:rFonts w:ascii="Times New Roman" w:cs="Times New Roman" w:eastAsia="Times New Roman" w:hAnsi="Times New Roman"/>
          <w:sz w:val="20"/>
          <w:szCs w:val="20"/>
          <w:color w:val="auto"/>
        </w:rPr>
        <w:t xml:space="preserve">(b)    The TLB Borrowers hereby unconditionally promise to repay the Initial Tranche B Term Loans in equal consecutive quarterly installments on the last Business Day of each March, June, September and December, commencing on the last Business Day of the first full fiscal quarter ending after the Closing Date, in an amount equal to 0.25% of the stated principal amount of the Initial Tranche B Term Loans funded on the Closing Date (as such installments may be adjusted from time to time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with the remaining balance thereof payable on the Maturity Date applicable to the Initial Tranche B Term Loans.</w:t>
      </w:r>
    </w:p>
    <w:p>
      <w:pPr>
        <w:spacing w:after="0" w:line="184"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4"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(d)    The Administrative Agent shall maintain accounts in which it shall record (i) the amount of each Loan made hereunder, the Class and Type thereof and the Interest Period applicable thereto, (ii) the</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4"/>
          </w:cols>
          <w:pgMar w:left="436" w:top="265" w:right="439" w:bottom="1440" w:gutter="0" w:footer="0" w:header="0"/>
        </w:sectPr>
      </w:pPr>
    </w:p>
    <w:bookmarkStart w:id="82" w:name="page83"/>
    <w:bookmarkEnd w:id="82"/>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any principal or interest due and payable or to become due and payable from the Borrowers to each Lender hereunder and</w:t>
      </w:r>
    </w:p>
    <w:p>
      <w:pPr>
        <w:spacing w:after="0" w:line="22" w:lineRule="exact"/>
        <w:rPr>
          <w:sz w:val="20"/>
          <w:szCs w:val="20"/>
          <w:color w:val="auto"/>
        </w:rPr>
      </w:pPr>
    </w:p>
    <w:p>
      <w:pPr>
        <w:ind w:left="4" w:hanging="4"/>
        <w:spacing w:after="0" w:line="246" w:lineRule="auto"/>
        <w:tabs>
          <w:tab w:leader="none" w:pos="37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sum received by the Administrative Agent hereunder for the account of the Lenders and each Lender’s share thereof.</w:t>
      </w:r>
    </w:p>
    <w:p>
      <w:pPr>
        <w:spacing w:after="0" w:line="182"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(e)    The entries made in the accounts maintained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be prima facie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Obligations (including, without limitation, the obligation of the Borrowers to repay the Loans in accordance with the terms of this Agreement).</w:t>
      </w:r>
    </w:p>
    <w:p>
      <w:pPr>
        <w:spacing w:after="0" w:line="180" w:lineRule="exact"/>
        <w:rPr>
          <w:sz w:val="20"/>
          <w:szCs w:val="20"/>
          <w:color w:val="auto"/>
        </w:rPr>
      </w:pPr>
    </w:p>
    <w:p>
      <w:pPr>
        <w:jc w:val="both"/>
        <w:ind w:left="4" w:firstLine="551"/>
        <w:spacing w:after="0" w:line="247" w:lineRule="auto"/>
        <w:rPr>
          <w:sz w:val="20"/>
          <w:szCs w:val="20"/>
          <w:color w:val="auto"/>
        </w:rPr>
      </w:pPr>
      <w:r>
        <w:rPr>
          <w:rFonts w:ascii="Times New Roman" w:cs="Times New Roman" w:eastAsia="Times New Roman" w:hAnsi="Times New Roman"/>
          <w:sz w:val="20"/>
          <w:szCs w:val="20"/>
          <w:color w:val="auto"/>
        </w:rPr>
        <w:t>(f)    Any Lender may request that Loans made by it be evidenced by a promissory note. In such event, the applicable Borrowers shall prepare, execute and deliver to such Lender a promissory note payable to such Lender (or if requested by such Lender, to such Lender and its registered assigns) and in the form attached hereto as (i) Exhibit H-1 in the case of an Initial Tranche A Term Loan and</w:t>
      </w:r>
    </w:p>
    <w:p>
      <w:pPr>
        <w:ind w:left="544" w:right="6100" w:hanging="544"/>
        <w:spacing w:after="0" w:line="453" w:lineRule="auto"/>
        <w:tabs>
          <w:tab w:leader="none" w:pos="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Exhibit H-2 in the case of an Initial Tranche B Term Loan. Section 2.11 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 xml:space="preserve">(a)    The Borrowers shall have the right at any time and from time to time to prepay any Class of the Loans in whole or in part, subject to prior notice in accordance with the provisions of this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The U.S. Borrower shall notify the Administrative Agent by written notice of any prepayment hereunder (i) in the case of prepayment of a Term Benchmark Borrowing, not later than 11:00 a.m., New York City time, three Business Days before the date of prepayment, (ii) in the case of prepayment of an RFR Borrowing, not later than 11:00 a.m., New York City time, five (5) Business Days before the date of prepayment or (iii) in the case of prepayment of an ABR Borrowing, not later than 11:00 a.m., New York City time, one (1) Business Day before the date of prepayment (in each case, or such later time as approved by the Administrative Agent).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of prepayment of the Loans may state that such notice is conditioned upon the effectiveness of other credit facilities (including, without limitation, credit facilities evidenced by a credit agreement or an indenture) or the consummation of any other transaction or event, in which case such notice may be revoked or extended by the U.S.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Each voluntary prepayment shall be applied ratably to the applicable Class of the Loans included in the prepaid Borrowing in such order of application as directed by the applicable Borrowers, and each mandatory prepayment shall be applied in accordance with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 xml:space="preserve">. Prepayments shall be accompanied by (i) accrued interest to the extent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(ii) any break funding payments required by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(iii) any premiums required by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4" w:firstLine="551"/>
        <w:spacing w:after="0" w:line="245" w:lineRule="auto"/>
        <w:rPr>
          <w:sz w:val="20"/>
          <w:szCs w:val="20"/>
          <w:color w:val="auto"/>
        </w:rPr>
      </w:pPr>
      <w:r>
        <w:rPr>
          <w:rFonts w:ascii="Times New Roman" w:cs="Times New Roman" w:eastAsia="Times New Roman" w:hAnsi="Times New Roman"/>
          <w:sz w:val="20"/>
          <w:szCs w:val="20"/>
          <w:color w:val="auto"/>
        </w:rPr>
        <w:t>(b)    In the event that any TLB Borrower (i) makes any prepayment of Initial Tranche B Term Loans in connection with any Repricing Transaction or (ii) effects any amendment of this Agreement resulting in a Repricing Transaction with respect to Initial Tranche B Term Loans, in each case prior to the six (6) month anniversary of the Closing Date, the TLB Borrowers shall pay a premium in an amount equal to 1.00% of (A) in the case of clause (i), the amount of the Initial Tranche B Term Loans being prepaid or (B) in the case of clause (ii), the aggregate amount of the applicable Initial Tranche B Term Loans outstanding immediately prior to (and subject to) such amendment, in each case to the Administrative Agent, for the ratable account of each of the Initial Tranche B Term Lenders.</w:t>
      </w:r>
    </w:p>
    <w:p>
      <w:pPr>
        <w:spacing w:after="0" w:line="18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(c)     After giving effect to the funding of the Initial Term Loans on the Closing Date:</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4"/>
          </w:cols>
          <w:pgMar w:left="436" w:top="265" w:right="439" w:bottom="1440" w:gutter="0" w:footer="0" w:header="0"/>
        </w:sectPr>
      </w:pPr>
    </w:p>
    <w:bookmarkStart w:id="83" w:name="page84"/>
    <w:bookmarkEnd w:id="83"/>
    <w:p>
      <w:pPr>
        <w:jc w:val="both"/>
        <w:ind w:firstLine="523"/>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In the event and on each occasion that any Net Proceeds are received by or on behalf of the TopCo Borrower or any of its Restricted Subsidiaries in respect of any Prepayment Event and, in the case of any Asset Sale/Casualty Event Prepayment Event, the Net Proceeds received from all such events in the applicable fiscal year exceed the greater of $30,000,000 and 7.5% of Consolidated EBITDA for the most recently ended Test Period, the Borrowers shall, within five Business Days after such Net Proceeds are received (and, in the case of any Asset Sale/Casualty Event Prepayment Event, solely in respect of any amounts in excess of the threshold set forth above), prepay the Term Loans as set forth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 xml:space="preserve"> below in an aggregate amount equal to (x) the Asset Sale/Casualty Event Percentage of such Net Proceeds, in the case of any Asset Sale/Casualty Event Prepayment Event, and (y) 100% of such Net Proceeds, in the case of any event described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the term “Prepayment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Asset Sale/Casualty Event Prepayment Event, no prepayment shall be required pursuant to this paragraph with respect to such Net Proceeds if the TopCo Borrower or its relevant Restricted Subsidiaries intend to reinvest such Net Proceeds in the business of the TopCo Borrower and/or its Restricted Subsidiaries within 365 days after receipt of such Net Proceeds;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to the extent of any such Net Proceeds therefrom that have not been so applied by the end of such 365-day period (or committed to be applied by the end of the 365-day period and applied within six (6) months after the end of such 365-day period), then a prepayment shall be required at such time in an amount equal to such Net Proceeds that have not been so applied;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if at the time that any such prepayment would be required, the TopCo Borrower or any of its Restricted Subsidiaries is required to prepay, or offer to repurchase, with the Net Proceeds of any such Asset Sale/Casualty Event Prepayment Event any Pari Passu Indebtedness pursuant to the terms of the documentation governing such Indebtedness (such Indebtedness required to be offered to be so repurchased, “</w:t>
      </w:r>
      <w:r>
        <w:rPr>
          <w:rFonts w:ascii="Times New Roman" w:cs="Times New Roman" w:eastAsia="Times New Roman" w:hAnsi="Times New Roman"/>
          <w:sz w:val="19"/>
          <w:szCs w:val="19"/>
          <w:u w:val="single" w:color="auto"/>
          <w:color w:val="auto"/>
        </w:rPr>
        <w:t>Other Applicable Indebtedness</w:t>
      </w:r>
      <w:r>
        <w:rPr>
          <w:rFonts w:ascii="Times New Roman" w:cs="Times New Roman" w:eastAsia="Times New Roman" w:hAnsi="Times New Roman"/>
          <w:sz w:val="19"/>
          <w:szCs w:val="19"/>
          <w:color w:val="auto"/>
        </w:rPr>
        <w:t xml:space="preserve">”), then the Borrowers may apply the Net Proceeds on a pro rata basis (determined on the basis of the aggregate outstanding principal amount of the Term Loans and Other Applicable Indebtedness at such time) to the prepayment of such Other Applicable Indebtedness; it being understood that the portion of the Net Proceeds allocated to the Other Applicable Indebtedness shall not exceed the amount of the Net Proceeds required to be allocated to the Other Applicable Indebtedness pursuant to the terms thereof (and the remaining amount, if any, of the Net Proceeds shall be allocated to the Term Loans in accordance with the terms hereof), and the amount of the prepayment of the Term Loans that would have otherwise been required pursuant to this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be reduced accordingly;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solely for purposes of this </w:t>
      </w:r>
      <w:r>
        <w:rPr>
          <w:rFonts w:ascii="Times New Roman" w:cs="Times New Roman" w:eastAsia="Times New Roman" w:hAnsi="Times New Roman"/>
          <w:sz w:val="19"/>
          <w:szCs w:val="19"/>
          <w:u w:val="single" w:color="auto"/>
          <w:color w:val="auto"/>
        </w:rPr>
        <w:t>clause (c)(i)</w:t>
      </w:r>
      <w:r>
        <w:rPr>
          <w:rFonts w:ascii="Times New Roman" w:cs="Times New Roman" w:eastAsia="Times New Roman" w:hAnsi="Times New Roman"/>
          <w:sz w:val="19"/>
          <w:szCs w:val="19"/>
          <w:color w:val="auto"/>
        </w:rPr>
        <w:t xml:space="preserve">, “Net Proceeds” shall exclude amounts received by any Foreign Subsidiary to the extent such proceeds have not been repatriated and for so long as such repatriation would have material adverse tax consequences to the TopCo Borrower and its Restricted Subsidiaries (as determined by the U.S. Borrower in its good faith judgment) (it is understood and agreed that, if such proceeds may be repatriated at a later time without material adverse tax consequences, such proceeds shall constitute Net Proceeds for the purpose of this </w:t>
      </w:r>
      <w:r>
        <w:rPr>
          <w:rFonts w:ascii="Times New Roman" w:cs="Times New Roman" w:eastAsia="Times New Roman" w:hAnsi="Times New Roman"/>
          <w:sz w:val="19"/>
          <w:szCs w:val="19"/>
          <w:u w:val="single" w:color="auto"/>
          <w:color w:val="auto"/>
        </w:rPr>
        <w:t>clause (c)(i)</w:t>
      </w:r>
      <w:r>
        <w:rPr>
          <w:rFonts w:ascii="Times New Roman" w:cs="Times New Roman" w:eastAsia="Times New Roman" w:hAnsi="Times New Roman"/>
          <w:sz w:val="19"/>
          <w:szCs w:val="19"/>
          <w:color w:val="auto"/>
        </w:rPr>
        <w:t xml:space="preserve"> at such later time and shall not be subject to the thresholds set forth in the definition of Prepayment Event). Concurrently with the delivery of any financial statements pursuant to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to the extent not previously disclosed and delivered to the Administrative Agent, the U.S. Borrower shall deliver a written notice executed by a Responsible Officer of the U.S. Borrower certifying as to the relevant portion of the Net Proceeds from any Asset Sale/Casualty Event Prepayment Event subject to reinvestment pursuant to this </w:t>
      </w:r>
      <w:r>
        <w:rPr>
          <w:rFonts w:ascii="Times New Roman" w:cs="Times New Roman" w:eastAsia="Times New Roman" w:hAnsi="Times New Roman"/>
          <w:sz w:val="19"/>
          <w:szCs w:val="19"/>
          <w:u w:val="single" w:color="auto"/>
          <w:color w:val="auto"/>
        </w:rPr>
        <w:t>Section 2.11(c)(i)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both"/>
        <w:ind w:firstLine="523"/>
        <w:spacing w:after="0" w:line="246" w:lineRule="auto"/>
        <w:rPr>
          <w:sz w:val="20"/>
          <w:szCs w:val="20"/>
          <w:color w:val="auto"/>
        </w:rPr>
      </w:pPr>
      <w:r>
        <w:rPr>
          <w:rFonts w:ascii="Times New Roman" w:cs="Times New Roman" w:eastAsia="Times New Roman" w:hAnsi="Times New Roman"/>
          <w:sz w:val="20"/>
          <w:szCs w:val="20"/>
          <w:color w:val="auto"/>
        </w:rPr>
        <w:t xml:space="preserve">(ii)    If, for any Excess Cash Flow Period, there shall be Excess Cash Flow, the Borrowers shall, on the relevant Excess Cash Flow Application Date, apply toward the prepayment of the Term Loans as set forth in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 xml:space="preserve"> an amount equal to the excess of (x) the ECF Percentage of such Excess Cash Flow over (y) (A) the aggregate amount of all voluntary prepayments of Loans and Pari Passu Indebtedness (excluding (i) prepayments made with the proceeds of long-term Indebtedness (other than extensions of credit under any revolving credit or</w:t>
      </w:r>
    </w:p>
    <w:p>
      <w:pPr>
        <w:spacing w:after="0" w:line="1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480"/>
          </w:cols>
          <w:pgMar w:left="980" w:top="265" w:right="439" w:bottom="1440" w:gutter="0" w:footer="0" w:header="0"/>
        </w:sectPr>
      </w:pPr>
    </w:p>
    <w:bookmarkStart w:id="84" w:name="page85"/>
    <w:bookmarkEnd w:id="84"/>
    <w:p>
      <w:pPr>
        <w:jc w:val="both"/>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similar facility) and (ii) prepayments in respect of any revolving credit facility to the extent not accompanied by a permanent reduction in commitments thereunder) and the aggregate amount of purchases by a Purchasing Borrower Party of Loans and Pari Passu Indebtedness (excluding (i) purchases made with the proceeds of long-term Indebtedness (other than extensions of credit under any revolving credit or similar facility) and (ii) purchases in respect of any revolving credit facility to the extent not accompanied by a permanent reduction in commitments thereunder) pursuant to a Dutch auction or open market purchases (including, without limitation, non-pro rata and privately negotiated purchases) (in each case, determined by the cash consideration in respect of the Loans or Pari Passu Indebtedness purchased by such Purchasing Borrower Party), (B) the aggregate amount actually paid in cash by the TopCo Borrower and its Restricted Subsidiaries (other than payments made from the proceeds of long-term Indebtedness (other than extensions of credit under any revolving credit or similar facility)) on account of Capital Expenditures and other Investments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any intercompany investments) and (C) any amounts paid by the TopCo Borrower and its Restricted Subsidiaries in respect of the CVRs, in each case of clause (A), (B) or (C), during such Excess Cash Flow Period (the “</w:t>
      </w:r>
      <w:r>
        <w:rPr>
          <w:rFonts w:ascii="Times New Roman" w:cs="Times New Roman" w:eastAsia="Times New Roman" w:hAnsi="Times New Roman"/>
          <w:sz w:val="20"/>
          <w:szCs w:val="20"/>
          <w:u w:val="single" w:color="auto"/>
          <w:color w:val="auto"/>
        </w:rPr>
        <w:t>ECF Prepayment Amount</w:t>
      </w:r>
      <w:r>
        <w:rPr>
          <w:rFonts w:ascii="Times New Roman" w:cs="Times New Roman" w:eastAsia="Times New Roman" w:hAnsi="Times New Roman"/>
          <w:sz w:val="20"/>
          <w:szCs w:val="20"/>
          <w:color w:val="auto"/>
        </w:rPr>
        <w:t>”). Each such prepayment shall be made on a date (an “</w:t>
      </w:r>
      <w:r>
        <w:rPr>
          <w:rFonts w:ascii="Times New Roman" w:cs="Times New Roman" w:eastAsia="Times New Roman" w:hAnsi="Times New Roman"/>
          <w:sz w:val="20"/>
          <w:szCs w:val="20"/>
          <w:u w:val="single" w:color="auto"/>
          <w:color w:val="auto"/>
        </w:rPr>
        <w:t>Excess 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Flow Application Date</w:t>
      </w:r>
      <w:r>
        <w:rPr>
          <w:rFonts w:ascii="Times New Roman" w:cs="Times New Roman" w:eastAsia="Times New Roman" w:hAnsi="Times New Roman"/>
          <w:sz w:val="20"/>
          <w:szCs w:val="20"/>
          <w:color w:val="auto"/>
        </w:rPr>
        <w:t xml:space="preserve">”) no later than five Business Days after the earlier of (i) the date on which the financial statements of the TopCo Borrower referred to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for the Excess Cash Flow Period with respect to which such prepayment is made, are required to be delivered to the Lenders and (ii) the date such financial statements are actually delivered;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prepayments under this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 xml:space="preserve"> shall only be required to the extent such prepayments would result in the payment of an amount greater than the greater of $42,100,000 and 10.0% of Consolidated EBITDA for the most recently ended Test Period in any fiscal year (and only amounts in excess of the greater of $ $42,100,000 and 10.0% of Consolidated EBITDA for the most recently ended Test Period shall be required to be prepaid in any fiscal year);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Excess Cash Flow shall exclude amounts generated by a Foreign Subsidiary (“</w:t>
      </w:r>
      <w:r>
        <w:rPr>
          <w:rFonts w:ascii="Times New Roman" w:cs="Times New Roman" w:eastAsia="Times New Roman" w:hAnsi="Times New Roman"/>
          <w:sz w:val="20"/>
          <w:szCs w:val="20"/>
          <w:u w:val="single" w:color="auto"/>
          <w:color w:val="auto"/>
        </w:rPr>
        <w:t>Foreign Excess Cash Flow</w:t>
      </w:r>
      <w:r>
        <w:rPr>
          <w:rFonts w:ascii="Times New Roman" w:cs="Times New Roman" w:eastAsia="Times New Roman" w:hAnsi="Times New Roman"/>
          <w:sz w:val="20"/>
          <w:szCs w:val="20"/>
          <w:color w:val="auto"/>
        </w:rPr>
        <w:t xml:space="preserve">”) to the extent that such Foreign Excess Cash Flow has not been repatriated and for so long as such repatriation would have material adverse tax consequences to the TopCo Borrower and its Restricted Subsidiaries (as determined by the U.S. Borrower in its good faith judgment) (it is understood and agreed that, if such Foreign Excess Cash Flow may be repatriated at a later time without material adverse tax consequences, such Foreign Excess Cash Flow shall constitute Excess Cash Flow for the purpose of this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 xml:space="preserve"> at such later time and shall not be subject to the thresholds set forth in the first </w:t>
      </w:r>
      <w:r>
        <w:rPr>
          <w:rFonts w:ascii="Times New Roman" w:cs="Times New Roman" w:eastAsia="Times New Roman" w:hAnsi="Times New Roman"/>
          <w:sz w:val="20"/>
          <w:szCs w:val="20"/>
          <w:i w:val="1"/>
          <w:iCs w:val="1"/>
          <w:color w:val="auto"/>
        </w:rPr>
        <w:t>proviso</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551"/>
        <w:spacing w:after="0" w:line="263" w:lineRule="auto"/>
        <w:rPr>
          <w:sz w:val="20"/>
          <w:szCs w:val="20"/>
          <w:color w:val="auto"/>
        </w:rPr>
      </w:pPr>
      <w:r>
        <w:rPr>
          <w:rFonts w:ascii="Times New Roman" w:cs="Times New Roman" w:eastAsia="Times New Roman" w:hAnsi="Times New Roman"/>
          <w:sz w:val="19"/>
          <w:szCs w:val="19"/>
          <w:color w:val="auto"/>
        </w:rPr>
        <w:t xml:space="preserve">(d)    Notwithstanding the foregoing, any Lender may elect, by written notice to the Administrative Agent at least one Business Day (or such shorter period as may be established by the Administrative Agent) prior to the required prepayment date, to decline all or any portion of any prepayment of its Term Loan pursuant to </w:t>
      </w:r>
      <w:r>
        <w:rPr>
          <w:rFonts w:ascii="Times New Roman" w:cs="Times New Roman" w:eastAsia="Times New Roman" w:hAnsi="Times New Roman"/>
          <w:sz w:val="19"/>
          <w:szCs w:val="19"/>
          <w:u w:val="single" w:color="auto"/>
          <w:color w:val="auto"/>
        </w:rPr>
        <w:t>Section 2.11(c)(i)</w:t>
      </w:r>
      <w:r>
        <w:rPr>
          <w:rFonts w:ascii="Times New Roman" w:cs="Times New Roman" w:eastAsia="Times New Roman" w:hAnsi="Times New Roman"/>
          <w:sz w:val="19"/>
          <w:szCs w:val="19"/>
          <w:color w:val="auto"/>
        </w:rPr>
        <w:t xml:space="preserve"> (in respect of a prepayment with respect to an Asset Sale/Casualty Event Prepayment Event) or </w:t>
      </w:r>
      <w:r>
        <w:rPr>
          <w:rFonts w:ascii="Times New Roman" w:cs="Times New Roman" w:eastAsia="Times New Roman" w:hAnsi="Times New Roman"/>
          <w:sz w:val="19"/>
          <w:szCs w:val="19"/>
          <w:u w:val="single" w:color="auto"/>
          <w:color w:val="auto"/>
        </w:rPr>
        <w:t>Section 2.11(c)(ii)</w:t>
      </w:r>
      <w:r>
        <w:rPr>
          <w:rFonts w:ascii="Times New Roman" w:cs="Times New Roman" w:eastAsia="Times New Roman" w:hAnsi="Times New Roman"/>
          <w:sz w:val="19"/>
          <w:szCs w:val="19"/>
          <w:color w:val="auto"/>
        </w:rPr>
        <w:t xml:space="preserve"> (such declined amounts, “</w:t>
      </w:r>
      <w:r>
        <w:rPr>
          <w:rFonts w:ascii="Times New Roman" w:cs="Times New Roman" w:eastAsia="Times New Roman" w:hAnsi="Times New Roman"/>
          <w:sz w:val="19"/>
          <w:szCs w:val="19"/>
          <w:u w:val="single" w:color="auto"/>
          <w:color w:val="auto"/>
        </w:rPr>
        <w:t>Declined Proceeds</w:t>
      </w:r>
      <w:r>
        <w:rPr>
          <w:rFonts w:ascii="Times New Roman" w:cs="Times New Roman" w:eastAsia="Times New Roman" w:hAnsi="Times New Roman"/>
          <w:sz w:val="19"/>
          <w:szCs w:val="19"/>
          <w:color w:val="auto"/>
        </w:rPr>
        <w:t>”), in which case the aggregate amount of the payment that would have been applied to prepay Term Loans but was so declined may be retained by the Borrowers.</w:t>
      </w:r>
    </w:p>
    <w:p>
      <w:pPr>
        <w:spacing w:after="0" w:line="166"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9"/>
          <w:szCs w:val="19"/>
          <w:color w:val="auto"/>
        </w:rPr>
        <w:t xml:space="preserve">(e)    All such amounts pursuant to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reduce the outstanding principal amounts of the Term Loans held by the Lenders on a pro rata basis and shall be applied to the remaining scheduled principal installments of the Term Loans as directed by the applicable Borrowers (and in the absence of such direction in direct order of maturity). The application of any prepayment of Term Loans pursuant to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be made, first, to ABR Loans, second, to RFR Loans (if applicable) and third, to Term Benchmark Loans.</w:t>
      </w:r>
    </w:p>
    <w:p>
      <w:pPr>
        <w:spacing w:after="0" w:line="165"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(f)    Except as otherwise contemplated by this Agreement or provided in, or intended with respect to, any Incremental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Incremental Amendment may not, without the consent of the requisite Lenders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provide that the applicable Class of Term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65" w:right="439" w:bottom="1440" w:gutter="0" w:footer="0" w:header="0"/>
        </w:sectPr>
      </w:pPr>
    </w:p>
    <w:bookmarkStart w:id="85" w:name="page86"/>
    <w:bookmarkEnd w:id="85"/>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Loans receive a greater than pro rata portion of mandatory prepayments of Term Loans pursuant to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than would otherwise be permitted by this Agreement), in each case effectuated or issued in a manner consistent with this Agreement, each prepayment of Term Loans pursuant to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shall be allocated ratably between the Initial Tranche A Term Facility and the Initial Tranche B Term Facility and, if applicable, each other Class of Term Loans (if any) then outstanding and ratably among the parties entitled thereto.</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TLB Ticking Fee</w:t>
      </w:r>
      <w:r>
        <w:rPr>
          <w:rFonts w:ascii="Times New Roman" w:cs="Times New Roman" w:eastAsia="Times New Roman" w:hAnsi="Times New Roman"/>
          <w:sz w:val="20"/>
          <w:szCs w:val="20"/>
          <w:color w:val="auto"/>
        </w:rPr>
        <w:t>. The TLB Borrowers agree to pay to the Administrative Agent, for the ratable account of each Initial Tranche B Term Lender (other than a Defaulting Lender), a ticking fee (the “</w:t>
      </w:r>
      <w:r>
        <w:rPr>
          <w:rFonts w:ascii="Times New Roman" w:cs="Times New Roman" w:eastAsia="Times New Roman" w:hAnsi="Times New Roman"/>
          <w:sz w:val="20"/>
          <w:szCs w:val="20"/>
          <w:u w:val="single" w:color="auto"/>
          <w:color w:val="auto"/>
        </w:rPr>
        <w:t>TLB Ticking Fee</w:t>
      </w:r>
      <w:r>
        <w:rPr>
          <w:rFonts w:ascii="Times New Roman" w:cs="Times New Roman" w:eastAsia="Times New Roman" w:hAnsi="Times New Roman"/>
          <w:sz w:val="20"/>
          <w:szCs w:val="20"/>
          <w:color w:val="auto"/>
        </w:rPr>
        <w:t>”), which shall accrue on the daily amount of the aggregate principal amount of the Initial Tranche B Term Commitments during the period from and including the date of the allocation of the Initial Tranche B Term Commitments (the “</w:t>
      </w:r>
      <w:r>
        <w:rPr>
          <w:rFonts w:ascii="Times New Roman" w:cs="Times New Roman" w:eastAsia="Times New Roman" w:hAnsi="Times New Roman"/>
          <w:sz w:val="20"/>
          <w:szCs w:val="20"/>
          <w:u w:val="single" w:color="auto"/>
          <w:color w:val="auto"/>
        </w:rPr>
        <w:t>Allocation Date</w:t>
      </w:r>
      <w:r>
        <w:rPr>
          <w:rFonts w:ascii="Times New Roman" w:cs="Times New Roman" w:eastAsia="Times New Roman" w:hAnsi="Times New Roman"/>
          <w:sz w:val="20"/>
          <w:szCs w:val="20"/>
          <w:color w:val="auto"/>
        </w:rPr>
        <w:t xml:space="preserve">”) to but excluding the Closing Date, at the applicable rates </w:t>
      </w:r>
      <w:r>
        <w:rPr>
          <w:rFonts w:ascii="Times New Roman" w:cs="Times New Roman" w:eastAsia="Times New Roman" w:hAnsi="Times New Roman"/>
          <w:sz w:val="20"/>
          <w:szCs w:val="20"/>
          <w:i w:val="1"/>
          <w:iCs w:val="1"/>
          <w:color w:val="auto"/>
        </w:rPr>
        <w:t xml:space="preserve">per annum </w:t>
      </w:r>
      <w:r>
        <w:rPr>
          <w:rFonts w:ascii="Times New Roman" w:cs="Times New Roman" w:eastAsia="Times New Roman" w:hAnsi="Times New Roman"/>
          <w:sz w:val="20"/>
          <w:szCs w:val="20"/>
          <w:color w:val="auto"/>
        </w:rPr>
        <w:t>set forth below:</w:t>
      </w:r>
    </w:p>
    <w:p>
      <w:pPr>
        <w:spacing w:after="0" w:line="185" w:lineRule="exact"/>
        <w:rPr>
          <w:sz w:val="20"/>
          <w:szCs w:val="20"/>
          <w:color w:val="auto"/>
        </w:rPr>
      </w:pPr>
    </w:p>
    <w:p>
      <w:pPr>
        <w:ind w:left="540" w:right="20" w:firstLine="523"/>
        <w:spacing w:after="0" w:line="207" w:lineRule="auto"/>
        <w:rPr>
          <w:sz w:val="20"/>
          <w:szCs w:val="20"/>
          <w:color w:val="auto"/>
        </w:rPr>
      </w:pPr>
      <w:r>
        <w:rPr>
          <w:rFonts w:ascii="Times New Roman" w:cs="Times New Roman" w:eastAsia="Times New Roman" w:hAnsi="Times New Roman"/>
          <w:sz w:val="20"/>
          <w:szCs w:val="20"/>
          <w:color w:val="auto"/>
        </w:rPr>
        <w:t>(i)    from the period commencing on the Allocation Date through (and including)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following the Allocation Date, 0%;</w:t>
      </w:r>
    </w:p>
    <w:p>
      <w:pPr>
        <w:spacing w:after="0" w:line="189" w:lineRule="exact"/>
        <w:rPr>
          <w:sz w:val="20"/>
          <w:szCs w:val="20"/>
          <w:color w:val="auto"/>
        </w:rPr>
      </w:pPr>
    </w:p>
    <w:p>
      <w:pPr>
        <w:ind w:left="540" w:right="20" w:firstLine="523"/>
        <w:spacing w:after="0" w:line="207" w:lineRule="auto"/>
        <w:rPr>
          <w:sz w:val="20"/>
          <w:szCs w:val="20"/>
          <w:color w:val="auto"/>
        </w:rPr>
      </w:pPr>
      <w:r>
        <w:rPr>
          <w:rFonts w:ascii="Times New Roman" w:cs="Times New Roman" w:eastAsia="Times New Roman" w:hAnsi="Times New Roman"/>
          <w:sz w:val="20"/>
          <w:szCs w:val="20"/>
          <w:color w:val="auto"/>
        </w:rPr>
        <w:t>(ii)    from the period commencing on the 61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following the Allocation Date through (and including)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following the Allocation Date, 1.375%; and</w:t>
      </w:r>
    </w:p>
    <w:p>
      <w:pPr>
        <w:spacing w:after="0" w:line="189" w:lineRule="exact"/>
        <w:rPr>
          <w:sz w:val="20"/>
          <w:szCs w:val="20"/>
          <w:color w:val="auto"/>
        </w:rPr>
      </w:pPr>
    </w:p>
    <w:p>
      <w:pPr>
        <w:ind w:left="540" w:right="20" w:firstLine="523"/>
        <w:spacing w:after="0" w:line="207" w:lineRule="auto"/>
        <w:rPr>
          <w:sz w:val="20"/>
          <w:szCs w:val="20"/>
          <w:color w:val="auto"/>
        </w:rPr>
      </w:pPr>
      <w:r>
        <w:rPr>
          <w:rFonts w:ascii="Times New Roman" w:cs="Times New Roman" w:eastAsia="Times New Roman" w:hAnsi="Times New Roman"/>
          <w:sz w:val="20"/>
          <w:szCs w:val="20"/>
          <w:color w:val="auto"/>
        </w:rPr>
        <w:t>(iii)    from the period commencing on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20"/>
          <w:szCs w:val="20"/>
          <w:color w:val="auto"/>
        </w:rPr>
        <w:t xml:space="preserve"> day following the Allocation Date through (and excluding) the Closing Date, 2.75%.</w:t>
      </w:r>
    </w:p>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TLB Ticking Fee shall be earned, due and payable on the Closing Date. The TLB Ticking Fee shall be computed on the basis of a year of 360 days and shall be payable for the actual number of days elapsed (including the first day but excluding the last day).</w:t>
      </w:r>
    </w:p>
    <w:p>
      <w:pPr>
        <w:spacing w:after="0" w:line="159"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The Borrowers agree to pay the fees described in the Fee Letters to the applicable parties entitled thereto (including the annual administrative agent fee as described in the Agent Fee Letter).</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(c)    All fees payable hereunder shall be paid on the dates due, in Dollars and immediately available funds, to the parties specified herein. Fees paid shall not be refundable under any circumstances.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(a)     The Loans comprising each ABR Borrowing shall bear interest at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(b)    The Loans comprising each Term Benchmark Borrowing shall bear interest at the Term SOFR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(c)     Each RFR Loan shall bear interest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22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(d)    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in the case of overdue principal of any Loan, 2%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65" w:right="439" w:bottom="1440" w:gutter="0" w:footer="0" w:header="0"/>
        </w:sectPr>
      </w:pPr>
    </w:p>
    <w:bookmarkStart w:id="86" w:name="page87"/>
    <w:bookmarkEnd w:id="86"/>
    <w:p>
      <w:pPr>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such Loan as provided in the preceding paragraphs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(ii) in the case of any other amount, 2%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ABR Loans as provided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(e)     Accrued interest on each Loan shall be payable in arrears on each Interest Payment Date for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2" w:lineRule="exact"/>
        <w:rPr>
          <w:sz w:val="20"/>
          <w:szCs w:val="20"/>
          <w:color w:val="auto"/>
        </w:rPr>
      </w:pPr>
    </w:p>
    <w:p>
      <w:pPr>
        <w:jc w:val="both"/>
        <w:ind w:left="4" w:hanging="4"/>
        <w:spacing w:after="0" w:line="241" w:lineRule="auto"/>
        <w:tabs>
          <w:tab w:leader="none" w:pos="24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accrued pursuant to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shall be payable on demand, (ii) in the event of any repayment or prepayment of any Loan,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8" w:lineRule="exact"/>
        <w:rPr>
          <w:sz w:val="20"/>
          <w:szCs w:val="20"/>
          <w:color w:val="auto"/>
        </w:rPr>
      </w:pPr>
    </w:p>
    <w:p>
      <w:pPr>
        <w:jc w:val="both"/>
        <w:ind w:left="4" w:right="20" w:firstLine="551"/>
        <w:spacing w:after="0" w:line="246" w:lineRule="auto"/>
        <w:rPr>
          <w:sz w:val="20"/>
          <w:szCs w:val="20"/>
          <w:color w:val="auto"/>
        </w:rPr>
      </w:pPr>
      <w:r>
        <w:rPr>
          <w:rFonts w:ascii="Times New Roman" w:cs="Times New Roman" w:eastAsia="Times New Roman" w:hAnsi="Times New Roman"/>
          <w:sz w:val="20"/>
          <w:szCs w:val="20"/>
          <w:color w:val="auto"/>
        </w:rPr>
        <w:t>(f)    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and in each case shall be payable for the actual number of days elapsed (including the first day but excluding the last day). A determination of the applicable Alternate Base Rate, Term SOFR Rate or Daily Simple SOFR shall be determined by the Administrative Agent, and such determination shall be conclusive absent manifest error.</w:t>
      </w:r>
    </w:p>
    <w:p>
      <w:pPr>
        <w:spacing w:after="0" w:line="18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(a)     Subject to </w:t>
      </w:r>
      <w:r>
        <w:rPr>
          <w:rFonts w:ascii="Times New Roman" w:cs="Times New Roman" w:eastAsia="Times New Roman" w:hAnsi="Times New Roman"/>
          <w:sz w:val="20"/>
          <w:szCs w:val="20"/>
          <w:u w:val="single" w:color="auto"/>
          <w:color w:val="auto"/>
        </w:rPr>
        <w:t>clauses (b), (c), (d), (e)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if:</w:t>
      </w:r>
    </w:p>
    <w:p>
      <w:pPr>
        <w:spacing w:after="0" w:line="216" w:lineRule="exact"/>
        <w:rPr>
          <w:sz w:val="20"/>
          <w:szCs w:val="20"/>
          <w:color w:val="auto"/>
        </w:rPr>
      </w:pPr>
    </w:p>
    <w:p>
      <w:pPr>
        <w:jc w:val="both"/>
        <w:ind w:left="544" w:firstLine="523"/>
        <w:spacing w:after="0" w:line="249" w:lineRule="auto"/>
        <w:rPr>
          <w:sz w:val="20"/>
          <w:szCs w:val="20"/>
          <w:color w:val="auto"/>
        </w:rPr>
      </w:pPr>
      <w:r>
        <w:rPr>
          <w:rFonts w:ascii="Times New Roman" w:cs="Times New Roman" w:eastAsia="Times New Roman" w:hAnsi="Times New Roman"/>
          <w:sz w:val="20"/>
          <w:szCs w:val="20"/>
          <w:color w:val="auto"/>
        </w:rPr>
        <w:t>(i)    the Administrative Agent determines (which determination shall be conclusive absent manifest error)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w:t>
      </w:r>
    </w:p>
    <w:p>
      <w:pPr>
        <w:spacing w:after="0" w:line="180" w:lineRule="exact"/>
        <w:rPr>
          <w:sz w:val="20"/>
          <w:szCs w:val="20"/>
          <w:color w:val="auto"/>
        </w:rPr>
      </w:pPr>
    </w:p>
    <w:p>
      <w:pPr>
        <w:jc w:val="both"/>
        <w:ind w:left="544" w:right="20" w:firstLine="523"/>
        <w:spacing w:after="0" w:line="254" w:lineRule="auto"/>
        <w:rPr>
          <w:sz w:val="20"/>
          <w:szCs w:val="20"/>
          <w:color w:val="auto"/>
        </w:rPr>
      </w:pPr>
      <w:r>
        <w:rPr>
          <w:rFonts w:ascii="Times New Roman" w:cs="Times New Roman" w:eastAsia="Times New Roman" w:hAnsi="Times New Roman"/>
          <w:sz w:val="20"/>
          <w:szCs w:val="20"/>
          <w:color w:val="auto"/>
        </w:rPr>
        <w:t>(ii)    the Administrative Agent is advised by the Required Lenders that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w:t>
      </w:r>
    </w:p>
    <w:p>
      <w:pPr>
        <w:spacing w:after="0" w:line="174" w:lineRule="exact"/>
        <w:rPr>
          <w:sz w:val="20"/>
          <w:szCs w:val="20"/>
          <w:color w:val="auto"/>
        </w:rPr>
      </w:pPr>
    </w:p>
    <w:p>
      <w:pPr>
        <w:jc w:val="both"/>
        <w:ind w:left="4"/>
        <w:spacing w:after="0" w:line="241" w:lineRule="auto"/>
        <w:rPr>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U.S. Borrower and the Lenders by telephone, telecopy or electronic mail as promptly as practicable thereafter and, until (x) the Administrative Agent notifies the U.S. Borrower and the Lenders that the circumstances giving rise to such notice no longer exist and (y) each applicable Borrower delivers a new Interest Election Request in accordance with the terms of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any Interest Election Request that requests the conversion of any Borrowing to, or continuation of any Borrowing as, a Term Benchmark Borrowing shall instead be deemed to be an Interest Election Request, as applicable, for (1) an RFR Borrowing so long as (A) adequate and reasonable means (as determined by the Administrative Agent) exist for ascertaining the Daily Simple SOFR and (B) Daily Simple SOFR will (as determined by the Administrative Agent) adequately and fairly reflect the cost to the Lenders of making or maintaining their Loans included in such Borrowing or (2) an ABR Borrowing if </w:t>
      </w:r>
      <w:r>
        <w:rPr>
          <w:rFonts w:ascii="Times New Roman" w:cs="Times New Roman" w:eastAsia="Times New Roman" w:hAnsi="Times New Roman"/>
          <w:sz w:val="20"/>
          <w:szCs w:val="20"/>
          <w:u w:val="single" w:color="auto"/>
          <w:color w:val="auto"/>
        </w:rPr>
        <w:t>clauses (1)(A)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(1)(B)</w:t>
      </w:r>
      <w:r>
        <w:rPr>
          <w:rFonts w:ascii="Times New Roman" w:cs="Times New Roman" w:eastAsia="Times New Roman" w:hAnsi="Times New Roman"/>
          <w:sz w:val="20"/>
          <w:szCs w:val="20"/>
          <w:color w:val="auto"/>
        </w:rPr>
        <w:t xml:space="preserve"> above are satisfied. Furthermore, if any Term Benchmark Loan is outstanding on the date of the U.S. Borrower’s receipt of the notice from the Administrative Agent referred to in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with respect to a Relevant Rate applicable to such Term Benchmark Loan, then until (x) the Administrative Agent notifies the U.S. Borrower and the Lenders that the circumstances giving rise to such notice no longer exist with respect to the relevant Benchmark and (y) each applicable Borrower delivers a new Interest Election Request in accordance with the terms of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any Term Benchmark Loan shall on the last day of the Interest Period applicable to such Loan, be converted by the Administrative</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4"/>
          </w:cols>
          <w:pgMar w:left="436" w:top="265" w:right="439" w:bottom="1440" w:gutter="0" w:footer="0" w:header="0"/>
        </w:sectPr>
      </w:pPr>
    </w:p>
    <w:bookmarkStart w:id="87" w:name="page88"/>
    <w:bookmarkEnd w:id="87"/>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to, and shall constitute, (x) an RFR Borrowing so long as </w:t>
      </w:r>
      <w:r>
        <w:rPr>
          <w:rFonts w:ascii="Times New Roman" w:cs="Times New Roman" w:eastAsia="Times New Roman" w:hAnsi="Times New Roman"/>
          <w:sz w:val="20"/>
          <w:szCs w:val="20"/>
          <w:u w:val="single" w:color="auto"/>
          <w:color w:val="auto"/>
        </w:rPr>
        <w:t>clauses (1)(A)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(1)(B)</w:t>
      </w:r>
      <w:r>
        <w:rPr>
          <w:rFonts w:ascii="Times New Roman" w:cs="Times New Roman" w:eastAsia="Times New Roman" w:hAnsi="Times New Roman"/>
          <w:sz w:val="20"/>
          <w:szCs w:val="20"/>
          <w:color w:val="auto"/>
        </w:rPr>
        <w:t xml:space="preserve"> of the immediately preceding sentence are met or (y) an ABR Loan if </w:t>
      </w:r>
      <w:r>
        <w:rPr>
          <w:rFonts w:ascii="Times New Roman" w:cs="Times New Roman" w:eastAsia="Times New Roman" w:hAnsi="Times New Roman"/>
          <w:sz w:val="20"/>
          <w:szCs w:val="20"/>
          <w:u w:val="single" w:color="auto"/>
          <w:color w:val="auto"/>
        </w:rPr>
        <w:t>clauses (1)(A)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(1)(B)</w:t>
      </w:r>
      <w:r>
        <w:rPr>
          <w:rFonts w:ascii="Times New Roman" w:cs="Times New Roman" w:eastAsia="Times New Roman" w:hAnsi="Times New Roman"/>
          <w:sz w:val="20"/>
          <w:szCs w:val="20"/>
          <w:color w:val="auto"/>
        </w:rPr>
        <w:t xml:space="preserve"> of the immediately preceding sentence are not satisfied.</w:t>
      </w:r>
    </w:p>
    <w:p>
      <w:pPr>
        <w:spacing w:after="0" w:line="159" w:lineRule="exact"/>
        <w:rPr>
          <w:sz w:val="20"/>
          <w:szCs w:val="20"/>
          <w:color w:val="auto"/>
        </w:rPr>
      </w:pPr>
    </w:p>
    <w:p>
      <w:pPr>
        <w:jc w:val="both"/>
        <w:ind w:left="4" w:right="20" w:firstLine="551"/>
        <w:spacing w:after="0" w:line="242" w:lineRule="auto"/>
        <w:rPr>
          <w:sz w:val="20"/>
          <w:szCs w:val="20"/>
          <w:color w:val="auto"/>
        </w:rPr>
      </w:pPr>
      <w:r>
        <w:rPr>
          <w:rFonts w:ascii="Times New Roman" w:cs="Times New Roman" w:eastAsia="Times New Roman" w:hAnsi="Times New Roman"/>
          <w:sz w:val="20"/>
          <w:szCs w:val="20"/>
          <w:color w:val="auto"/>
        </w:rPr>
        <w:t xml:space="preserve">(b)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7" w:lineRule="exact"/>
        <w:rPr>
          <w:sz w:val="20"/>
          <w:szCs w:val="20"/>
          <w:color w:val="auto"/>
        </w:rPr>
      </w:pPr>
    </w:p>
    <w:p>
      <w:pPr>
        <w:jc w:val="both"/>
        <w:ind w:left="4" w:firstLine="551"/>
        <w:spacing w:after="0" w:line="246" w:lineRule="auto"/>
        <w:rPr>
          <w:sz w:val="20"/>
          <w:szCs w:val="20"/>
          <w:color w:val="auto"/>
        </w:rPr>
      </w:pPr>
      <w:r>
        <w:rPr>
          <w:rFonts w:ascii="Times New Roman" w:cs="Times New Roman" w:eastAsia="Times New Roman" w:hAnsi="Times New Roman"/>
          <w:sz w:val="20"/>
          <w:szCs w:val="20"/>
          <w:color w:val="auto"/>
        </w:rPr>
        <w:t>(c)    Notwithstanding anything to the contrary herein or in any other Loan Document, the Administrative Agent will have the right (in consultation with the U.S.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5"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(d)    The Administrative Agent will promptly notify the U.S. Borrower and the Lenders of (1) any occurrence of a Benchmark Transition Event, (2) the implementation of any Benchmark Replacement, (3) the effectiveness of any Benchmark Replacement Conforming Changes, (4) the removal or reinstatement of any tenor of a Benchmark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below and (5)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4" w:firstLine="551"/>
        <w:spacing w:after="0" w:line="255" w:lineRule="auto"/>
        <w:rPr>
          <w:sz w:val="20"/>
          <w:szCs w:val="20"/>
          <w:color w:val="auto"/>
        </w:rPr>
      </w:pPr>
      <w:r>
        <w:rPr>
          <w:rFonts w:ascii="Times New Roman" w:cs="Times New Roman" w:eastAsia="Times New Roman" w:hAnsi="Times New Roman"/>
          <w:sz w:val="19"/>
          <w:szCs w:val="19"/>
          <w:color w:val="auto"/>
        </w:rPr>
        <w:t xml:space="preserve">(e)    Notwithstanding anything to the contrary herein or in any other Loan Document, at any time (including in connection with the implementation of a Benchmark Replacement), (i) if the then-current Benchmark is a term rate (including the Term SOFR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either</w:t>
      </w:r>
    </w:p>
    <w:p>
      <w:pPr>
        <w:spacing w:after="0" w:line="4" w:lineRule="exact"/>
        <w:rPr>
          <w:sz w:val="20"/>
          <w:szCs w:val="20"/>
          <w:color w:val="auto"/>
        </w:rPr>
      </w:pPr>
    </w:p>
    <w:p>
      <w:pPr>
        <w:jc w:val="both"/>
        <w:ind w:left="4" w:hanging="4"/>
        <w:spacing w:after="0" w:line="242" w:lineRule="auto"/>
        <w:tabs>
          <w:tab w:leader="none" w:pos="28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4"/>
          </w:cols>
          <w:pgMar w:left="436" w:top="265" w:right="439" w:bottom="1440" w:gutter="0" w:footer="0" w:header="0"/>
        </w:sectPr>
      </w:pPr>
    </w:p>
    <w:bookmarkStart w:id="88" w:name="page89"/>
    <w:bookmarkEnd w:id="8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may modify the definition of “Interest Period” for all Benchmark settings at or after such time to reinstate such previously removed tenor.</w:t>
      </w:r>
    </w:p>
    <w:p>
      <w:pPr>
        <w:spacing w:after="0" w:line="159"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(f)    Upon the U.S. Borrower’s receipt of notice of the commencement of a Benchmark Unavailability Period, each Borrower may revoke any request for a Term Benchmark Borrowing or conversion to or continuation of Term Benchmark Loans to be made, converted or continued during any Benchmark Unavailability Period and, failing that, such Borrower will be deemed to have converted any request for a Term Benchmark Borrowing into a request for a Borrowing of or conversion to (A) an RFR Borrowing so long as the Daily Simple SOFR is not the subject of a Benchmark Transition Event or (B) an ABR Borrowing if the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U.S. Borrower’s receipt of notice of the commencement of a Benchmark Unavailability Period with respect to a Relevant Rate applicable to such Term Benchmark Loan, then until such time as a Benchmark Replacement is implemented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any Term Benchmark Loan shall on the last day of the Interest Period applicable to such Loan, be converted by the Administrative Agent to, and shall constitute, (x) an RFR Borrowing so long as the Daily Simple SOFR is not the subject of a Benchmark Transition Event or (y) an ABR Loan if the Daily Simple SOFR is the subject of a Benchmark Transition Event, on such day.</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If any Change in Law shall:</w:t>
      </w:r>
    </w:p>
    <w:p>
      <w:pPr>
        <w:spacing w:after="0" w:line="216"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(i)    impose, modify or deem applicable any reserve, special deposit, liquidity or similar requirement (including any compulsory loan requirement, insurance charge or other assessment) against assets of, deposits with or for the account of, or credit extended by, any Lender;</w:t>
      </w:r>
    </w:p>
    <w:p>
      <w:pPr>
        <w:spacing w:after="0" w:line="174"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(ii)    impose on any Lender or the applicable interbank market any other condition, cost or expense (other than Taxes) affecting this Agreement or Loans made by such Lender; or</w:t>
      </w:r>
    </w:p>
    <w:p>
      <w:pPr>
        <w:spacing w:after="0" w:line="159"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 xml:space="preserve">(iii)    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7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applicable Borrowers will pay to such Lender or such other Recipient, as the case may be, such additional amount or amounts as will compensate such Lender or such other Recipient, as the case may be, for such additional costs incurred or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after consideration of such factors as the Administrative Agent or such Lender, as applicable, then reasonably determines to be relevant).</w:t>
      </w:r>
    </w:p>
    <w:p>
      <w:pPr>
        <w:spacing w:after="0" w:line="18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(b)    If any Lender determines that any Change in Law regarding capital or liquidity requirements has or would have the effect of reducing the rate of return on such Lender’s capital or on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65" w:right="439" w:bottom="1440" w:gutter="0" w:footer="0" w:header="0"/>
        </w:sectPr>
      </w:pPr>
    </w:p>
    <w:bookmarkStart w:id="89" w:name="page90"/>
    <w:bookmarkEnd w:id="89"/>
    <w:p>
      <w:pPr>
        <w:jc w:val="both"/>
        <w:ind w:left="4"/>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applicable Borrowers will pay to such Lender such additional amount or amounts as will compensate such Lender or such Lender’s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after consideration of such factors as the Administrative Agent or such Lender, as applicable, then reasonably determines to be relevant).</w:t>
      </w:r>
    </w:p>
    <w:p>
      <w:pPr>
        <w:spacing w:after="0" w:line="173"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(c)    A certificate of a Lender setting forth, in reasonable detail, the basis and calculation of the amount or amounts necessary to compensate such Lender or its holding company, as the case may be, as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delivered to the U.S. Borrower and shall be conclusive absent manifest error. The applicable Borrowers shall pay such Lender the amount shown as due on any such certificate within thirty (30) days after receipt thereof.</w:t>
      </w:r>
    </w:p>
    <w:p>
      <w:pPr>
        <w:spacing w:after="0" w:line="180" w:lineRule="exact"/>
        <w:rPr>
          <w:sz w:val="20"/>
          <w:szCs w:val="20"/>
          <w:color w:val="auto"/>
        </w:rPr>
      </w:pPr>
    </w:p>
    <w:p>
      <w:pPr>
        <w:jc w:val="both"/>
        <w:ind w:left="4" w:firstLine="551"/>
        <w:spacing w:after="0" w:line="245" w:lineRule="auto"/>
        <w:rPr>
          <w:sz w:val="20"/>
          <w:szCs w:val="20"/>
          <w:color w:val="auto"/>
        </w:rPr>
      </w:pPr>
      <w:r>
        <w:rPr>
          <w:rFonts w:ascii="Times New Roman" w:cs="Times New Roman" w:eastAsia="Times New Roman" w:hAnsi="Times New Roman"/>
          <w:sz w:val="20"/>
          <w:szCs w:val="20"/>
          <w:color w:val="auto"/>
        </w:rPr>
        <w:t xml:space="preserve">(d)    Failure or delay on the part of any Lender to demand compensation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not constitute a waiver of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for any increased costs or reductions incurred more than 120 days prior to the date that such Lender notifies the U.S. Borrower of the Change in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8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60" w:lineRule="auto"/>
        <w:rPr>
          <w:sz w:val="20"/>
          <w:szCs w:val="20"/>
          <w:color w:val="auto"/>
        </w:rPr>
      </w:pPr>
      <w:r>
        <w:rPr>
          <w:rFonts w:ascii="Times New Roman" w:cs="Times New Roman" w:eastAsia="Times New Roman" w:hAnsi="Times New Roman"/>
          <w:sz w:val="19"/>
          <w:szCs w:val="19"/>
          <w:color w:val="auto"/>
        </w:rPr>
        <w:t>(a)    With respect to Loans that are not RFR Loans, in the event of (i) the payment of any principal of any Term Benchmark Loan other than on the Interest Payment Date applicable thereto (including as a result of an Event of Default or an optional or mandatory prepayment of Loans), (ii) the conversion of any Term Benchmark Loan other than on the last day of the Interest Period applicable thereto,</w:t>
      </w:r>
    </w:p>
    <w:p>
      <w:pPr>
        <w:jc w:val="both"/>
        <w:ind w:left="4" w:right="20" w:hanging="4"/>
        <w:spacing w:after="0" w:line="253" w:lineRule="auto"/>
        <w:tabs>
          <w:tab w:leader="none" w:pos="36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failure to borrow, convert, continue or prepay any Term Benchmark Loan on the date specified in any notice delivered pursuant hereto or (iv) the assignment of any Term Benchmark Loan other than on the last day of the Interest Period applicable thereto as a result of a request by the applicable Borrowers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then, in any such event, the applicable Borrowers shall compensate each Lender for the loss, cost and expense attributable to such event (other than loss of anticipated profits). Such loss, cost or expense to any Lender shall be deemed to include an amount determined by such Lender to be the excess, if any, of (i) the amount of interest which would have accrued on the principal amount of such Loan had such event not occurred, at the Term SOFR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and setting forth in reasonable detail the calculations used by such Lender to determine such amount or amounts, shall be delivered to the U.S. Borrower and shall be conclusive absent manifest error. The applicable Borrowers shall pay such Lender the amount shown as due on any such certificate within 30 days after receipt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Borrower shall</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4"/>
          </w:cols>
          <w:pgMar w:left="436" w:top="265" w:right="439" w:bottom="1440" w:gutter="0" w:footer="0" w:header="0"/>
        </w:sectPr>
      </w:pPr>
    </w:p>
    <w:bookmarkStart w:id="90" w:name="page91"/>
    <w:bookmarkEnd w:id="90"/>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required to compensate a Lender pursuant to this Section for any amounts under this Section incurred more than 120 days prior to the date that such Lender notifies the U.S. Borrower of such amount and of such Lender’s intention to claim compensation therefor.</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or (iii) the assignment of any RFR Loan other than on the Interest Payment Date applicable thereto as a result of a request by the applicable Borrowers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then, in any such event, the applicable Borrowers shall compensate each Lender for the loss, cost and expense attributable to such event (other than loss of anticipated profits). A certificate of any Lender setting forth any amount or amounts that such Lender is entitled to receive pursuant to this Section shall be delivered to the U.S. Borrower and shall be conclusive absent manifest error. The applicable Borrowers shall pay such Lender the amount shown as due on any such certificate within 30 days after receipt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pursuant to this Section for any amounts under this Section incurred more than 120 days prior to the date that such Lender notifies the U.S. Borrower of such amount and of such Lender’s intention to claim compensation therefor.</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8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xml:space="preserve">. Without duplication of any obligation under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the Borrowers shall timely pay to the relevant Governmental Authority in accordance with applicable law, or at the option of the Administrative Agent timely reimburse it for, Other Taxes.</w:t>
      </w:r>
    </w:p>
    <w:p>
      <w:pPr>
        <w:spacing w:after="0" w:line="174"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U.S. Borrower by a Lender (with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65" w:right="439" w:bottom="1440" w:gutter="0" w:footer="0" w:header="0"/>
        </w:sectPr>
      </w:pPr>
    </w:p>
    <w:bookmarkStart w:id="91" w:name="page92"/>
    <w:bookmarkEnd w:id="9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to the Administrative Agent), or by the Administrative Agent on its own behalf or on behalf of a Lender, shall be conclusive absent manifest error.</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Status of Lenders and Other Recipients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40" w:right="20" w:firstLine="523"/>
        <w:spacing w:after="0" w:line="242" w:lineRule="auto"/>
        <w:rPr>
          <w:sz w:val="20"/>
          <w:szCs w:val="20"/>
          <w:color w:val="auto"/>
        </w:rPr>
      </w:pPr>
      <w:r>
        <w:rPr>
          <w:rFonts w:ascii="Times New Roman" w:cs="Times New Roman" w:eastAsia="Times New Roman" w:hAnsi="Times New Roman"/>
          <w:sz w:val="20"/>
          <w:szCs w:val="20"/>
          <w:color w:val="auto"/>
        </w:rPr>
        <w:t xml:space="preserve">(i)    Any Recipient that is entitled to an exemption from or reduction of withholding Tax with respect to payments made under any Loan Document shall deliver to the U.S. Borrower and the Administrative Agent, at the time or times reasonably requested by the U.S. Borrower or the Administrative Agent, such properly completed and executed documentation reasonably requested by the U.S. Borrower or the Administrative Agent as will permit such payments to be made without withholding or at a reduced rate of withholding. In addition, any Recipient, if reasonably requested by the U.S. Borrower or the Administrative Agent, shall deliver such other documentation prescribed by applicable law or reasonably requested by the U.S. Borrower or the Administrative Agent as will enable the U.S. Borrower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2.17(f)(ii)(A), (ii)(B), (ii)(D)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(ii)(E)</w:t>
      </w:r>
      <w:r>
        <w:rPr>
          <w:rFonts w:ascii="Times New Roman" w:cs="Times New Roman" w:eastAsia="Times New Roman" w:hAnsi="Times New Roman"/>
          <w:sz w:val="20"/>
          <w:szCs w:val="20"/>
          <w:color w:val="auto"/>
        </w:rPr>
        <w:t xml:space="preserve"> below) shall not be required if in the Recipient’s reasonable judgment such completion, execution or submission would subject such Recipient to any material unreimbursed cost or expense or would materially prejudice the legal or commercial position of such Recipient.</w:t>
      </w:r>
    </w:p>
    <w:p>
      <w:pPr>
        <w:spacing w:after="0" w:line="18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     Without limiting the generality of the foregoing, in the event that the applicable Borrower is the U.S. Borrower or the</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U.S. Co-Borrower:</w:t>
      </w:r>
    </w:p>
    <w:p>
      <w:pPr>
        <w:spacing w:after="0" w:line="194" w:lineRule="exact"/>
        <w:rPr>
          <w:sz w:val="20"/>
          <w:szCs w:val="20"/>
          <w:color w:val="auto"/>
        </w:rPr>
      </w:pPr>
    </w:p>
    <w:p>
      <w:pPr>
        <w:jc w:val="both"/>
        <w:ind w:left="1100" w:right="20" w:firstLine="496"/>
        <w:spacing w:after="0" w:line="249" w:lineRule="auto"/>
        <w:rPr>
          <w:sz w:val="20"/>
          <w:szCs w:val="20"/>
          <w:color w:val="auto"/>
        </w:rPr>
      </w:pPr>
      <w:r>
        <w:rPr>
          <w:rFonts w:ascii="Times New Roman" w:cs="Times New Roman" w:eastAsia="Times New Roman" w:hAnsi="Times New Roman"/>
          <w:sz w:val="20"/>
          <w:szCs w:val="20"/>
          <w:color w:val="auto"/>
        </w:rPr>
        <w:t>(A)    any Lender that is a U.S. Person shall deliver to the U.S. Borrower and the Administrative Agent on or prior to the date on which such Lender becomes a Lender under this Agreement (and from time to time thereafter upon the reasonable request of the U.S. Borrower or the Administrative Agent), an executed copy of IRS Form W-9 certifying that such Lender is exempt from U.S. federal backup withholding Tax;</w:t>
      </w:r>
    </w:p>
    <w:p>
      <w:pPr>
        <w:spacing w:after="0" w:line="180" w:lineRule="exact"/>
        <w:rPr>
          <w:sz w:val="20"/>
          <w:szCs w:val="20"/>
          <w:color w:val="auto"/>
        </w:rPr>
      </w:pPr>
    </w:p>
    <w:p>
      <w:pPr>
        <w:jc w:val="both"/>
        <w:ind w:left="1100" w:right="20" w:firstLine="496"/>
        <w:spacing w:after="0" w:line="254" w:lineRule="auto"/>
        <w:rPr>
          <w:sz w:val="20"/>
          <w:szCs w:val="20"/>
          <w:color w:val="auto"/>
        </w:rPr>
      </w:pPr>
      <w:r>
        <w:rPr>
          <w:rFonts w:ascii="Times New Roman" w:cs="Times New Roman" w:eastAsia="Times New Roman" w:hAnsi="Times New Roman"/>
          <w:sz w:val="20"/>
          <w:szCs w:val="20"/>
          <w:color w:val="auto"/>
        </w:rPr>
        <w:t>(B)    any Foreign Lender shall, to the extent it is legally entitled to do so, deliver to the U.S. Borrower and the Administrative Agent (in such number of copies as shall be requested by the recipient) on or prior to the date on which such Foreign Lender becomes a Lender under this Agreement (and from time to time thereafter upon the reasonable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65" w:right="439" w:bottom="1440" w:gutter="0" w:footer="0" w:header="0"/>
        </w:sectPr>
      </w:pPr>
    </w:p>
    <w:bookmarkStart w:id="92" w:name="page93"/>
    <w:bookmarkEnd w:id="92"/>
    <w:p>
      <w:pPr>
        <w:ind w:left="1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of the U.S. Borrower or the Administrative Agent), whichever of the following is applicable:</w:t>
      </w:r>
    </w:p>
    <w:p>
      <w:pPr>
        <w:spacing w:after="0" w:line="216" w:lineRule="exact"/>
        <w:rPr>
          <w:sz w:val="20"/>
          <w:szCs w:val="20"/>
          <w:color w:val="auto"/>
        </w:rPr>
      </w:pPr>
    </w:p>
    <w:p>
      <w:pPr>
        <w:jc w:val="both"/>
        <w:ind w:left="540" w:firstLine="474"/>
        <w:spacing w:after="0" w:line="244" w:lineRule="auto"/>
        <w:rPr>
          <w:sz w:val="20"/>
          <w:szCs w:val="20"/>
          <w:color w:val="auto"/>
        </w:rPr>
      </w:pPr>
      <w:r>
        <w:rPr>
          <w:rFonts w:ascii="Times New Roman" w:cs="Times New Roman" w:eastAsia="Times New Roman" w:hAnsi="Times New Roman"/>
          <w:sz w:val="20"/>
          <w:szCs w:val="20"/>
          <w:color w:val="auto"/>
        </w:rPr>
        <w:t>(1)    in the case of a Foreign Lender claiming the benefits of an income tax treaty to which the United States is a party (x) with respect to payments of interest under any Loan Document, an executed copy of IRS Form W-8BEN or IRS Form W- 8BEN-E,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6" w:lineRule="exact"/>
        <w:rPr>
          <w:sz w:val="20"/>
          <w:szCs w:val="20"/>
          <w:color w:val="auto"/>
        </w:rPr>
      </w:pPr>
    </w:p>
    <w:p>
      <w:pPr>
        <w:jc w:val="both"/>
        <w:ind w:left="540" w:right="20" w:firstLine="474"/>
        <w:spacing w:after="0" w:line="269" w:lineRule="auto"/>
        <w:rPr>
          <w:sz w:val="20"/>
          <w:szCs w:val="20"/>
          <w:color w:val="auto"/>
        </w:rPr>
      </w:pPr>
      <w:r>
        <w:rPr>
          <w:rFonts w:ascii="Times New Roman" w:cs="Times New Roman" w:eastAsia="Times New Roman" w:hAnsi="Times New Roman"/>
          <w:sz w:val="20"/>
          <w:szCs w:val="20"/>
          <w:color w:val="auto"/>
        </w:rPr>
        <w:t>(2)    in the case of a Foreign Lender claiming that its extension of credit will generate U.S. effectively connected income, an executed copy of IRS Form W- 8ECI;</w:t>
      </w:r>
    </w:p>
    <w:p>
      <w:pPr>
        <w:spacing w:after="0" w:line="159" w:lineRule="exact"/>
        <w:rPr>
          <w:sz w:val="20"/>
          <w:szCs w:val="20"/>
          <w:color w:val="auto"/>
        </w:rPr>
      </w:pPr>
    </w:p>
    <w:p>
      <w:pPr>
        <w:jc w:val="both"/>
        <w:ind w:left="540" w:firstLine="474"/>
        <w:spacing w:after="0" w:line="244" w:lineRule="auto"/>
        <w:rPr>
          <w:sz w:val="20"/>
          <w:szCs w:val="20"/>
          <w:color w:val="auto"/>
        </w:rPr>
      </w:pPr>
      <w:r>
        <w:rPr>
          <w:rFonts w:ascii="Times New Roman" w:cs="Times New Roman" w:eastAsia="Times New Roman" w:hAnsi="Times New Roman"/>
          <w:sz w:val="20"/>
          <w:szCs w:val="20"/>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“10-percent shareholder” of the U.S. Borrower or the U.S. Co-Borrower, as applicable, within the meaning of Section 871(h)(3)(B) of the Code, or a “controlled foreign corporation” related to the U.S. Borrower or the U.S. Co-Borrower, as applicable, as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an executed copy of IRS Form W-8BEN or IRS Form W-8BEN-E; or</w:t>
      </w:r>
    </w:p>
    <w:p>
      <w:pPr>
        <w:spacing w:after="0" w:line="186" w:lineRule="exact"/>
        <w:rPr>
          <w:sz w:val="20"/>
          <w:szCs w:val="20"/>
          <w:color w:val="auto"/>
        </w:rPr>
      </w:pPr>
    </w:p>
    <w:p>
      <w:pPr>
        <w:jc w:val="both"/>
        <w:ind w:left="540" w:firstLine="474"/>
        <w:spacing w:after="0" w:line="260" w:lineRule="auto"/>
        <w:rPr>
          <w:sz w:val="20"/>
          <w:szCs w:val="20"/>
          <w:color w:val="auto"/>
        </w:rPr>
      </w:pPr>
      <w:r>
        <w:rPr>
          <w:rFonts w:ascii="Times New Roman" w:cs="Times New Roman" w:eastAsia="Times New Roman" w:hAnsi="Times New Roman"/>
          <w:sz w:val="19"/>
          <w:szCs w:val="19"/>
          <w:color w:val="auto"/>
        </w:rPr>
        <w:t xml:space="preserve">(4)    to the extent a Foreign Lender is not the beneficial owner, an executed copy of IRS Form W-8IMY, accompanied by IRS Form W-8ECI, IRS Form W-8BEN or IRS Form W-8BEN-E, a U.S. Tax Compliance Certificate substantially in the form of </w:t>
      </w:r>
      <w:r>
        <w:rPr>
          <w:rFonts w:ascii="Times New Roman" w:cs="Times New Roman" w:eastAsia="Times New Roman" w:hAnsi="Times New Roman"/>
          <w:sz w:val="19"/>
          <w:szCs w:val="19"/>
          <w:u w:val="single" w:color="auto"/>
          <w:color w:val="auto"/>
        </w:rPr>
        <w:t>Exhibit F-2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F-3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F-4</w:t>
      </w:r>
      <w:r>
        <w:rPr>
          <w:rFonts w:ascii="Times New Roman" w:cs="Times New Roman" w:eastAsia="Times New Roman" w:hAnsi="Times New Roman"/>
          <w:sz w:val="19"/>
          <w:szCs w:val="19"/>
          <w:color w:val="auto"/>
        </w:rPr>
        <w:t xml:space="preserve"> on behalf of each such direct and indirect partner;</w:t>
      </w:r>
    </w:p>
    <w:p>
      <w:pPr>
        <w:spacing w:after="0" w:line="173" w:lineRule="exact"/>
        <w:rPr>
          <w:sz w:val="20"/>
          <w:szCs w:val="20"/>
          <w:color w:val="auto"/>
        </w:rPr>
      </w:pPr>
    </w:p>
    <w:p>
      <w:pPr>
        <w:jc w:val="both"/>
        <w:ind w:left="100" w:right="20" w:firstLine="496"/>
        <w:spacing w:after="0" w:line="244" w:lineRule="auto"/>
        <w:rPr>
          <w:sz w:val="20"/>
          <w:szCs w:val="20"/>
          <w:color w:val="auto"/>
        </w:rPr>
      </w:pPr>
      <w:r>
        <w:rPr>
          <w:rFonts w:ascii="Times New Roman" w:cs="Times New Roman" w:eastAsia="Times New Roman" w:hAnsi="Times New Roman"/>
          <w:sz w:val="20"/>
          <w:szCs w:val="20"/>
          <w:color w:val="auto"/>
        </w:rPr>
        <w:t>(C)    any Foreign Lender shall, to the extent it is legally entitled to do so, deliver to the U.S. Borrower and the Administrative Agent (in such number of copies as shall be requested by the recipient) on or prior to the date on which such Foreign Lender becomes a Lender under this Agreement (and from time to time thereafter upon the reasonable request of the U.S.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U.S. Borrower or the Administrative Agent to determine the withholding or deduction required to be made;</w:t>
      </w:r>
    </w:p>
    <w:p>
      <w:pPr>
        <w:spacing w:after="0" w:line="186" w:lineRule="exact"/>
        <w:rPr>
          <w:sz w:val="20"/>
          <w:szCs w:val="20"/>
          <w:color w:val="auto"/>
        </w:rPr>
      </w:pPr>
    </w:p>
    <w:p>
      <w:pPr>
        <w:jc w:val="both"/>
        <w:ind w:left="100" w:right="20" w:firstLine="496"/>
        <w:spacing w:after="0" w:line="269" w:lineRule="auto"/>
        <w:rPr>
          <w:sz w:val="20"/>
          <w:szCs w:val="20"/>
          <w:color w:val="auto"/>
        </w:rPr>
      </w:pPr>
      <w:r>
        <w:rPr>
          <w:rFonts w:ascii="Times New Roman" w:cs="Times New Roman" w:eastAsia="Times New Roman" w:hAnsi="Times New Roman"/>
          <w:sz w:val="20"/>
          <w:szCs w:val="20"/>
          <w:color w:val="auto"/>
        </w:rPr>
        <w:t>(D)    the Administrative Agent shall deliver to the U.S. Borrower on or prior to the date on which the Administrative Agent becomes the Administrative Agent under this</w:t>
      </w:r>
    </w:p>
    <w:p>
      <w:pPr>
        <w:spacing w:after="0" w:line="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020"/>
          </w:cols>
          <w:pgMar w:left="1440" w:top="265" w:right="439" w:bottom="1440" w:gutter="0" w:footer="0" w:header="0"/>
        </w:sectPr>
      </w:pPr>
    </w:p>
    <w:bookmarkStart w:id="93" w:name="page94"/>
    <w:bookmarkEnd w:id="93"/>
    <w:p>
      <w:pPr>
        <w:jc w:val="both"/>
        <w:ind w:left="110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two (2) duly executed copies of IRS Form W-9 certifying that the Administrative Agent is exempt from U.S. federal backup withholding Tax; and</w:t>
      </w:r>
    </w:p>
    <w:p>
      <w:pPr>
        <w:spacing w:after="0" w:line="159" w:lineRule="exact"/>
        <w:rPr>
          <w:sz w:val="20"/>
          <w:szCs w:val="20"/>
          <w:color w:val="auto"/>
        </w:rPr>
      </w:pPr>
    </w:p>
    <w:p>
      <w:pPr>
        <w:jc w:val="both"/>
        <w:ind w:left="1100" w:firstLine="496"/>
        <w:spacing w:after="0" w:line="242" w:lineRule="auto"/>
        <w:rPr>
          <w:sz w:val="20"/>
          <w:szCs w:val="20"/>
          <w:color w:val="auto"/>
        </w:rPr>
      </w:pPr>
      <w:r>
        <w:rPr>
          <w:rFonts w:ascii="Times New Roman" w:cs="Times New Roman" w:eastAsia="Times New Roman" w:hAnsi="Times New Roman"/>
          <w:sz w:val="20"/>
          <w:szCs w:val="20"/>
          <w:color w:val="auto"/>
        </w:rPr>
        <w:t xml:space="preserve">(E)    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U.S. Borrower and the Administrative Agent at the time or times prescribed by law and at such time or times reasonably requested by the U.S. Borrower or the Administrative Agent such documentation prescribed by applicable law (including as prescribed by Section 1471(b)(3)(C)(i) of the Code) and such additional documentation reasonably requested by the U.S. Borrower or the Administrative Agent as may be necessary for the Borrowers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92" w:lineRule="exact"/>
        <w:rPr>
          <w:sz w:val="20"/>
          <w:szCs w:val="20"/>
          <w:color w:val="auto"/>
        </w:rPr>
      </w:pPr>
    </w:p>
    <w:p>
      <w:pPr>
        <w:jc w:val="both"/>
        <w:ind w:left="1100" w:right="20"/>
        <w:spacing w:after="0" w:line="254" w:lineRule="auto"/>
        <w:rPr>
          <w:sz w:val="20"/>
          <w:szCs w:val="20"/>
          <w:color w:val="auto"/>
        </w:rPr>
      </w:pPr>
      <w:r>
        <w:rPr>
          <w:rFonts w:ascii="Times New Roman" w:cs="Times New Roman" w:eastAsia="Times New Roman" w:hAnsi="Times New Roman"/>
          <w:sz w:val="20"/>
          <w:szCs w:val="20"/>
          <w:color w:val="auto"/>
        </w:rPr>
        <w:t>(iii)    A Lender which is an Irish Treaty Lender and each Borrower which makes a payment to which that Lender is entitled shall co-operate in completing any procedural formalities necessary for that Borrower to make that payment without a deduction or withholding on account of Irish Tax.</w:t>
      </w:r>
    </w:p>
    <w:p>
      <w:pPr>
        <w:spacing w:after="0" w:line="174" w:lineRule="exact"/>
        <w:rPr>
          <w:sz w:val="20"/>
          <w:szCs w:val="20"/>
          <w:color w:val="auto"/>
        </w:rPr>
      </w:pPr>
    </w:p>
    <w:p>
      <w:pPr>
        <w:jc w:val="both"/>
        <w:ind w:left="1100" w:right="20"/>
        <w:spacing w:after="0" w:line="269" w:lineRule="auto"/>
        <w:rPr>
          <w:sz w:val="20"/>
          <w:szCs w:val="20"/>
          <w:color w:val="auto"/>
        </w:rPr>
      </w:pPr>
      <w:r>
        <w:rPr>
          <w:rFonts w:ascii="Times New Roman" w:cs="Times New Roman" w:eastAsia="Times New Roman" w:hAnsi="Times New Roman"/>
          <w:sz w:val="20"/>
          <w:szCs w:val="20"/>
          <w:color w:val="auto"/>
        </w:rPr>
        <w:t>(iv)    Following a request from a Borrower in writing, the relevant Lender shall provide to that Borrower any information requested for the Borrower to comply with its obligations under sections 891A, 891E, 891F and 891G TCA.</w:t>
      </w:r>
    </w:p>
    <w:p>
      <w:pPr>
        <w:spacing w:after="0" w:line="159" w:lineRule="exact"/>
        <w:rPr>
          <w:sz w:val="20"/>
          <w:szCs w:val="20"/>
          <w:color w:val="auto"/>
        </w:rPr>
      </w:pPr>
    </w:p>
    <w:p>
      <w:pPr>
        <w:jc w:val="both"/>
        <w:ind w:left="1100" w:right="20"/>
        <w:spacing w:after="0" w:line="269" w:lineRule="auto"/>
        <w:rPr>
          <w:sz w:val="20"/>
          <w:szCs w:val="20"/>
          <w:color w:val="auto"/>
        </w:rPr>
      </w:pPr>
      <w:r>
        <w:rPr>
          <w:rFonts w:ascii="Times New Roman" w:cs="Times New Roman" w:eastAsia="Times New Roman" w:hAnsi="Times New Roman"/>
          <w:sz w:val="20"/>
          <w:szCs w:val="20"/>
          <w:color w:val="auto"/>
        </w:rPr>
        <w:t>(v)    Each Initial Tranche A Term Lender confirms that, as of the date of this Agreement, it is an Irish Qualifying Lender or an Irish Treaty Lender.</w:t>
      </w:r>
    </w:p>
    <w:p>
      <w:pPr>
        <w:spacing w:after="0" w:line="159" w:lineRule="exact"/>
        <w:rPr>
          <w:sz w:val="20"/>
          <w:szCs w:val="20"/>
          <w:color w:val="auto"/>
        </w:rPr>
      </w:pPr>
    </w:p>
    <w:p>
      <w:pPr>
        <w:jc w:val="both"/>
        <w:ind w:left="1100" w:right="20"/>
        <w:spacing w:after="0" w:line="254" w:lineRule="auto"/>
        <w:rPr>
          <w:sz w:val="20"/>
          <w:szCs w:val="20"/>
          <w:color w:val="auto"/>
        </w:rPr>
      </w:pPr>
      <w:r>
        <w:rPr>
          <w:rFonts w:ascii="Times New Roman" w:cs="Times New Roman" w:eastAsia="Times New Roman" w:hAnsi="Times New Roman"/>
          <w:sz w:val="20"/>
          <w:szCs w:val="20"/>
          <w:color w:val="auto"/>
        </w:rPr>
        <w:t>(vi)    Each Initial Tranche A Term Lender which becomes a party to this Agreement after the date of this Agreement shall confirm, in the documentation which it executes on becoming a party to this Agreement which of the following categories it falls into:</w:t>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(A)     not an Irish Qualifying Lender;</w:t>
      </w:r>
    </w:p>
    <w:p>
      <w:pPr>
        <w:spacing w:after="0" w:line="2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(B)     an Irish Qualifying Lender (other than an Irish Treaty Lender); or</w:t>
      </w:r>
    </w:p>
    <w:p>
      <w:pPr>
        <w:spacing w:after="0" w:line="2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(C)     an Irish Treaty Lender.</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Each Recipient agrees that if any form or certification it previously delivered expires or becomes obsolete or inaccurate in any respect, it shall update such form or certification or promptly notify the U.S. Borrower and the Administrative Agent in writing of its legal inability to do so.</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40" w:firstLine="523"/>
        <w:spacing w:after="0" w:line="249" w:lineRule="auto"/>
        <w:rPr>
          <w:sz w:val="20"/>
          <w:szCs w:val="20"/>
          <w:color w:val="auto"/>
        </w:rPr>
      </w:pPr>
      <w:r>
        <w:rPr>
          <w:rFonts w:ascii="Times New Roman" w:cs="Times New Roman" w:eastAsia="Times New Roman" w:hAnsi="Times New Roman"/>
          <w:sz w:val="20"/>
          <w:szCs w:val="20"/>
          <w:color w:val="auto"/>
        </w:rPr>
        <w:t>(i)    All amounts expressed to be payable under a Loan Document by any party to a Secured Party which (in whole or in part) constitute consideration for any supply for VAT purposes are deemed to be exclusive of any VAT which is chargeable on that supply, and accordingly, subject to paragraph (ii) below, if VAT is or becomes chargeable on any supply made by any Secured Party to any party in connection with a Loan Document, that party shall pay to such Secured Party (in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440" w:top="265" w:right="439" w:bottom="1440" w:gutter="0" w:footer="0" w:header="0"/>
        </w:sectPr>
      </w:pPr>
    </w:p>
    <w:bookmarkStart w:id="94" w:name="page95"/>
    <w:bookmarkEnd w:id="94"/>
    <w:p>
      <w:pPr>
        <w:jc w:val="both"/>
        <w:ind w:left="54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 to and at the same time as paying any other consideration for such supply) an amount equal to the amount of the VAT (and such Secured Party must promptly provide an appropriate VAT invoice to that party).</w:t>
      </w:r>
    </w:p>
    <w:p>
      <w:pPr>
        <w:spacing w:after="0" w:line="159"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(ii)    If VAT is or becomes chargeable on any supply made by any Secured Party (the “</w:t>
      </w:r>
      <w:r>
        <w:rPr>
          <w:rFonts w:ascii="Times New Roman" w:cs="Times New Roman" w:eastAsia="Times New Roman" w:hAnsi="Times New Roman"/>
          <w:sz w:val="20"/>
          <w:szCs w:val="20"/>
          <w:u w:val="single" w:color="auto"/>
          <w:color w:val="auto"/>
        </w:rPr>
        <w:t>Supplier</w:t>
      </w:r>
      <w:r>
        <w:rPr>
          <w:rFonts w:ascii="Times New Roman" w:cs="Times New Roman" w:eastAsia="Times New Roman" w:hAnsi="Times New Roman"/>
          <w:sz w:val="20"/>
          <w:szCs w:val="20"/>
          <w:color w:val="auto"/>
        </w:rPr>
        <w:t>”) to any other Secured Party (the “</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in connection with a Loan Document, and any party other than the Recipient (the “</w:t>
      </w:r>
      <w:r>
        <w:rPr>
          <w:rFonts w:ascii="Times New Roman" w:cs="Times New Roman" w:eastAsia="Times New Roman" w:hAnsi="Times New Roman"/>
          <w:sz w:val="20"/>
          <w:szCs w:val="20"/>
          <w:u w:val="single" w:color="auto"/>
          <w:color w:val="auto"/>
        </w:rPr>
        <w:t>Relevant Party</w:t>
      </w:r>
      <w:r>
        <w:rPr>
          <w:rFonts w:ascii="Times New Roman" w:cs="Times New Roman" w:eastAsia="Times New Roman" w:hAnsi="Times New Roman"/>
          <w:sz w:val="20"/>
          <w:szCs w:val="20"/>
          <w:color w:val="auto"/>
        </w:rPr>
        <w:t>”) is required by the terms of any Loan Document to pay an amount equal to the consideration for that supply to the Supplier (rather than being required to reimburse or indemnify the Recipient in respect of that consideration):</w:t>
      </w:r>
    </w:p>
    <w:p>
      <w:pPr>
        <w:spacing w:after="0" w:line="180" w:lineRule="exact"/>
        <w:rPr>
          <w:sz w:val="20"/>
          <w:szCs w:val="20"/>
          <w:color w:val="auto"/>
        </w:rPr>
      </w:pPr>
    </w:p>
    <w:p>
      <w:pPr>
        <w:jc w:val="both"/>
        <w:ind w:left="1100" w:firstLine="496"/>
        <w:spacing w:after="0" w:line="246" w:lineRule="auto"/>
        <w:rPr>
          <w:sz w:val="20"/>
          <w:szCs w:val="20"/>
          <w:color w:val="auto"/>
        </w:rPr>
      </w:pPr>
      <w:r>
        <w:rPr>
          <w:rFonts w:ascii="Times New Roman" w:cs="Times New Roman" w:eastAsia="Times New Roman" w:hAnsi="Times New Roman"/>
          <w:sz w:val="20"/>
          <w:szCs w:val="20"/>
          <w:color w:val="auto"/>
        </w:rPr>
        <w:t xml:space="preserve">(A)    where the Supplier is the person required to account to the relevant tax authority for the VAT, the Relevant Party shall also pay to the Supplier (at the same time as paying that amount) an additional amount equal to the amount of the VAT. The Recipient shall (where this </w:t>
      </w:r>
      <w:r>
        <w:rPr>
          <w:rFonts w:ascii="Times New Roman" w:cs="Times New Roman" w:eastAsia="Times New Roman" w:hAnsi="Times New Roman"/>
          <w:sz w:val="20"/>
          <w:szCs w:val="20"/>
          <w:u w:val="single" w:color="auto"/>
          <w:color w:val="auto"/>
        </w:rPr>
        <w:t>Section 2.17(g)(ii)(A)</w:t>
      </w:r>
      <w:r>
        <w:rPr>
          <w:rFonts w:ascii="Times New Roman" w:cs="Times New Roman" w:eastAsia="Times New Roman" w:hAnsi="Times New Roman"/>
          <w:sz w:val="20"/>
          <w:szCs w:val="20"/>
          <w:color w:val="auto"/>
        </w:rPr>
        <w:t xml:space="preserve"> applies) promptly pay to the Relevant Party an amount equal to any credit or repayment the Recipient receives from the relevant tax authority which the Recipient reasonably determines relates to the VAT chargeable on that supply; and</w:t>
      </w:r>
    </w:p>
    <w:p>
      <w:pPr>
        <w:spacing w:after="0" w:line="185" w:lineRule="exact"/>
        <w:rPr>
          <w:sz w:val="20"/>
          <w:szCs w:val="20"/>
          <w:color w:val="auto"/>
        </w:rPr>
      </w:pPr>
    </w:p>
    <w:p>
      <w:pPr>
        <w:jc w:val="both"/>
        <w:ind w:left="1100" w:right="20" w:firstLine="496"/>
        <w:spacing w:after="0" w:line="249" w:lineRule="auto"/>
        <w:rPr>
          <w:sz w:val="20"/>
          <w:szCs w:val="20"/>
          <w:color w:val="auto"/>
        </w:rPr>
      </w:pPr>
      <w:r>
        <w:rPr>
          <w:rFonts w:ascii="Times New Roman" w:cs="Times New Roman" w:eastAsia="Times New Roman" w:hAnsi="Times New Roman"/>
          <w:sz w:val="20"/>
          <w:szCs w:val="20"/>
          <w:color w:val="auto"/>
        </w:rPr>
        <w:t>(B)    where the Recipient is the person required to account to the relevant tax authority for the VAT, the Relevant Party shall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0" w:lineRule="exact"/>
        <w:rPr>
          <w:sz w:val="20"/>
          <w:szCs w:val="20"/>
          <w:color w:val="auto"/>
        </w:rPr>
      </w:pPr>
    </w:p>
    <w:p>
      <w:pPr>
        <w:jc w:val="both"/>
        <w:ind w:left="540" w:firstLine="523"/>
        <w:spacing w:after="0" w:line="249" w:lineRule="auto"/>
        <w:rPr>
          <w:sz w:val="20"/>
          <w:szCs w:val="20"/>
          <w:color w:val="auto"/>
        </w:rPr>
      </w:pPr>
      <w:r>
        <w:rPr>
          <w:rFonts w:ascii="Times New Roman" w:cs="Times New Roman" w:eastAsia="Times New Roman" w:hAnsi="Times New Roman"/>
          <w:sz w:val="20"/>
          <w:szCs w:val="20"/>
          <w:color w:val="auto"/>
        </w:rPr>
        <w:t>(iii)    Where a Loan Document requires any party to reimburse or indemnify a Secured Party for any cost or expense, that party shall reimburse or indemnify (as the case may be) such Secured Party for the full amount of such cost or expense, including such part thereof as represents VAT, save to the extent that such Secured Party reasonably determines that it is entitled to credit or repayment in respect of such VAT from the relevant tax authority.</w:t>
      </w:r>
    </w:p>
    <w:p>
      <w:pPr>
        <w:spacing w:after="0" w:line="180" w:lineRule="exact"/>
        <w:rPr>
          <w:sz w:val="20"/>
          <w:szCs w:val="20"/>
          <w:color w:val="auto"/>
        </w:rPr>
      </w:pPr>
    </w:p>
    <w:p>
      <w:pPr>
        <w:jc w:val="both"/>
        <w:ind w:left="540" w:firstLine="523"/>
        <w:spacing w:after="0" w:line="243" w:lineRule="auto"/>
        <w:rPr>
          <w:sz w:val="20"/>
          <w:szCs w:val="20"/>
          <w:color w:val="auto"/>
        </w:rPr>
      </w:pPr>
      <w:r>
        <w:rPr>
          <w:rFonts w:ascii="Times New Roman" w:cs="Times New Roman" w:eastAsia="Times New Roman" w:hAnsi="Times New Roman"/>
          <w:sz w:val="20"/>
          <w:szCs w:val="20"/>
          <w:color w:val="auto"/>
        </w:rPr>
        <w:t xml:space="preserve">(iv)    Any reference in this </w:t>
      </w:r>
      <w:r>
        <w:rPr>
          <w:rFonts w:ascii="Times New Roman" w:cs="Times New Roman" w:eastAsia="Times New Roman" w:hAnsi="Times New Roman"/>
          <w:sz w:val="20"/>
          <w:szCs w:val="20"/>
          <w:u w:val="single" w:color="auto"/>
          <w:color w:val="auto"/>
        </w:rPr>
        <w:t>Section 2.17(g)</w:t>
      </w:r>
      <w:r>
        <w:rPr>
          <w:rFonts w:ascii="Times New Roman" w:cs="Times New Roman" w:eastAsia="Times New Roman" w:hAnsi="Times New Roman"/>
          <w:sz w:val="20"/>
          <w:szCs w:val="20"/>
          <w:color w:val="auto"/>
        </w:rPr>
        <w:t xml:space="preserve">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89"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(v)    In relation to any supply made by a Secured Party to any party under a Loan Document, if reasonably requested by such Secured Party, that party shall promptly provide such Secured Party with details of that party’s VAT registration (if applicable) and such other information as is reasonably requested in connection with such Secured Party’s VAT reporting requirements in relation to such supply.</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it shall pay to the indemnifying party an amount equal to such refund (but only to the extent of indemnity payments made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65" w:right="439" w:bottom="1440" w:gutter="0" w:footer="0" w:header="0"/>
        </w:sectPr>
      </w:pPr>
    </w:p>
    <w:bookmarkStart w:id="95" w:name="page96"/>
    <w:bookmarkEnd w:id="95"/>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clause (h) shall not be construed to require any indemnified party to make available its Tax returns (or any other information relating to its Taxes that it deems confidential) to the indemnifying party or any other Person.</w:t>
      </w:r>
    </w:p>
    <w:p>
      <w:pPr>
        <w:spacing w:after="0" w:line="19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(j)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term “applicable law” includes FATCA.</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2.18     </w:t>
      </w:r>
      <w:r>
        <w:rPr>
          <w:rFonts w:ascii="Times New Roman" w:cs="Times New Roman" w:eastAsia="Times New Roman" w:hAnsi="Times New Roman"/>
          <w:sz w:val="20"/>
          <w:szCs w:val="20"/>
          <w:u w:val="single" w:color="auto"/>
          <w:color w:val="auto"/>
        </w:rPr>
        <w:t>Payments Generally; Allocations of Proceeds; Pro Rata Treatment; Sharing of Setoffs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(a)    Each Borrower shall make each payment or prepayment required to be made by it hereunder (whether of principal, interest or fees, or of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address separately provided to the Borrowers, except that payments pursuant to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2"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(b)    Except as otherwise expressly set forth in this Agreement or in any other Loan Document (including as expressly provided in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9.08</w:t>
      </w:r>
      <w:r>
        <w:rPr>
          <w:rFonts w:ascii="Times New Roman" w:cs="Times New Roman" w:eastAsia="Times New Roman" w:hAnsi="Times New Roman"/>
          <w:sz w:val="20"/>
          <w:szCs w:val="20"/>
          <w:color w:val="auto"/>
        </w:rPr>
        <w:t xml:space="preserve">), each Borrowing, each payment (other than prepayments) of principal of any Borrowing, each payment (other than prepayments) of interest on the Loans of a given Class, each conversion of any Borrowing to or continuation of any Borrowing as a Borrowing of any Type (and of the same Class) and each payment of the TLB Ticking Fees shall be applied to the amounts of such obligations owing to the Lenders of such Class, ratably in accordance with such Lenders’ respective Applicable Percentages. At any time that payments are not required to be applied in the manner required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towards payment of principal then due hereunder,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65" w:right="439" w:bottom="1440" w:gutter="0" w:footer="0" w:header="0"/>
        </w:sectPr>
      </w:pPr>
    </w:p>
    <w:bookmarkStart w:id="96" w:name="page97"/>
    <w:bookmarkEnd w:id="96"/>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ratably among the parties entitled thereto in accordance with the amounts of principal then due to such parties.</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(c)     [Reserved].</w:t>
      </w:r>
    </w:p>
    <w:p>
      <w:pPr>
        <w:spacing w:after="0" w:line="216" w:lineRule="exact"/>
        <w:rPr>
          <w:sz w:val="20"/>
          <w:szCs w:val="20"/>
          <w:color w:val="auto"/>
        </w:rPr>
      </w:pPr>
    </w:p>
    <w:p>
      <w:pPr>
        <w:jc w:val="both"/>
        <w:ind w:left="4" w:right="20" w:firstLine="551"/>
        <w:spacing w:after="0" w:line="241" w:lineRule="auto"/>
        <w:rPr>
          <w:sz w:val="20"/>
          <w:szCs w:val="20"/>
          <w:color w:val="auto"/>
        </w:rPr>
      </w:pPr>
      <w:r>
        <w:rPr>
          <w:rFonts w:ascii="Times New Roman" w:cs="Times New Roman" w:eastAsia="Times New Roman" w:hAnsi="Times New Roman"/>
          <w:sz w:val="20"/>
          <w:szCs w:val="20"/>
          <w:color w:val="auto"/>
        </w:rPr>
        <w:t xml:space="preserve">(d)    If, except as expressly provided herein,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similarly situated Lender, then the Lender receiving such greater proportion shall purchase (for cash at face value) participations in the Loans of other Lenders to the extent necessary so that the benefit of all such payments shall be shared by all such Lenders ratably in accordance with the aggregate amount of principal of and accrued interest on their respective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or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Borrower’s rights of setoff and counterclaim with respect to such participation as fully as if such Lender were a direct creditor of such Borrower in the amount of such participation.</w:t>
      </w:r>
    </w:p>
    <w:p>
      <w:pPr>
        <w:spacing w:after="0" w:line="196"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0"/>
          <w:szCs w:val="20"/>
          <w:color w:val="auto"/>
        </w:rPr>
        <w:t xml:space="preserve">(e)    Unless the Administrative Agent shall have received, prior to any date on which any payment is due to the Administrative Agent for the account of the relevant Lenders pursuant to the terms of this Agreement or any other Loan Document (including any date that is fixed for prepayment by notice from any Borrower to the Administrative Agent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notice from the U.S. Borrower that the Borrowers will not make such payment or prepayment, the Administrative Agent may assume that the Borrowers have made such payment on such date in accordance herewith and may, in reliance upon such assumption, distribute to the relevant Lenders, the amount due. In such event, if the Borrowers have not in fact made such payment, then each of the relevant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9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0"/>
          <w:szCs w:val="20"/>
          <w:color w:val="auto"/>
        </w:rPr>
        <w:t xml:space="preserve">(a)    If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as the case may be, in the future and</w:t>
      </w:r>
    </w:p>
    <w:p>
      <w:pPr>
        <w:jc w:val="both"/>
        <w:ind w:left="4" w:hanging="4"/>
        <w:spacing w:after="0" w:line="242" w:lineRule="auto"/>
        <w:tabs>
          <w:tab w:leader="none" w:pos="29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not subject such Lender to any unreimbursed cost or expense and would not otherwise be disadvantageous to such Lender. Each applicable Borrower hereby agrees to pay all documented and reasonable out-of-pocket costs and expenses incurred by any Lender in connection with any such designation or assignment.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4"/>
          </w:cols>
          <w:pgMar w:left="436" w:top="265" w:right="439" w:bottom="1440" w:gutter="0" w:footer="0" w:header="0"/>
        </w:sectPr>
      </w:pPr>
    </w:p>
    <w:bookmarkStart w:id="97" w:name="page98"/>
    <w:bookmarkEnd w:id="97"/>
    <w:p>
      <w:pPr>
        <w:jc w:val="both"/>
        <w:ind w:firstLine="551"/>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If (i) any Lender requests compensation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(iii) any Lender becomes a Defaulting Lender or (iv) any Lender ceases to make Loans as a result of any condition described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xml:space="preserve">, then the applicable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its interests, rights (other than its existing rights to payments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as applicable)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applicable Borrowers shall have received the prior written consent of the Administrative Agent, which consent shall not unreasonably be withheld, conditioned or delayed,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applicable Borrowers and (iii) in the case of any such assignment resulting from a claim for compensation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applicable Borrowers to require such assignment and delegation cease to apply. Each party hereto agrees that (i) an assignment required pursuant to this paragraph may be effected pursuant to an Assignment and Assumption executed by the applicable Borrowers,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documents shall be without recourse to or warranty by the parties thereto.</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2.20     </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(a)    Each applicable Borrower may, at any time, on one or more occasions on or after the Closing Date pursuant to an Incremental Amendment (i) add one or more new Classes of term facilities (each new Class, a “</w:t>
      </w:r>
      <w:r>
        <w:rPr>
          <w:rFonts w:ascii="Times New Roman" w:cs="Times New Roman" w:eastAsia="Times New Roman" w:hAnsi="Times New Roman"/>
          <w:sz w:val="20"/>
          <w:szCs w:val="20"/>
          <w:u w:val="single" w:color="auto"/>
          <w:color w:val="auto"/>
        </w:rPr>
        <w:t>New Incremental Term Facility</w:t>
      </w:r>
      <w:r>
        <w:rPr>
          <w:rFonts w:ascii="Times New Roman" w:cs="Times New Roman" w:eastAsia="Times New Roman" w:hAnsi="Times New Roman"/>
          <w:sz w:val="20"/>
          <w:szCs w:val="20"/>
          <w:color w:val="auto"/>
        </w:rPr>
        <w:t>”) (including term facilities in the form of delayed draw term facilities (each delayed draw term facility, an “</w:t>
      </w:r>
      <w:r>
        <w:rPr>
          <w:rFonts w:ascii="Times New Roman" w:cs="Times New Roman" w:eastAsia="Times New Roman" w:hAnsi="Times New Roman"/>
          <w:sz w:val="20"/>
          <w:szCs w:val="20"/>
          <w:u w:val="single" w:color="auto"/>
          <w:color w:val="auto"/>
        </w:rPr>
        <w:t>Incremental Delayed Draw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and/or increase the principal amount of the Term Loans of any existing Class by requesting new commitments to provide such Term Loans (each increase, an “</w:t>
      </w:r>
      <w:r>
        <w:rPr>
          <w:rFonts w:ascii="Times New Roman" w:cs="Times New Roman" w:eastAsia="Times New Roman" w:hAnsi="Times New Roman"/>
          <w:sz w:val="20"/>
          <w:szCs w:val="20"/>
          <w:u w:val="single" w:color="auto"/>
          <w:color w:val="auto"/>
        </w:rPr>
        <w:t>Incremental Term Increase Facility</w:t>
      </w:r>
      <w:r>
        <w:rPr>
          <w:rFonts w:ascii="Times New Roman" w:cs="Times New Roman" w:eastAsia="Times New Roman" w:hAnsi="Times New Roman"/>
          <w:sz w:val="20"/>
          <w:szCs w:val="20"/>
          <w:color w:val="auto"/>
        </w:rPr>
        <w:t>”; any such New Incremental Term Facility or Incremental Term Increase Facility, an “</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and the loans made pursuant to any Incremental Term Facility, “</w:t>
      </w:r>
      <w:r>
        <w:rPr>
          <w:rFonts w:ascii="Times New Roman" w:cs="Times New Roman" w:eastAsia="Times New Roman" w:hAnsi="Times New Roman"/>
          <w:sz w:val="20"/>
          <w:szCs w:val="20"/>
          <w:u w:val="single" w:color="auto"/>
          <w:color w:val="auto"/>
        </w:rPr>
        <w:t>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and/or (ii) (x) if no Revolving Loans or Revolving Commitments exist at such time, add a new Class of revolving facility (each new Class, a “</w:t>
      </w:r>
      <w:r>
        <w:rPr>
          <w:rFonts w:ascii="Times New Roman" w:cs="Times New Roman" w:eastAsia="Times New Roman" w:hAnsi="Times New Roman"/>
          <w:sz w:val="20"/>
          <w:szCs w:val="20"/>
          <w:u w:val="single" w:color="auto"/>
          <w:color w:val="auto"/>
        </w:rPr>
        <w:t>New Incremental Revolving Facility</w:t>
      </w:r>
      <w:r>
        <w:rPr>
          <w:rFonts w:ascii="Times New Roman" w:cs="Times New Roman" w:eastAsia="Times New Roman" w:hAnsi="Times New Roman"/>
          <w:sz w:val="20"/>
          <w:szCs w:val="20"/>
          <w:color w:val="auto"/>
        </w:rPr>
        <w:t>”) or (y) increase the principal amount of the Revolving Commitments of any existing Class by requesting new commitments of such Class (each increase, a “</w:t>
      </w:r>
      <w:r>
        <w:rPr>
          <w:rFonts w:ascii="Times New Roman" w:cs="Times New Roman" w:eastAsia="Times New Roman" w:hAnsi="Times New Roman"/>
          <w:sz w:val="20"/>
          <w:szCs w:val="20"/>
          <w:u w:val="single" w:color="auto"/>
          <w:color w:val="auto"/>
        </w:rPr>
        <w:t>Revolving Commitment Increase</w:t>
      </w:r>
      <w:r>
        <w:rPr>
          <w:rFonts w:ascii="Times New Roman" w:cs="Times New Roman" w:eastAsia="Times New Roman" w:hAnsi="Times New Roman"/>
          <w:sz w:val="20"/>
          <w:szCs w:val="20"/>
          <w:color w:val="auto"/>
        </w:rPr>
        <w:t>”; any such New Incremental Revolving Facility or Revolving Commitment Increase, an “</w:t>
      </w:r>
      <w:r>
        <w:rPr>
          <w:rFonts w:ascii="Times New Roman" w:cs="Times New Roman" w:eastAsia="Times New Roman" w:hAnsi="Times New Roman"/>
          <w:sz w:val="20"/>
          <w:szCs w:val="20"/>
          <w:u w:val="single" w:color="auto"/>
          <w:color w:val="auto"/>
        </w:rPr>
        <w:t>Incremental Revolving Facility</w:t>
      </w:r>
      <w:r>
        <w:rPr>
          <w:rFonts w:ascii="Times New Roman" w:cs="Times New Roman" w:eastAsia="Times New Roman" w:hAnsi="Times New Roman"/>
          <w:sz w:val="20"/>
          <w:szCs w:val="20"/>
          <w:color w:val="auto"/>
        </w:rPr>
        <w:t>”; and the loans thereunder,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and any Incremental Revolving Loans, together with any Incremental Term Loans, “</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in an aggregate principal amount not to exceed the Incremental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7" w:lineRule="exact"/>
        <w:rPr>
          <w:sz w:val="20"/>
          <w:szCs w:val="20"/>
          <w:color w:val="auto"/>
        </w:rPr>
      </w:pPr>
    </w:p>
    <w:p>
      <w:pPr>
        <w:ind w:left="540" w:firstLine="523"/>
        <w:spacing w:after="0" w:line="269" w:lineRule="auto"/>
        <w:rPr>
          <w:sz w:val="20"/>
          <w:szCs w:val="20"/>
          <w:color w:val="auto"/>
        </w:rPr>
      </w:pPr>
      <w:r>
        <w:rPr>
          <w:rFonts w:ascii="Times New Roman" w:cs="Times New Roman" w:eastAsia="Times New Roman" w:hAnsi="Times New Roman"/>
          <w:sz w:val="20"/>
          <w:szCs w:val="20"/>
          <w:color w:val="auto"/>
        </w:rPr>
        <w:t>(i)    no Incremental Facility may be in an amount that is less than $1,000,000 (or such lesser amount to which the Administrative Agent may reasonably agree),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65" w:right="439" w:bottom="1440" w:gutter="0" w:footer="0" w:header="0"/>
        </w:sectPr>
      </w:pPr>
    </w:p>
    <w:bookmarkStart w:id="98" w:name="page99"/>
    <w:bookmarkEnd w:id="98"/>
    <w:p>
      <w:pPr>
        <w:jc w:val="both"/>
        <w:ind w:right="20" w:firstLine="523"/>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except as any applicable Borrower and any Lender may separately agree in writing, no Lender shall be obligated to provide any Incremental Commitment or Incremental Loan, and the determination to provide any Incremental Commitment or Incremental Loan shall be within the sole and absolute discretion of such Lender,</w:t>
      </w:r>
    </w:p>
    <w:p>
      <w:pPr>
        <w:spacing w:after="0" w:line="174" w:lineRule="exact"/>
        <w:rPr>
          <w:sz w:val="20"/>
          <w:szCs w:val="20"/>
          <w:color w:val="auto"/>
        </w:rPr>
      </w:pPr>
    </w:p>
    <w:p>
      <w:pPr>
        <w:jc w:val="both"/>
        <w:ind w:right="20" w:firstLine="523"/>
        <w:spacing w:after="0" w:line="254" w:lineRule="auto"/>
        <w:rPr>
          <w:sz w:val="20"/>
          <w:szCs w:val="20"/>
          <w:color w:val="auto"/>
        </w:rPr>
      </w:pPr>
      <w:r>
        <w:rPr>
          <w:rFonts w:ascii="Times New Roman" w:cs="Times New Roman" w:eastAsia="Times New Roman" w:hAnsi="Times New Roman"/>
          <w:sz w:val="20"/>
          <w:szCs w:val="20"/>
          <w:color w:val="auto"/>
        </w:rPr>
        <w:t>(iii)    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74" w:lineRule="exact"/>
        <w:rPr>
          <w:sz w:val="20"/>
          <w:szCs w:val="20"/>
          <w:color w:val="auto"/>
        </w:rPr>
      </w:pPr>
    </w:p>
    <w:p>
      <w:pPr>
        <w:jc w:val="both"/>
        <w:ind w:firstLine="523"/>
        <w:spacing w:after="0" w:line="245" w:lineRule="auto"/>
        <w:rPr>
          <w:sz w:val="20"/>
          <w:szCs w:val="20"/>
          <w:color w:val="auto"/>
        </w:rPr>
      </w:pPr>
      <w:r>
        <w:rPr>
          <w:rFonts w:ascii="Times New Roman" w:cs="Times New Roman" w:eastAsia="Times New Roman" w:hAnsi="Times New Roman"/>
          <w:sz w:val="20"/>
          <w:szCs w:val="20"/>
          <w:color w:val="auto"/>
        </w:rPr>
        <w:t xml:space="preserve">(iv)    except as otherwise permitted herein (including as provided in </w:t>
      </w:r>
      <w:r>
        <w:rPr>
          <w:rFonts w:ascii="Times New Roman" w:cs="Times New Roman" w:eastAsia="Times New Roman" w:hAnsi="Times New Roman"/>
          <w:sz w:val="20"/>
          <w:szCs w:val="20"/>
          <w:u w:val="single" w:color="auto"/>
          <w:color w:val="auto"/>
        </w:rPr>
        <w:t>clauses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below, as applicable), (x) the terms of any Incremental Term Facility shall be consistent with the terms of any existing Class of Term Loans or otherwise no more restrictive to any applicable Borrower in any material respect (taken as a whole and as reasonably determined by the U.S. Borrower) than the terms of any existing Class of Term Loans and reasonably acceptable to the Administrative Agent (excluding</w:t>
      </w:r>
    </w:p>
    <w:p>
      <w:pPr>
        <w:spacing w:after="0" w:line="1" w:lineRule="exact"/>
        <w:rPr>
          <w:sz w:val="20"/>
          <w:szCs w:val="20"/>
          <w:color w:val="auto"/>
        </w:rPr>
      </w:pPr>
    </w:p>
    <w:p>
      <w:pPr>
        <w:jc w:val="both"/>
        <w:ind w:firstLine="7"/>
        <w:spacing w:after="0" w:line="239" w:lineRule="auto"/>
        <w:tabs>
          <w:tab w:leader="none" w:pos="32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or other provisions applicable only to periods after the Latest Maturity Date applicable to any existing Class of Term Loans and (B) any more restrictive covenant, to the extent that such covenant is also added for the benefit of any outstanding Loans and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Term Loans, any new or more restrictive financial covenant in respect of any Incremental Revolving Facility or Incremental Term A Loans shall only be required to be added for the benefit of any outstanding Initial Tranche A Term Loans and any outstanding Incremental Term A Loans); it being understood and agreed that in each such case, no consent of the Administrative Agent and/or any Lender shall be required in connection with adding such covenant, and it may be added by the applicable Borrower or Borrowers and the lenders providing the relevant Incremental Term Facility) and (y) the terms and provisions of any New Incremental Revolving Facility shall be consistent with the terms of the Initial Tranche A Term Loans or any Class of Incremental Term A Loans, in each case then outstanding, or if no such Loans are then outstanding, any existing Class of Term Loans (in each case, taking into account the nature of the Incremental Revolving Loans as revolving loans) or otherwise no more restrictive to any applicable Borrower in any material respect (taken as a whole and as reasonably determined by the U.S. Borrower) than the terms of the Initial Tranche A Term Loans or any Class of Incremental Term A Loans, in each case then outstanding, or if no such Loans are outstanding, any existing Class of Term Loans (taking into account the nature of the Incremental Revolving Loans as revolving loans) and reasonably acceptable to the Administrative Agent (excluding (A) covenants or other provisions applicable only to periods after the Latest Maturity Date applicable to any existing Class of Term Loans and (B) any more restrictive covenant, to the extent that such covenant is also added for the benefit of the outstanding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new or more restrictive financial covenant shall only be required to be added for the benefit of any outstanding Initial Tranche A Term Loans and any outstanding Incremental Term A Loans); it being understood and agreed that in each such case, no consent of the Administrative Agent and/or any Lender shall be required in connection with adding such covenant, and it may be added by the applicable Borrower or Borrowers and the lenders providing the relevant Incremental Revolving Facility),</w:t>
      </w:r>
    </w:p>
    <w:p>
      <w:pPr>
        <w:spacing w:after="0" w:line="204" w:lineRule="exact"/>
        <w:rPr>
          <w:sz w:val="20"/>
          <w:szCs w:val="20"/>
          <w:color w:val="auto"/>
        </w:rPr>
      </w:pPr>
    </w:p>
    <w:p>
      <w:pPr>
        <w:jc w:val="both"/>
        <w:ind w:firstLine="523"/>
        <w:spacing w:after="0" w:line="244" w:lineRule="auto"/>
        <w:rPr>
          <w:sz w:val="20"/>
          <w:szCs w:val="20"/>
          <w:color w:val="auto"/>
        </w:rPr>
      </w:pPr>
      <w:r>
        <w:rPr>
          <w:rFonts w:ascii="Times New Roman" w:cs="Times New Roman" w:eastAsia="Times New Roman" w:hAnsi="Times New Roman"/>
          <w:sz w:val="20"/>
          <w:szCs w:val="20"/>
          <w:color w:val="auto"/>
        </w:rPr>
        <w:t xml:space="preserve">(v)    the Effective Yield (and the components thereof, including the interest rate margins, rate floors, fees, premiums and funding discounts), currency types and denominations and any “MFN terms” or prepayment premiums or protections applicable to any Incremental Facility shall be determined by the applicable Borrower or Borrowers and the lender or lenders providing such Incremental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Dollar-denominated Incremental Term Facility (other than any Incremental Term Loans in the form of customary term “A” loans (an “</w:t>
      </w:r>
      <w:r>
        <w:rPr>
          <w:rFonts w:ascii="Times New Roman" w:cs="Times New Roman" w:eastAsia="Times New Roman" w:hAnsi="Times New Roman"/>
          <w:sz w:val="20"/>
          <w:szCs w:val="20"/>
          <w:u w:val="single" w:color="auto"/>
          <w:color w:val="auto"/>
        </w:rPr>
        <w:t>Incremental Term A Loan</w:t>
      </w:r>
      <w:r>
        <w:rPr>
          <w:rFonts w:ascii="Times New Roman" w:cs="Times New Roman" w:eastAsia="Times New Roman" w:hAnsi="Times New Roman"/>
          <w:sz w:val="20"/>
          <w:szCs w:val="20"/>
          <w:color w:val="auto"/>
        </w:rPr>
        <w:t>”) or customary bridge financing), the Effective Yield applicable to such Incremental Term Loans shall not be greater than the applicable Effective Yield with respect to the</w:t>
      </w:r>
    </w:p>
    <w:p>
      <w:pPr>
        <w:spacing w:after="0" w:line="1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480"/>
          </w:cols>
          <w:pgMar w:left="980" w:top="265" w:right="439" w:bottom="1440" w:gutter="0" w:footer="0" w:header="0"/>
        </w:sectPr>
      </w:pPr>
    </w:p>
    <w:bookmarkStart w:id="99" w:name="page100"/>
    <w:bookmarkEnd w:id="99"/>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Initial Tranche B Term Loans plus 50 basis points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unless the Effective Yield with respect to the Initial Tranche B Term Loans is increased so as to cause the then applicable Effective Yield of the Initial Tranche B Term Loans to equal the Effective Yield then applicable to such Incremental Term Loans minus 50 basis points;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increase in the Effective Yield of any Initial Tranche B Term Loan required solely due to the application or imposition of a Term SOFR Rate or Alternate Base Rate floor on any Incremental Term Loan may, at the election of the U.S. Borrower, be effected solely through an increase in (or implementation of, as applicable) any Term SOFR Rate, Daily Simple SOFR or Alternate Base Rate floor applicable to such Initial Tranche B Term Loan or an increase in the interest rate margin applicable to such Incremental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2.20(a)(v)</w:t>
      </w:r>
      <w:r>
        <w:rPr>
          <w:rFonts w:ascii="Times New Roman" w:cs="Times New Roman" w:eastAsia="Times New Roman" w:hAnsi="Times New Roman"/>
          <w:sz w:val="20"/>
          <w:szCs w:val="20"/>
          <w:color w:val="auto"/>
        </w:rPr>
        <w:t xml:space="preserve"> shall not apply to any Incremental Commitments or Incremental Term Loans incurred on or after the six-month anniversary of the Closing Date,</w:t>
      </w:r>
    </w:p>
    <w:p>
      <w:pPr>
        <w:spacing w:after="0" w:line="190" w:lineRule="exact"/>
        <w:rPr>
          <w:sz w:val="20"/>
          <w:szCs w:val="20"/>
          <w:color w:val="auto"/>
        </w:rPr>
      </w:pPr>
    </w:p>
    <w:p>
      <w:pPr>
        <w:jc w:val="both"/>
        <w:ind w:right="20" w:firstLine="523"/>
        <w:spacing w:after="0" w:line="244" w:lineRule="auto"/>
        <w:rPr>
          <w:sz w:val="20"/>
          <w:szCs w:val="20"/>
          <w:color w:val="auto"/>
        </w:rPr>
      </w:pPr>
      <w:r>
        <w:rPr>
          <w:rFonts w:ascii="Times New Roman" w:cs="Times New Roman" w:eastAsia="Times New Roman" w:hAnsi="Times New Roman"/>
          <w:sz w:val="20"/>
          <w:szCs w:val="20"/>
          <w:color w:val="auto"/>
        </w:rPr>
        <w:t xml:space="preserve">(vi)    the maturity date of any Incremental Facility shall be determined by the applicable Borrower or Borrowers and the lender or lenders providing such Incremental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with respect to (x) customary bridge financings that, subject to customary conditions (as determined by the U.S. Borrower in good faith), provide for an automatic extension of the maturity date thereof to a date that satisfies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or require such bridge loans to be converted into or exchanged for permanent financing with a maturity date that would satisfy this clause (vi) or (y) any Incremental Term A Loan, which shall have a final maturity date no earlier than the Latest Maturity Date applicable to the Initial Tranche A Term Loans, the final maturity date with respect to any Class of Incremental Term Loans shall be no earlier than the Latest Maturity Date,</w:t>
      </w:r>
    </w:p>
    <w:p>
      <w:pPr>
        <w:spacing w:after="0" w:line="186" w:lineRule="exact"/>
        <w:rPr>
          <w:sz w:val="20"/>
          <w:szCs w:val="20"/>
          <w:color w:val="auto"/>
        </w:rPr>
      </w:pPr>
    </w:p>
    <w:p>
      <w:pPr>
        <w:jc w:val="both"/>
        <w:ind w:firstLine="523"/>
        <w:spacing w:after="0" w:line="250" w:lineRule="auto"/>
        <w:rPr>
          <w:sz w:val="20"/>
          <w:szCs w:val="20"/>
          <w:color w:val="auto"/>
        </w:rPr>
      </w:pPr>
      <w:r>
        <w:rPr>
          <w:rFonts w:ascii="Times New Roman" w:cs="Times New Roman" w:eastAsia="Times New Roman" w:hAnsi="Times New Roman"/>
          <w:sz w:val="20"/>
          <w:szCs w:val="20"/>
          <w:color w:val="auto"/>
        </w:rPr>
        <w:t xml:space="preserve">(vii)    subject to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below, (A) the Incremental Term Loans may participate on a pro rata basis or less than pro rata basis (but not on a greater than pro rata basis) in any mandatory prepayments of Initial Tranche A Term Loans hereunder and</w:t>
      </w:r>
    </w:p>
    <w:p>
      <w:pPr>
        <w:spacing w:after="0" w:line="2" w:lineRule="exact"/>
        <w:rPr>
          <w:sz w:val="20"/>
          <w:szCs w:val="20"/>
          <w:color w:val="auto"/>
        </w:rPr>
      </w:pPr>
    </w:p>
    <w:p>
      <w:pPr>
        <w:ind w:right="20" w:firstLine="7"/>
        <w:spacing w:after="0" w:line="246" w:lineRule="auto"/>
        <w:tabs>
          <w:tab w:leader="none" w:pos="32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Term Loans may participate on a pro rata basis or less than pro rata basis (but not on a greater than pro rata basis) in any mandatory prepayments of Initial Tranche B Term Loans hereunder,</w:t>
      </w:r>
    </w:p>
    <w:p>
      <w:pPr>
        <w:spacing w:after="0" w:line="182" w:lineRule="exact"/>
        <w:rPr>
          <w:sz w:val="20"/>
          <w:szCs w:val="20"/>
          <w:color w:val="auto"/>
        </w:rPr>
      </w:pPr>
    </w:p>
    <w:p>
      <w:pPr>
        <w:jc w:val="both"/>
        <w:ind w:firstLine="523"/>
        <w:spacing w:after="0" w:line="245" w:lineRule="auto"/>
        <w:rPr>
          <w:sz w:val="20"/>
          <w:szCs w:val="20"/>
          <w:color w:val="auto"/>
        </w:rPr>
      </w:pPr>
      <w:r>
        <w:rPr>
          <w:rFonts w:ascii="Times New Roman" w:cs="Times New Roman" w:eastAsia="Times New Roman" w:hAnsi="Times New Roman"/>
          <w:sz w:val="20"/>
          <w:szCs w:val="20"/>
          <w:color w:val="auto"/>
        </w:rPr>
        <w:t xml:space="preserve">(viii)    subject to </w:t>
      </w:r>
      <w:r>
        <w:rPr>
          <w:rFonts w:ascii="Times New Roman" w:cs="Times New Roman" w:eastAsia="Times New Roman" w:hAnsi="Times New Roman"/>
          <w:sz w:val="20"/>
          <w:szCs w:val="20"/>
          <w:u w:val="single" w:color="auto"/>
          <w:color w:val="auto"/>
        </w:rPr>
        <w:t>clause (a)(vi)</w:t>
      </w:r>
      <w:r>
        <w:rPr>
          <w:rFonts w:ascii="Times New Roman" w:cs="Times New Roman" w:eastAsia="Times New Roman" w:hAnsi="Times New Roman"/>
          <w:sz w:val="20"/>
          <w:szCs w:val="20"/>
          <w:color w:val="auto"/>
        </w:rPr>
        <w:t xml:space="preserve"> above, any amortization schedule applicable to any Incremental Term Facility shall be determined by the applicable Borrower or Borrowers and the lender or lenders providing such Incremental Facility but shall have a Weighted Average Life to Maturity not shorter than the remaining Weighted Average Life to Maturity of the latest maturing Term Loans (other than a shorter Weighted Average Life to Maturity for (i) customary bridge financings or (ii) any Incremental Term A Loan, which shall have a Weighted Average Life to Maturity no earlier than the Weighted Average Life to Maturity of the Initial Tranche A Term Loans),</w:t>
      </w:r>
    </w:p>
    <w:p>
      <w:pPr>
        <w:spacing w:after="0" w:line="184" w:lineRule="exact"/>
        <w:rPr>
          <w:sz w:val="20"/>
          <w:szCs w:val="20"/>
          <w:color w:val="auto"/>
        </w:rPr>
      </w:pPr>
    </w:p>
    <w:p>
      <w:pPr>
        <w:jc w:val="both"/>
        <w:ind w:right="20" w:firstLine="523"/>
        <w:spacing w:after="0" w:line="269" w:lineRule="auto"/>
        <w:rPr>
          <w:sz w:val="20"/>
          <w:szCs w:val="20"/>
          <w:color w:val="auto"/>
        </w:rPr>
      </w:pPr>
      <w:r>
        <w:rPr>
          <w:rFonts w:ascii="Times New Roman" w:cs="Times New Roman" w:eastAsia="Times New Roman" w:hAnsi="Times New Roman"/>
          <w:sz w:val="20"/>
          <w:szCs w:val="20"/>
          <w:color w:val="auto"/>
        </w:rPr>
        <w:t xml:space="preserve">(ix)    subject to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above, any fees payable in connection with any Incremental Facility shall be determined by the applicable Borrower or Borrowers and the arrangers and/or lenders providing such Incremental Facility,</w:t>
      </w:r>
    </w:p>
    <w:p>
      <w:pPr>
        <w:spacing w:after="0" w:line="155" w:lineRule="exact"/>
        <w:rPr>
          <w:sz w:val="20"/>
          <w:szCs w:val="20"/>
          <w:color w:val="auto"/>
        </w:rPr>
      </w:pPr>
    </w:p>
    <w:p>
      <w:pPr>
        <w:jc w:val="both"/>
        <w:ind w:right="20" w:firstLine="523"/>
        <w:spacing w:after="0" w:line="256" w:lineRule="auto"/>
        <w:rPr>
          <w:sz w:val="20"/>
          <w:szCs w:val="20"/>
          <w:color w:val="auto"/>
        </w:rPr>
      </w:pPr>
      <w:r>
        <w:rPr>
          <w:rFonts w:ascii="Times New Roman" w:cs="Times New Roman" w:eastAsia="Times New Roman" w:hAnsi="Times New Roman"/>
          <w:sz w:val="20"/>
          <w:szCs w:val="20"/>
          <w:color w:val="auto"/>
        </w:rPr>
        <w:t xml:space="preserve">(x)    (A) each Incremental Facility shall be secured by Liens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securing the Obligations and (B) no Incremental Facility may be (1) guaranteed by any Person which is not a Loan Party or (2) secured by any assets other than the Collateral,</w:t>
      </w:r>
    </w:p>
    <w:p>
      <w:pPr>
        <w:spacing w:after="0" w:line="173" w:lineRule="exact"/>
        <w:rPr>
          <w:sz w:val="20"/>
          <w:szCs w:val="20"/>
          <w:color w:val="auto"/>
        </w:rPr>
      </w:pPr>
    </w:p>
    <w:p>
      <w:pPr>
        <w:jc w:val="both"/>
        <w:ind w:right="20" w:firstLine="523"/>
        <w:spacing w:after="0" w:line="254" w:lineRule="auto"/>
        <w:rPr>
          <w:sz w:val="20"/>
          <w:szCs w:val="20"/>
          <w:color w:val="auto"/>
        </w:rPr>
      </w:pPr>
      <w:r>
        <w:rPr>
          <w:rFonts w:ascii="Times New Roman" w:cs="Times New Roman" w:eastAsia="Times New Roman" w:hAnsi="Times New Roman"/>
          <w:sz w:val="20"/>
          <w:szCs w:val="20"/>
          <w:color w:val="auto"/>
        </w:rPr>
        <w:t xml:space="preserve">(xi)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 no Default or Event of Default shall exist immediately prior to or after giving effect to such Incremental Facility, (B) if any Initial Tranche A Term Loans are outstanding at such time, the TopCo Borrower shall be in compliance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in the case of any Incremental Revolving Facility or Incremental Delayed Draw Facility,</w:t>
      </w:r>
    </w:p>
    <w:p>
      <w:pPr>
        <w:spacing w:after="0" w:line="1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480"/>
          </w:cols>
          <w:pgMar w:left="980" w:top="261" w:right="439" w:bottom="1440" w:gutter="0" w:footer="0" w:header="0"/>
        </w:sectPr>
      </w:pPr>
    </w:p>
    <w:bookmarkStart w:id="100" w:name="page101"/>
    <w:bookmarkEnd w:id="100"/>
    <w:p>
      <w:pPr>
        <w:jc w:val="both"/>
        <w:ind w:left="540" w:right="20"/>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assuming a full drawing of such Incremental Revolving Facility or Incremental Delayed Draw Facility,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lieu of assuming any such Incremental Delayed Draw Facility is fully drawn at the time committed, the U.S. Borrower may, in its sole discretion, elect to test compliance as of the date each delayed draw term loan under such Incremental Delayed Draw Facility is funded)) with the Financial Covenants as of the last day of the most recently ended fiscal quarter for which financial statements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and (C) the representations and warranties of the Loan Parties set forth in this Agreement and the other Loan Documents shall be true and correct in all material respects (or if qualified by materiality or Material Adverse Effect, in all respects) on and as of the date such Incremental Facility becomes effective, with the same effect as though such representations and warranties had been made on and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any representation and warranty specifically refers to a given date or period, it shall be true and correct in all material respects as of such date or for such period,</w:t>
      </w:r>
    </w:p>
    <w:p>
      <w:pPr>
        <w:spacing w:after="0" w:line="192"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(xii)    the proceeds of any Incremental Facility may be used for working capital and/or purchase price adjustments and other general corporate purposes and any other use not prohibited by this Agreement,</w:t>
      </w:r>
    </w:p>
    <w:p>
      <w:pPr>
        <w:spacing w:after="0" w:line="159" w:lineRule="exact"/>
        <w:rPr>
          <w:sz w:val="20"/>
          <w:szCs w:val="20"/>
          <w:color w:val="auto"/>
        </w:rPr>
      </w:pPr>
    </w:p>
    <w:p>
      <w:pPr>
        <w:jc w:val="both"/>
        <w:ind w:left="540" w:firstLine="523"/>
        <w:spacing w:after="0" w:line="242" w:lineRule="auto"/>
        <w:rPr>
          <w:sz w:val="20"/>
          <w:szCs w:val="20"/>
          <w:color w:val="auto"/>
        </w:rPr>
      </w:pPr>
      <w:r>
        <w:rPr>
          <w:rFonts w:ascii="Times New Roman" w:cs="Times New Roman" w:eastAsia="Times New Roman" w:hAnsi="Times New Roman"/>
          <w:sz w:val="20"/>
          <w:szCs w:val="20"/>
          <w:color w:val="auto"/>
        </w:rPr>
        <w:t>(xiii)    (A) any Incremental Term Increase Facility shall be on the same terms (including maturity date and interest rates (except, if required to consummate such Incremental Term Increase Facility, any increase in interest rates and/or rate floors that is provided to all Lenders for the applicable Class of Term Loans, but excluding upfront fees, original issue discount or similar fees)) and pursuant to the same documentation (other than the relevant Incremental Amendment) applicable to such Class of Term Loans, and (B) any Revolving Commitment Increase (x) shall be on the same terms (including maturity date and interest rates (except, if required to consummate such Revolving Commitment Increase, any increase in interest rates, rate floors and/or undrawn fees that is provided to all Lenders for the applicable Class of Revolving Commitments), but excluding upfront fees, original issue discount or similar fees) and pursuant to the same documentation (other than the relevant Incremental Facility agreement) applicable to such Class of Revolving Commitments and (y) shall not require any scheduled amortization or mandatory commitment reduction prior to the Maturity Date with respect to such Class of Revolving Commitments, and</w:t>
      </w:r>
    </w:p>
    <w:p>
      <w:pPr>
        <w:spacing w:after="0" w:line="192" w:lineRule="exact"/>
        <w:rPr>
          <w:sz w:val="20"/>
          <w:szCs w:val="20"/>
          <w:color w:val="auto"/>
        </w:rPr>
      </w:pPr>
    </w:p>
    <w:p>
      <w:pPr>
        <w:jc w:val="both"/>
        <w:ind w:left="540" w:firstLine="523"/>
        <w:spacing w:after="0" w:line="243" w:lineRule="auto"/>
        <w:rPr>
          <w:sz w:val="20"/>
          <w:szCs w:val="20"/>
          <w:color w:val="auto"/>
        </w:rPr>
      </w:pPr>
      <w:r>
        <w:rPr>
          <w:rFonts w:ascii="Times New Roman" w:cs="Times New Roman" w:eastAsia="Times New Roman" w:hAnsi="Times New Roman"/>
          <w:sz w:val="20"/>
          <w:szCs w:val="20"/>
          <w:color w:val="auto"/>
        </w:rPr>
        <w:t xml:space="preserve">(xiv)    on the date of the Borrowing of any Incremental Term Loans that will be of the same Class as any then-existing Class of Term Loans, and notwithstanding anything to the contrary set forth in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such Incremental Term Loans shall be added to (and constitute a part of, be of the same Type as and, at the election of the U.S. Borrower, have the same Interest Period as) each Borrowing of outstanding Term Loans of such Class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(based on the relative sizes of such Borrowings), so that each Lender providing such Incremental Term Loans will participate proportionately in each then-outstanding Borrowing of Term Loans of such Class; it being acknowledged that the application of this </w:t>
      </w:r>
      <w:r>
        <w:rPr>
          <w:rFonts w:ascii="Times New Roman" w:cs="Times New Roman" w:eastAsia="Times New Roman" w:hAnsi="Times New Roman"/>
          <w:sz w:val="20"/>
          <w:szCs w:val="20"/>
          <w:u w:val="single" w:color="auto"/>
          <w:color w:val="auto"/>
        </w:rPr>
        <w:t>clause (a)(xiv)</w:t>
      </w:r>
      <w:r>
        <w:rPr>
          <w:rFonts w:ascii="Times New Roman" w:cs="Times New Roman" w:eastAsia="Times New Roman" w:hAnsi="Times New Roman"/>
          <w:sz w:val="20"/>
          <w:szCs w:val="20"/>
          <w:color w:val="auto"/>
        </w:rPr>
        <w:t xml:space="preserve"> may result in new Incremental Term Loans having an Interest Period (the duration of which may be less than one month) that begins during an Interest Period then applicable to outstanding Term Benchmark Loans of the relevant Class and which ends on the last day of such Interest Period,</w:t>
      </w:r>
    </w:p>
    <w:p>
      <w:pPr>
        <w:spacing w:after="0" w:line="18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(b)    Incremental Commitments may be provided by any existing Lender, or by any other Person (any such other lender being called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have a right to consent (such consent not to be unreasonably withheld or delayed) to the relevant Incremental Lender’s provision of Incremental Commitments if such consent would be required under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for an assignment of Loans to such Incremental Lender,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the same extent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6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if the relevant Incremental Commitments and related Obligations had been acquired by such Incremental Lender by way of assignment.</w:t>
      </w:r>
    </w:p>
    <w:p>
      <w:pPr>
        <w:spacing w:after="0" w:line="227"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(c)    Each Incremental Lender providing a portion of any Incremental Commitments shall execute and deliver to the Administrative Agent and each applicable Borrower all such documentation (including the relevant Incremental Amendment) as may be reasonably required by the Administrative Agent to evidence and effectuate such Incremental Commitment. On the effective date of such Incremental Commitments, each Incremental Lender shall become a Lender for all purposes in connection with this Agreement.</w:t>
      </w:r>
    </w:p>
    <w:p>
      <w:pPr>
        <w:spacing w:after="0" w:line="180"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(d)    As conditions precedent to the effectiveness of any Incremental Facility or the making of any Incremental Loans, (i) upon its request, the Administrative Agent shall be entitled to receive customary written opinions of counsel, as well as such reaffirmation agreements, supplements and/or amendments as it shall reasonably require, (ii) the Administrative Agent shall be entitled to receive, from each Incremental Lender, an Administrative Questionnaire and such other documents as it shall reasonably require from such Incremental Lender, (iii) the Administrative Agent, on behalf of the Incremental Lenders, shall have received the amount of any fees payable to the Incremental Lenders in respect of such Incremental Facility or Incremental Loans, (iv)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the Administrative Agent shall have received a Borrowing Request as if the relevant Incremental Loans were subject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another written request the form of which is reasonably acceptable to the Administrative Agent (it being understood and agreed that the requirement to deliver a Borrowing Request shall not result in the imposition of any additional condition precedent to the availability of the relevant Incremental Loans) and (v) upon its request, the Administrative Agent shall be entitled to receive (A) a certificate signed by a Financial Officer of the applicable Borrower or Borrowers and, if requested by the Administrative Agent, the Loan Parties, certifying and attaching a copy of the resolutions adopted by the governing body of the applicable Borrower or Borrowers and the Loan Parties, as applicable, approving or consenting to such Incremental Facility or Incremental Loans (and any related reaffirmation agreement and amendment, supplement or modification to the Loan Documents) and (B) to the extent applicable, a certificate signed by a Financial Officer of the applicable Borrower or Borrowers, certifying that the conditions set forth in </w:t>
      </w:r>
      <w:r>
        <w:rPr>
          <w:rFonts w:ascii="Times New Roman" w:cs="Times New Roman" w:eastAsia="Times New Roman" w:hAnsi="Times New Roman"/>
          <w:sz w:val="20"/>
          <w:szCs w:val="20"/>
          <w:u w:val="single" w:color="auto"/>
          <w:color w:val="auto"/>
        </w:rPr>
        <w:t>clause (a)(xi)</w:t>
      </w:r>
      <w:r>
        <w:rPr>
          <w:rFonts w:ascii="Times New Roman" w:cs="Times New Roman" w:eastAsia="Times New Roman" w:hAnsi="Times New Roman"/>
          <w:sz w:val="20"/>
          <w:szCs w:val="20"/>
          <w:color w:val="auto"/>
        </w:rPr>
        <w:t xml:space="preserve"> above have been satisfied.</w:t>
      </w:r>
    </w:p>
    <w:p>
      <w:pPr>
        <w:spacing w:after="0" w:line="194"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 xml:space="preserve">(e)    Upon the implementation of any Incremental Revolving Facility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if such Incremental Revolving Facility establishes Revolving Commitments of the same Class as any existing Class of Revolving Commitments:</w:t>
      </w:r>
    </w:p>
    <w:p>
      <w:pPr>
        <w:spacing w:after="0" w:line="159" w:lineRule="exact"/>
        <w:rPr>
          <w:sz w:val="20"/>
          <w:szCs w:val="20"/>
          <w:color w:val="auto"/>
        </w:rPr>
      </w:pPr>
    </w:p>
    <w:p>
      <w:pPr>
        <w:jc w:val="both"/>
        <w:ind w:left="540" w:firstLine="523"/>
        <w:spacing w:after="0" w:line="244" w:lineRule="auto"/>
        <w:rPr>
          <w:sz w:val="20"/>
          <w:szCs w:val="20"/>
          <w:color w:val="auto"/>
        </w:rPr>
      </w:pPr>
      <w:r>
        <w:rPr>
          <w:rFonts w:ascii="Times New Roman" w:cs="Times New Roman" w:eastAsia="Times New Roman" w:hAnsi="Times New Roman"/>
          <w:sz w:val="20"/>
          <w:szCs w:val="20"/>
          <w:color w:val="auto"/>
        </w:rPr>
        <w:t xml:space="preserve">(i)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(if any) such that, after giving effect to each deemed assignment and assumption of participations, all of the Revolving Lenders’ (including each Incremental Revolving Facility Lender’s) participations hereunder in Letters of Credit shall be held on a pro rata basis on the basis of their respective Revolving Commitments (after giving effect to any increase in the Revolving Commitment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and</w:t>
      </w:r>
    </w:p>
    <w:p>
      <w:pPr>
        <w:spacing w:after="0" w:line="186" w:lineRule="exact"/>
        <w:rPr>
          <w:sz w:val="20"/>
          <w:szCs w:val="20"/>
          <w:color w:val="auto"/>
        </w:rPr>
      </w:pPr>
    </w:p>
    <w:p>
      <w:pPr>
        <w:jc w:val="both"/>
        <w:ind w:left="540" w:right="20" w:firstLine="523"/>
        <w:spacing w:after="0" w:line="246" w:lineRule="auto"/>
        <w:rPr>
          <w:sz w:val="20"/>
          <w:szCs w:val="20"/>
          <w:color w:val="auto"/>
        </w:rPr>
      </w:pPr>
      <w:r>
        <w:rPr>
          <w:rFonts w:ascii="Times New Roman" w:cs="Times New Roman" w:eastAsia="Times New Roman" w:hAnsi="Times New Roman"/>
          <w:sz w:val="20"/>
          <w:szCs w:val="20"/>
          <w:color w:val="auto"/>
        </w:rPr>
        <w:t>(ii)    the existing Revolving Lenders shall assign Revolving Loans to certain other Revolving Lenders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participate in each outstanding Borrowing of Revolving Loans pro rata on the basis of their respective Revolving Commitments (after giving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65" w:right="439" w:bottom="1440" w:gutter="0" w:footer="0" w:header="0"/>
        </w:sectPr>
      </w:pPr>
    </w:p>
    <w:bookmarkStart w:id="102" w:name="page103"/>
    <w:bookmarkEnd w:id="102"/>
    <w:p>
      <w:pPr>
        <w:jc w:val="both"/>
        <w:ind w:left="54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effect to any increase in the Revolving Commitment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it being understood and agreed that the minimum borrowing, pro rata borrowing and pro rata payment requirements contained elsewhere in this Agreement shall not apply to the transactions effected pursuant to this clause (ii).</w:t>
      </w:r>
    </w:p>
    <w:p>
      <w:pPr>
        <w:spacing w:after="0" w:line="17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 xml:space="preserve">(f)    If such Incremental Revolving Facility establishes a New Incremental Revolving Facility, such New Incremental Revolving Facility shall have borrowing and repayment terms (not inconsistent with the other provisions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as determined by the applicable Borrower or Borrowers and the lenders providing such New Incremental Revolving Facility.</w:t>
      </w:r>
    </w:p>
    <w:p>
      <w:pPr>
        <w:spacing w:after="0" w:line="174"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(g)    On the date of effectiveness of any Incremental Revolving Facility, a customary letter of credit facility or swingline facility may be established as agreed upon by the applicable Borrower or Borrowers, the Administrative Agent and the applicable issuing banks or swingline banks, as the case may be, or any existing letter of credit facility sublimit or swingline sublimit shall increase by an amount, if any, agreed upon by applicable Borrower or Borrowers, the Administrative Agent and the applicable issuing banks or swingline banks, as the case may be.</w:t>
      </w:r>
    </w:p>
    <w:p>
      <w:pPr>
        <w:spacing w:after="0" w:line="185"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(h)    The Lenders hereby irrevocably authorize the Administrative Agent to enter into any Incremental Amendment and/or any amendment to any other Loan Document as may be necessary in order to establish new Classes or sub-Classes in respect of Loans or commitments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such technical amendments as may be necessary or appropriate in the reasonable opinion of the Administrative Agent and the applicable Borrower or Borrowers in connection with the establishment of such new Classes or sub-Classes, in each case, on terms consistent with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and such other amendments as are described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Without limiting the generality of the foregoing, any Incremental Amendment may, subject to the other provisions of this Section, without the consent of any other Lenders, effect such amendments to this Agreement and the other Loan Documents as may be necessary in the reasonable opinion of the Administrative Agent and the applicable Borrower or Borrowers, to effect the provisions of this Section (including (i) in connection with Classes of Incremental Term Loans, to increase the amount of, or extend the period of applicability of, any premiums or fees payable upon the prepayment or repricing of any then-existing Class of Term Loans, to increase the Effective Yield, Applicable Rate or Term SOFR Rate, Daily Simple SOFR or Alternate Base Rate floor of any then-existing Class of Term Loans, or make other changes to any applicable then-existing Class of Term Loans so long as such changes are favorable to the Lenders in respect thereof, in any such case, to the extent necessary in order to ensure that any applicable class of Incremental Term Loans are “fungible” with any applicable then-existing Class of Term Loans, (iii) in the case of any Incremental Revolving Facility, to add or amend letter of credit sub-facilities and/or swingline sub-facilities and related mechanics and/or (iv) in connection with the establishment of any Incremental Facility denominated in a currency other than Dollars, to add interest rate definitions and other currency provisions that are customarily included in agreements contemplating Borrowers or the execution of credit documents in any such currency).</w:t>
      </w:r>
    </w:p>
    <w:p>
      <w:pPr>
        <w:spacing w:after="0" w:line="192"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(i)    Notwithstanding anything to the contrary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in any other provision of any Loan Document, if the proceeds of any Incremental Facility or Incremental Equivalent Debt are intended to be applied to finance a Limited Conditionality Transaction and the lenders providing such Incremental Facility or Incremental Equivalent Debt so agree, the availability thereof may be subject to customary “SunGard” or “certain funds” conditionality.</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(j)    Any Borrower or Restricted Subsidiary may, at any time or from time to time after the Closing Date, issue, incur or otherwise obtain Indebtedness of such Borrower or Subsidiary (and any Permitted Refinancing Indebtedness in respect thereof) in respect of one or more series of senior or subordinated notes or loans (or commitments in respect thereof), in each case, that are issued or made in lieu of Incremental Facilities (the “</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principal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65" w:right="439" w:bottom="1440" w:gutter="0" w:footer="0" w:header="0"/>
        </w:sectPr>
      </w:pPr>
    </w:p>
    <w:bookmarkStart w:id="103" w:name="page104"/>
    <w:bookmarkEnd w:id="103"/>
    <w:p>
      <w:pPr>
        <w:jc w:val="both"/>
        <w:ind w:left="4"/>
        <w:spacing w:after="0" w:line="255"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of Incremental Equivalent Debt and any Incremental Facilities shall not exceed (a) in the case of Incremental Equivalent Debt incurred by a Loan Party, the Incremental Cap and (b) in the case of Incremental Equivalent Debt incurred by a Restricted Subsidiary that is not a Loan Party, the greater of (x) $105,250,000 and (y) 25% of Consolidated EBITDA for the most recently ended Test Period, (ii) (x) with respect to Incremental Equivalent Debt incurred by a Loan Party, (1) such Incremental Equivalent Debt shall not be guaranteed by any Person which is not a Loan Party and (2) such Incremental Equivalent Debt, if secured, shall not be secured by any assets other than the Collateral and shall be secured by any such Collateral solely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lien basis to the Liens on such Collateral securing the Obligations and (y) with respect to Incremental Equivalent Debt incurred by a Restricted Subsidiary that is not a Loan Party,</w:t>
      </w:r>
    </w:p>
    <w:p>
      <w:pPr>
        <w:spacing w:after="0" w:line="4" w:lineRule="exact"/>
        <w:rPr>
          <w:sz w:val="20"/>
          <w:szCs w:val="20"/>
          <w:color w:val="auto"/>
        </w:rPr>
      </w:pPr>
    </w:p>
    <w:p>
      <w:pPr>
        <w:jc w:val="both"/>
        <w:ind w:left="4" w:hanging="4"/>
        <w:spacing w:after="0" w:line="239" w:lineRule="auto"/>
        <w:tabs>
          <w:tab w:leader="none" w:pos="32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Incremental Equivalent Debt shall be guaranteed solely by Restricted Subsidiaries that are not Loan Parties and (2) such Incremental Equivalent Debt, if secured, shall be secured solely by assets of Restricted Subsidiaries that are not Loan Parties, (iv)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no Default or Event of Default shall exist immediately prior to or after giving effect to such incurrence, (v) if any Initial Tranche A Term Loans are outstanding at such time, the TopCo Borrower shall be in compliance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in the case of any revolving credit facility or delayed draw term loan facility that is Incremental Equivalent Debt, assuming a full drawing of such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lieu of assuming any such delayed draw term loan facility is fully drawn at the time committed, the U.S. Borrower may, in its sole discretion, elect to test compliance as of the date each delayed draw term loan under such delayed draw term loan facility is funded)) with the Financial Covenants as of the last day of the most recently ended fiscal quarter for which financial statements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(vi) subject to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below, any amortization schedule applicable to any term facility that is Incremental Equivalent Debt shall be determined by the applicable borrower or borrowers and the lender or lenders providing such facility but shall have a Weighted Average Life to Maturity not shorter than the remaining Weighted Average Life to Maturity of the latest maturing Term Loans (other than a shorter Weighted Average Life to Maturity for</w:t>
      </w:r>
    </w:p>
    <w:p>
      <w:pPr>
        <w:spacing w:after="0" w:line="5" w:lineRule="exact"/>
        <w:rPr>
          <w:rFonts w:ascii="Times New Roman" w:cs="Times New Roman" w:eastAsia="Times New Roman" w:hAnsi="Times New Roman"/>
          <w:sz w:val="20"/>
          <w:szCs w:val="20"/>
          <w:color w:val="auto"/>
        </w:rPr>
      </w:pPr>
    </w:p>
    <w:p>
      <w:pPr>
        <w:jc w:val="both"/>
        <w:ind w:left="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customary bridge financings or (ii) any customary term loan “A” facility that is Incremental Equivalent Debt, which shall have a Weighted Average Life to Maturity no earlier than the Weighted Average Life to Maturity of the Initial Tranche A Term Loans), (vii) if such Incremental Equivalent Debt is (a) secured by Liens ranking pari passu with the Liens securing the Obligations, then such Incremental Equivalent Debt shall be subject to a First Lien Intercreditor Agreement or (b) secured by Liens ranking junior to the Liens securing the Obligations, then such Incremental Equivalent Debt shall be subject to a Junior Lien Intercreditor Agreement, (viii) except with respect to (x) customary bridge financings that, subject to customary conditions (as determined by the U.S. Borrower in good faith), provide for an automatic extension of the maturity date thereof to a date that satisfies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or require such bridge loans to be converted into or exchanged for permanent financing with a maturity date that would satisfy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or (y) any customary term loan “A” facility that is Incremental Equivalent Debt, which shall have a final maturity date no earlier than the Latest Maturity Date applicable to the Initial Tranche A Term Loans, the final maturity date with respect to any Incremental Equivalent Debt shall be no earlier than the Latest Maturity Date, (ix) </w:t>
      </w:r>
      <w:r>
        <w:rPr>
          <w:rFonts w:ascii="Times New Roman" w:cs="Times New Roman" w:eastAsia="Times New Roman" w:hAnsi="Times New Roman"/>
          <w:sz w:val="20"/>
          <w:szCs w:val="20"/>
          <w:u w:val="single" w:color="auto"/>
          <w:color w:val="auto"/>
        </w:rPr>
        <w:t>Section 2.20(a)(v)</w:t>
      </w:r>
      <w:r>
        <w:rPr>
          <w:rFonts w:ascii="Times New Roman" w:cs="Times New Roman" w:eastAsia="Times New Roman" w:hAnsi="Times New Roman"/>
          <w:sz w:val="20"/>
          <w:szCs w:val="20"/>
          <w:color w:val="auto"/>
        </w:rPr>
        <w:t xml:space="preserve"> shall apply to any Dollar-denominated term facility constituting Incremental Equivalent Debt that is secured by Liens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securing the Obligations as if (but only to the extent, including after giving effect to applicable exclusions) such Indebtedness were Incremental Term Commitments of the type subject to the provisions of </w:t>
      </w:r>
      <w:r>
        <w:rPr>
          <w:rFonts w:ascii="Times New Roman" w:cs="Times New Roman" w:eastAsia="Times New Roman" w:hAnsi="Times New Roman"/>
          <w:sz w:val="20"/>
          <w:szCs w:val="20"/>
          <w:u w:val="single" w:color="auto"/>
          <w:color w:val="auto"/>
        </w:rPr>
        <w:t>Section 2.20(a)(v)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(x) any Incremental Equivalent Debt that is secured by Liens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securing the Obligations may provide for the ability to participate with the Initial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less than pro rata basis (but not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in any mandatory prepayments hereunder and (xi) except as otherwise permitted herein (including as provided in </w:t>
      </w:r>
      <w:r>
        <w:rPr>
          <w:rFonts w:ascii="Times New Roman" w:cs="Times New Roman" w:eastAsia="Times New Roman" w:hAnsi="Times New Roman"/>
          <w:sz w:val="20"/>
          <w:szCs w:val="20"/>
          <w:u w:val="single" w:color="auto"/>
          <w:color w:val="auto"/>
        </w:rPr>
        <w:t>clauses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above, as applicable), the terms of any Incremental Equivalent Debt shall be consistent with the terms of any existing Class of Loans and Revolving Commitments or otherwise no more restrictive to any applicable Borrower in any material respect (taken as a whole and as reasonably determined by the U.S. Borrower) than the terms of any existing Class of Loans and Revolving Commitments (excluding covenants or other provisions applicable only to periods after the Latest Maturity Date applicable to any existing Class of Loans and Revolving Commitments).</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4"/>
          </w:cols>
          <w:pgMar w:left="436" w:top="265" w:right="439" w:bottom="1440" w:gutter="0" w:footer="0" w:header="0"/>
        </w:sectPr>
      </w:pPr>
    </w:p>
    <w:bookmarkStart w:id="104" w:name="page105"/>
    <w:bookmarkEnd w:id="104"/>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to the contrary.</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2.21 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[reserved];</w:t>
      </w:r>
    </w:p>
    <w:p>
      <w:pPr>
        <w:spacing w:after="0" w:line="216"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20"/>
          <w:szCs w:val="20"/>
          <w:color w:val="auto"/>
        </w:rPr>
        <w:t xml:space="preserve">(b)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[reserved];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[reserved],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U.S.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U.S.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(as in effect on the Closing Date immediately prior to the funding of the Loans).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05"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(c)    the Commitments and Loans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amendment, waiver or other modification requiring the consent of all Lenders or all Lenders directly affected thereby shall not, except as otherwise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require the consent of such Defaulting Lender in accordance with the terms hereof.</w:t>
      </w:r>
    </w:p>
    <w:p>
      <w:pPr>
        <w:spacing w:after="0" w:line="185"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Administrative Agent, the U.S. Borrower and the Lenders each agrees that a Defaulting Lender has adequately remedied all matters that caused such Lender to be a Defaulting Lender, then such Lender shall purchase at par such of the Loans of the other Lenders as the Administrative Agent shall determine may be necessary in order for such Lender to hold such Loans in accordance with its Applicable Percentage (determined in accordance with clause (a)(i) or (b)(i) of the definition thereof, as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0"/>
          </w:cols>
          <w:pgMar w:left="440" w:top="265" w:right="439" w:bottom="1440" w:gutter="0" w:footer="0" w:header="0"/>
        </w:sectPr>
      </w:pPr>
    </w:p>
    <w:bookmarkStart w:id="105" w:name="page106"/>
    <w:bookmarkEnd w:id="105"/>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regardless of whether the Closing Date has occurred),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that Lender was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2.22     </w:t>
      </w:r>
      <w:r>
        <w:rPr>
          <w:rFonts w:ascii="Times New Roman" w:cs="Times New Roman" w:eastAsia="Times New Roman" w:hAnsi="Times New Roman"/>
          <w:sz w:val="20"/>
          <w:szCs w:val="20"/>
          <w:u w:val="single" w:color="auto"/>
          <w:color w:val="auto"/>
        </w:rPr>
        <w:t>Refinancing Facilities.</w:t>
      </w:r>
    </w:p>
    <w:p>
      <w:pPr>
        <w:spacing w:after="0" w:line="216"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(a)    Each applicable Borrower may, on one or more occasions after the Closing Date, by written notice to the Administrative Agent, request the establishment hereunder of one or more additional classes of term loan commitments (the “</w:t>
      </w:r>
      <w:r>
        <w:rPr>
          <w:rFonts w:ascii="Times New Roman" w:cs="Times New Roman" w:eastAsia="Times New Roman" w:hAnsi="Times New Roman"/>
          <w:sz w:val="20"/>
          <w:szCs w:val="20"/>
          <w:u w:val="single" w:color="auto"/>
          <w:color w:val="auto"/>
        </w:rPr>
        <w:t>Refinancing 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pursuant to which each Person providing such a commitment (a “</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will make term loans to each applicable Borrower (the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Refinancing Term Lender shall be an eligible assignee in accordance with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if not already a Lender, shall otherwise be reasonably acceptable to the Administrative Agent and the U.S. Borrower (such approvals not to be unreasonably withheld or delayed).</w:t>
      </w:r>
    </w:p>
    <w:p>
      <w:pPr>
        <w:spacing w:after="0" w:line="184"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(b)    The Refinancing Term Loan Commitments shall be effected pursuant to one or more Refinancing Facility Agreements executed and delivered by each applicable Borrower, the Administrative Agent and each Refinancing Term Lender providing such Refinancing Term Loan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Refinancing Term Loan Commitments shall become effective unless (i) no Event of Default shall have occurred and be continuing on the date of effectiveness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if the U.S. Borrower shall have made an LCT Election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no Default or Event of Default shall be existing immediately prior to the LCT Test Date and no Specified Event of Default shall exist immediately prior to or after giving effect to such Refinancing Facility Agreement), (ii) on the date of effectiveness thereof, the representations and warranties of each Loan Party set forth in the Loan Documents shall be true and correct in all material respects (or in all respects, if qualified by materiality), in each case on and as of such date (or to the extent that any representation and warranty specifically refers to a given date or period, it shall be true and correct in all material respects (or in all respects, if qualified by materiality) as of such date or for such period), (iii) each applicable Borrower and, if requested by the Administrative Agent, each Loan Party shall have delivered to the Administrative Agent such legal opinions, board resolutions, secretary’s certificates, officer’s certificates, reaffirmation agreements and other documents as shall reasonably be requested by the Administrative Agent in connection with any such transaction and (iv) substantially concurrently with the effectiveness thereof, each applicable Borrower shall obtain Refinancing Term Loans thereunder and shall repay or prepay then-outstanding Term Loans of one or more Classes in an aggregate principal amount equal to the aggregate amount of such Refinancing Term Loan Commitments (less the aggregate amount of accrued and unpaid interest with respect to such outstanding Term Loans and any fees, premium and expenses relating to such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-1191895</wp:posOffset>
            </wp:positionV>
            <wp:extent cx="311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72"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(c)    The Refinancing Facility Agreement shall set forth, with respect to the Refinancing Term Loan Commitments established thereby and the Refinancing Term Loans and other extensions of credit to be made thereunder, to the extent applicable, the following terms thereof:</w:t>
      </w:r>
    </w:p>
    <w:p>
      <w:pPr>
        <w:spacing w:after="0" w:line="174" w:lineRule="exact"/>
        <w:rPr>
          <w:sz w:val="20"/>
          <w:szCs w:val="20"/>
          <w:color w:val="auto"/>
        </w:rPr>
      </w:pPr>
    </w:p>
    <w:p>
      <w:pPr>
        <w:jc w:val="both"/>
        <w:ind w:left="540" w:firstLine="523"/>
        <w:spacing w:after="0" w:line="254" w:lineRule="auto"/>
        <w:rPr>
          <w:sz w:val="20"/>
          <w:szCs w:val="20"/>
          <w:color w:val="auto"/>
        </w:rPr>
      </w:pPr>
      <w:r>
        <w:rPr>
          <w:rFonts w:ascii="Times New Roman" w:cs="Times New Roman" w:eastAsia="Times New Roman" w:hAnsi="Times New Roman"/>
          <w:sz w:val="20"/>
          <w:szCs w:val="20"/>
          <w:color w:val="auto"/>
        </w:rPr>
        <w:t>(i)    the designation of such Refinancing Term Loans as a new “Class” of Loans for all purposes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the consent of the Administrative Agent (such consent not to be unreasonably withheld, conditioned or delayed), any Refinancing Term Loans may be treated as a single “Class” with any then-outstanding Term Loans),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20"/>
          </w:cols>
          <w:pgMar w:left="440" w:top="265" w:right="439" w:bottom="1440" w:gutter="0" w:footer="0" w:header="0"/>
        </w:sectPr>
      </w:pPr>
    </w:p>
    <w:bookmarkStart w:id="106" w:name="page107"/>
    <w:bookmarkEnd w:id="106"/>
    <w:p>
      <w:pPr>
        <w:jc w:val="both"/>
        <w:ind w:left="540" w:firstLine="523"/>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    the stated maturity date applicable to the Refinancing Term Loans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stated maturity date shall not be earlier than the stated Maturity Date applicable to the Class of Term Loans so refinanced and (B) any Refinancing Term Loans shall not have a Weighted Average Life to Maturity shorter than the remaining Weighted Average Life to Maturity of the Class of Term Loans so refinanced,</w:t>
      </w:r>
    </w:p>
    <w:p>
      <w:pPr>
        <w:spacing w:after="0" w:line="180"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 xml:space="preserve">(iii)    subject to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 xml:space="preserve"> above, any amortization schedule applicable thereto and the effect thereon of any prepayment of such Refinancing Term Loans of such Class,</w:t>
      </w:r>
    </w:p>
    <w:p>
      <w:pPr>
        <w:spacing w:after="0" w:line="1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(iv)     the Effective Yield applicable to the Refinancing Term Loans of such Class,</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(v)     the fees applicable to the Refinancing Term Loan Commitments or Refinancing Term Loans of such Class,</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(vi)     the initial Interest Period or Interest Periods applicable to Refinancing Term Loans of such Class,</w:t>
      </w:r>
    </w:p>
    <w:p>
      <w:pPr>
        <w:spacing w:after="0" w:line="216" w:lineRule="exact"/>
        <w:rPr>
          <w:sz w:val="20"/>
          <w:szCs w:val="20"/>
          <w:color w:val="auto"/>
        </w:rPr>
      </w:pPr>
    </w:p>
    <w:p>
      <w:pPr>
        <w:jc w:val="both"/>
        <w:ind w:left="540" w:firstLine="523"/>
        <w:spacing w:after="0" w:line="246" w:lineRule="auto"/>
        <w:rPr>
          <w:sz w:val="20"/>
          <w:szCs w:val="20"/>
          <w:color w:val="auto"/>
        </w:rPr>
      </w:pPr>
      <w:r>
        <w:rPr>
          <w:rFonts w:ascii="Times New Roman" w:cs="Times New Roman" w:eastAsia="Times New Roman" w:hAnsi="Times New Roman"/>
          <w:sz w:val="20"/>
          <w:szCs w:val="20"/>
          <w:color w:val="auto"/>
        </w:rPr>
        <w:t>(vii)    any voluntary or mandatory prepayment requirements applicable to Refinancing Term Loans of such Class (which prepayment requirements, may provide that such Refinancing Term Loans may participate in mandatory prepayments on the same or a lesser basis as the Class of Refinancing Term Loans so refinanced, but otherwise may not provide for prepayment requirements that are more favorable to the Lenders holding such Refinancing Term Loans than to the Lenders holding any other Facility of Term Loans unless agreed by the Required Lenders in respect of such other Class of Term Loans),</w:t>
      </w:r>
    </w:p>
    <w:p>
      <w:pPr>
        <w:spacing w:after="0" w:line="181" w:lineRule="exact"/>
        <w:rPr>
          <w:sz w:val="20"/>
          <w:szCs w:val="20"/>
          <w:color w:val="auto"/>
        </w:rPr>
      </w:pPr>
    </w:p>
    <w:p>
      <w:pPr>
        <w:jc w:val="both"/>
        <w:ind w:left="540" w:right="20" w:firstLine="523"/>
        <w:spacing w:after="0" w:line="256" w:lineRule="auto"/>
        <w:rPr>
          <w:sz w:val="20"/>
          <w:szCs w:val="20"/>
          <w:color w:val="auto"/>
        </w:rPr>
      </w:pPr>
      <w:r>
        <w:rPr>
          <w:rFonts w:ascii="Times New Roman" w:cs="Times New Roman" w:eastAsia="Times New Roman" w:hAnsi="Times New Roman"/>
          <w:sz w:val="20"/>
          <w:szCs w:val="20"/>
          <w:color w:val="auto"/>
        </w:rPr>
        <w:t xml:space="preserve">(viii)    that the Refinancing Term Loans of such Class (A) shall be secured by Liens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securing the Obligations and (B) shall not be (1) guaranteed by any Person which is not a Loan Party or (2) secured by any assets other than the Collateral, and</w:t>
      </w:r>
    </w:p>
    <w:p>
      <w:pPr>
        <w:spacing w:after="0" w:line="173" w:lineRule="exact"/>
        <w:rPr>
          <w:sz w:val="20"/>
          <w:szCs w:val="20"/>
          <w:color w:val="auto"/>
        </w:rPr>
      </w:pPr>
    </w:p>
    <w:p>
      <w:pPr>
        <w:jc w:val="both"/>
        <w:ind w:left="540" w:firstLine="523"/>
        <w:spacing w:after="0" w:line="242" w:lineRule="auto"/>
        <w:rPr>
          <w:sz w:val="20"/>
          <w:szCs w:val="20"/>
          <w:color w:val="auto"/>
        </w:rPr>
      </w:pPr>
      <w:r>
        <w:rPr>
          <w:rFonts w:ascii="Times New Roman" w:cs="Times New Roman" w:eastAsia="Times New Roman" w:hAnsi="Times New Roman"/>
          <w:sz w:val="20"/>
          <w:szCs w:val="20"/>
          <w:color w:val="auto"/>
        </w:rPr>
        <w:t xml:space="preserve">(ix)    except as otherwise permitted herein (including as provided in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above), the other terms and conditions of the Refinancing Term Loans, which other terms and conditions shall not be more favorable to the lenders providing such Indebtedness than those set forth in the Loan Documents are with respect to the existing Lenders in respect of the Indebtedness being refinanced, as determined by the U.S. Borrower in its good faith judgment (other than covenants or other provisions applicable only to periods after the Latest Maturity Date in effect at the time of incurrence of such Refinancing Term Loans or to the extent that such covenants or other provisions are also added for the benefit of the outstanding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new or more restrictive financial covenant shall only be required to be added for the benefit of any outstanding Initial Tranche A Term Loans and any outstanding Incremental Term A Loans); it being understood and agreed that in each such case, no consent of the Administrative Agent and/or any Lender shall be required in connection with adding such covenant, or provision and it may be added by the applicable Borrower or Borrowers and the lenders providing the relevant Refinancing Term Loans, as applicable).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Administrative Agent shall promptly notify each Lender as to the effectiveness of each Refinancing Facility Agreement. Each Refinancing Facility Agreement may, without the consent of any Lender other than the applicable Refinancing Term Lenders,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including any amendments necessary to treat the applicable Refinancing Term Loans as a new “Class” of Loans hereunder.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65" w:right="439" w:bottom="1440" w:gutter="0" w:footer="0" w:header="0"/>
        </w:sectPr>
      </w:pPr>
    </w:p>
    <w:bookmarkStart w:id="107" w:name="page108"/>
    <w:bookmarkEnd w:id="107"/>
    <w:p>
      <w:pPr>
        <w:ind w:left="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2.23     </w:t>
      </w:r>
      <w:r>
        <w:rPr>
          <w:rFonts w:ascii="Times New Roman" w:cs="Times New Roman" w:eastAsia="Times New Roman" w:hAnsi="Times New Roman"/>
          <w:sz w:val="20"/>
          <w:szCs w:val="20"/>
          <w:u w:val="single" w:color="auto"/>
          <w:color w:val="auto"/>
        </w:rPr>
        <w:t>Extension of Term Loans.</w:t>
      </w:r>
    </w:p>
    <w:p>
      <w:pPr>
        <w:spacing w:after="0" w:line="216" w:lineRule="exact"/>
        <w:rPr>
          <w:sz w:val="20"/>
          <w:szCs w:val="20"/>
          <w:color w:val="auto"/>
        </w:rPr>
      </w:pPr>
    </w:p>
    <w:p>
      <w:pPr>
        <w:jc w:val="both"/>
        <w:ind w:left="4" w:firstLine="551"/>
        <w:spacing w:after="0" w:line="253"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Extension of Term Loans</w:t>
      </w:r>
      <w:r>
        <w:rPr>
          <w:rFonts w:ascii="Times New Roman" w:cs="Times New Roman" w:eastAsia="Times New Roman" w:hAnsi="Times New Roman"/>
          <w:sz w:val="19"/>
          <w:szCs w:val="19"/>
          <w:color w:val="auto"/>
        </w:rPr>
        <w:t>. Each applicable Borrower may at any time and from time to time request that all or a portion of the Term Loans of one or more Classes (including any Extended Term Loans) existing at the time of such request (each, an “</w:t>
      </w:r>
      <w:r>
        <w:rPr>
          <w:rFonts w:ascii="Times New Roman" w:cs="Times New Roman" w:eastAsia="Times New Roman" w:hAnsi="Times New Roman"/>
          <w:sz w:val="19"/>
          <w:szCs w:val="19"/>
          <w:u w:val="single" w:color="auto"/>
          <w:color w:val="auto"/>
        </w:rPr>
        <w:t>Existing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Tranche</w:t>
      </w:r>
      <w:r>
        <w:rPr>
          <w:rFonts w:ascii="Times New Roman" w:cs="Times New Roman" w:eastAsia="Times New Roman" w:hAnsi="Times New Roman"/>
          <w:sz w:val="19"/>
          <w:szCs w:val="19"/>
          <w:color w:val="auto"/>
        </w:rPr>
        <w:t>” and the Term Loans of such Class, the “</w:t>
      </w:r>
      <w:r>
        <w:rPr>
          <w:rFonts w:ascii="Times New Roman" w:cs="Times New Roman" w:eastAsia="Times New Roman" w:hAnsi="Times New Roman"/>
          <w:sz w:val="19"/>
          <w:szCs w:val="19"/>
          <w:u w:val="single" w:color="auto"/>
          <w:color w:val="auto"/>
        </w:rPr>
        <w:t>Existing Term Loans</w:t>
      </w:r>
      <w:r>
        <w:rPr>
          <w:rFonts w:ascii="Times New Roman" w:cs="Times New Roman" w:eastAsia="Times New Roman" w:hAnsi="Times New Roman"/>
          <w:sz w:val="19"/>
          <w:szCs w:val="19"/>
          <w:color w:val="auto"/>
        </w:rPr>
        <w:t>”) be converted to extend the scheduled Maturity Date(s) of any payment of principal with respect to all or a portion of any principal amount of any Existing Term Tranche (any such Existing Term Tranche which has been so extended, an “</w:t>
      </w:r>
      <w:r>
        <w:rPr>
          <w:rFonts w:ascii="Times New Roman" w:cs="Times New Roman" w:eastAsia="Times New Roman" w:hAnsi="Times New Roman"/>
          <w:sz w:val="19"/>
          <w:szCs w:val="19"/>
          <w:u w:val="single" w:color="auto"/>
          <w:color w:val="auto"/>
        </w:rPr>
        <w:t>Extended Term Tranche</w:t>
      </w:r>
      <w:r>
        <w:rPr>
          <w:rFonts w:ascii="Times New Roman" w:cs="Times New Roman" w:eastAsia="Times New Roman" w:hAnsi="Times New Roman"/>
          <w:sz w:val="19"/>
          <w:szCs w:val="19"/>
          <w:color w:val="auto"/>
        </w:rPr>
        <w:t>” and the Term Loans of such Extended Term Tranche, the “</w:t>
      </w:r>
      <w:r>
        <w:rPr>
          <w:rFonts w:ascii="Times New Roman" w:cs="Times New Roman" w:eastAsia="Times New Roman" w:hAnsi="Times New Roman"/>
          <w:sz w:val="19"/>
          <w:szCs w:val="19"/>
          <w:u w:val="single" w:color="auto"/>
          <w:color w:val="auto"/>
        </w:rPr>
        <w:t>Extended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In order to establish any Extended Term Loans, the U.S. Borrower shall provide a notice to the Administrative Agent (who shall provide a copy of such notice to each of the Lenders under the applicable Existing Term Tranche) (each, a “</w:t>
      </w:r>
      <w:r>
        <w:rPr>
          <w:rFonts w:ascii="Times New Roman" w:cs="Times New Roman" w:eastAsia="Times New Roman" w:hAnsi="Times New Roman"/>
          <w:sz w:val="19"/>
          <w:szCs w:val="19"/>
          <w:u w:val="single" w:color="auto"/>
          <w:color w:val="auto"/>
        </w:rPr>
        <w:t>Extension Request</w:t>
      </w:r>
      <w:r>
        <w:rPr>
          <w:rFonts w:ascii="Times New Roman" w:cs="Times New Roman" w:eastAsia="Times New Roman" w:hAnsi="Times New Roman"/>
          <w:sz w:val="19"/>
          <w:szCs w:val="19"/>
          <w:color w:val="auto"/>
        </w:rPr>
        <w:t xml:space="preserve">”) setting forth the proposed terms of the Extended Term Loans to be established, which shall (x) be identical as offered to each Lender under such applicable Existing Term Tranche (including as to the proposed interest rates and fees payable) and offered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to each Lender under such Existing Term Tranche and (y) be identical to the Existing Term Loans under the Existing Term Tranche from which such Extended Term Loans are to be amended, except that: (i) all or any of the scheduled amortization payments of principal of the Extended Term Loans may be delayed to later dates than the scheduled amortization payments of principal of the Existing Term Loans of such Existing Term Tranche, to the extent provided in the applicable Extension Amendment; (ii) the Effective Yield (or any component thereof, including the interest rate margin, rate floor, fees, premiums and funding discounts) with respect to the Extended Term Loans may be different than the effective yield for the Term Loans of such Existing Term Tranche, in each case, to the extent provided in the applicable Extension Amendment; and (iii) the Extension Amendment may provide for other covenants or other provisions applicable only to periods after the Latest Maturity Date in effect at the time of the Extension Amendment or to the extent that such covenants or other provisions are also added for the benefit of the outstanding Term Loans; it being understood and agreed that in each such case, no consent of the Administrative Agent and/or any Lender shall be required in connection with adding such covenant, or provision and it may be added by the applicable Borrower or Borrowers and the lenders providing the Extended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 Default shall have occurred and be continuing at the time an Extension Request is delivered to Lenders, (B) in no event shall the final maturity date of any Extended Term Loans of a given Extension Series be earlier than the Maturity Date of the Existing Term Tranche from which such Extended Term Loans are to be extended, (C) the Weighted Average Life To Maturity of any Extended Term Loans of a given Extension Series shall be no shorter (other than by virtue of amortization or prepayment of such Indebtedness prior to the time of incurrence of such Extended Term Loans) than the remaining Weighted Average Life To Maturity of the Existing Term Tranche from which such Extended Term Loans are to be extended, (D) all documentation in respect of such Extension Amendment shall be consistent with the foregoing and</w:t>
      </w:r>
    </w:p>
    <w:p>
      <w:pPr>
        <w:spacing w:after="0" w:line="231" w:lineRule="exact"/>
        <w:rPr>
          <w:sz w:val="20"/>
          <w:szCs w:val="20"/>
          <w:color w:val="auto"/>
        </w:rPr>
      </w:pPr>
    </w:p>
    <w:p>
      <w:pPr>
        <w:jc w:val="both"/>
        <w:ind w:left="4" w:right="20" w:hanging="4"/>
        <w:spacing w:after="0" w:line="242" w:lineRule="auto"/>
        <w:tabs>
          <w:tab w:leader="none" w:pos="31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prepayments of Term Loans shall continue to be made on a ratable basis among all Lenders, based on the relative amounts of their Term Loans (i.e., both extended and non-extended), until the repayment of the non-extended Term Loans on the relevant Maturity Date (unless the applicable Extension Amendment provides for lesser treatment of the Extended Term Loans).</w:t>
      </w:r>
    </w:p>
    <w:p>
      <w:pPr>
        <w:spacing w:after="0" w:line="187"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(b)    Any Extended Term Loans amended pursuant to any Extension Request shall be designated a series (each, a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Series</w:t>
      </w:r>
      <w:r>
        <w:rPr>
          <w:rFonts w:ascii="Times New Roman" w:cs="Times New Roman" w:eastAsia="Times New Roman" w:hAnsi="Times New Roman"/>
          <w:sz w:val="20"/>
          <w:szCs w:val="20"/>
          <w:color w:val="auto"/>
        </w:rPr>
        <w:t xml:space="preserve">”) of Extended Term Loans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Extended Term Loans amended from an Existing Term Tranche may, to the extent provided in the applicable Extension Amendment, be designated as an increase in any previously established Extension Series with respect to such Existing Term Tranche.</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The applicable Borrower or Borrowers shall provide the applicable Extension Request at least five</w:t>
      </w:r>
    </w:p>
    <w:p>
      <w:pPr>
        <w:spacing w:after="0" w:line="22" w:lineRule="exact"/>
        <w:rPr>
          <w:sz w:val="20"/>
          <w:szCs w:val="20"/>
          <w:color w:val="auto"/>
        </w:rPr>
      </w:pPr>
    </w:p>
    <w:p>
      <w:pPr>
        <w:jc w:val="both"/>
        <w:ind w:left="4" w:right="20" w:hanging="4"/>
        <w:spacing w:after="0" w:line="242" w:lineRule="auto"/>
        <w:tabs>
          <w:tab w:leader="none" w:pos="29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(or such shorter period of time as the Administrative Agent may agree in its reasonable discretion) prior to the date on which Lenders under the Existing Term Tranche are requested to respond, and shall agree to such procedures, if any, as may be established by, or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4"/>
          </w:cols>
          <w:pgMar w:left="436" w:top="265" w:right="439" w:bottom="1440" w:gutter="0" w:footer="0" w:header="0"/>
        </w:sectPr>
      </w:pPr>
    </w:p>
    <w:bookmarkStart w:id="108" w:name="page109"/>
    <w:bookmarkEnd w:id="108"/>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acceptable to, the Administrative Agent, in each case acting reasonably to accomplish the purposes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No Lender shall have any obligation to agree to have any of its Existing Term Loans of any Existing Term Tranche amended into Extended Term Loans, pursuant to any Extension Request. Any Lender holding an Existing Term Loan under an Existing Term Tranche (each, an “</w:t>
      </w:r>
      <w:r>
        <w:rPr>
          <w:rFonts w:ascii="Times New Roman" w:cs="Times New Roman" w:eastAsia="Times New Roman" w:hAnsi="Times New Roman"/>
          <w:sz w:val="20"/>
          <w:szCs w:val="20"/>
          <w:u w:val="single" w:color="auto"/>
          <w:color w:val="auto"/>
        </w:rPr>
        <w:t>Extending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wishing to have all or a portion of its Existing Term Loans under the Existing Term Tranche subject to such Extension Request amended into Extended Term Loans shall notify the Administrative Agent (each, an “</w:t>
      </w:r>
      <w:r>
        <w:rPr>
          <w:rFonts w:ascii="Times New Roman" w:cs="Times New Roman" w:eastAsia="Times New Roman" w:hAnsi="Times New Roman"/>
          <w:sz w:val="20"/>
          <w:szCs w:val="20"/>
          <w:u w:val="single" w:color="auto"/>
          <w:color w:val="auto"/>
        </w:rPr>
        <w:t>Extension Election</w:t>
      </w:r>
      <w:r>
        <w:rPr>
          <w:rFonts w:ascii="Times New Roman" w:cs="Times New Roman" w:eastAsia="Times New Roman" w:hAnsi="Times New Roman"/>
          <w:sz w:val="20"/>
          <w:szCs w:val="20"/>
          <w:color w:val="auto"/>
        </w:rPr>
        <w:t xml:space="preserve">”) on or prior to the date specified in such Extension Request of the amount of its Existing Term Loans under the Existing Term Tranche which it has elected to request be amended into Extended Term Loans (subject to any minimum denomination requirements imposed by the Administrative Agent). In the event that the aggregate principal amount of Existing Term Loans under the Existing Term Tranche in respect of which applicable Extending Lenders shall have accepted the relevant Extension Request exceeds the amount of Extended Term Loans requested to be extended pursuant to the Extension Request, Existing Term Loans subject to Extension Elections shall be amended to Extended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(subject to rounding by the Administrative Agent, which shall be conclusive) based on the aggregate principal amount of Existing Term Loans included in each such Extension Election.</w:t>
      </w:r>
    </w:p>
    <w:p>
      <w:pPr>
        <w:spacing w:after="0" w:line="187"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19"/>
          <w:szCs w:val="19"/>
          <w:color w:val="auto"/>
        </w:rPr>
        <w:t xml:space="preserve">(d)    </w:t>
      </w:r>
      <w:r>
        <w:rPr>
          <w:rFonts w:ascii="Times New Roman" w:cs="Times New Roman" w:eastAsia="Times New Roman" w:hAnsi="Times New Roman"/>
          <w:sz w:val="19"/>
          <w:szCs w:val="19"/>
          <w:u w:val="single" w:color="auto"/>
          <w:color w:val="auto"/>
        </w:rPr>
        <w:t>Extension Amendment</w:t>
      </w:r>
      <w:r>
        <w:rPr>
          <w:rFonts w:ascii="Times New Roman" w:cs="Times New Roman" w:eastAsia="Times New Roman" w:hAnsi="Times New Roman"/>
          <w:sz w:val="19"/>
          <w:szCs w:val="19"/>
          <w:color w:val="auto"/>
        </w:rPr>
        <w:t>. Extended Term Loans shall be established pursuant to an amendment (each, a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xml:space="preserve">”) to this Agreement among the applicable Borrower or Borrowers, the Administrative Agent and each Extending Lender, providing an Extended Term Loan thereunder, which shall be consistent with the provisions set forth in </w:t>
      </w:r>
      <w:r>
        <w:rPr>
          <w:rFonts w:ascii="Times New Roman" w:cs="Times New Roman" w:eastAsia="Times New Roman" w:hAnsi="Times New Roman"/>
          <w:sz w:val="19"/>
          <w:szCs w:val="19"/>
          <w:u w:val="single" w:color="auto"/>
          <w:color w:val="auto"/>
        </w:rPr>
        <w:t>Section 2.23(a)</w:t>
      </w:r>
      <w:r>
        <w:rPr>
          <w:rFonts w:ascii="Times New Roman" w:cs="Times New Roman" w:eastAsia="Times New Roman" w:hAnsi="Times New Roman"/>
          <w:sz w:val="19"/>
          <w:szCs w:val="19"/>
          <w:color w:val="auto"/>
        </w:rPr>
        <w:t xml:space="preserve"> above, (but which shall not require the consent of any other Lender). The effectiveness of any Extension Amendment shall be subject to the satisfaction on the date thereof of each of the conditions set forth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and, to the extent reasonably requested by the Administrative Agent, receipt by the Administrative Agent of (i)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are provided with the benefit of the applicable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reaffirmations and/or amendments may be provided within a time period after such effectiveness if agreed by the Administrative Agent in its reasonable discretion).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incurred pursuant thereto, (ii) modify the scheduled repayments set forth in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with respect to any Existing Term Tranche subject to an Extension Election to reflect a reduction in the principal amount of the Existing Term Loans thereunder in an amount equal to the aggregate principal amount of the Extended Term Loans amended pursuant to the applicable extension (with such amount to be applied ratably to reduce scheduled repayments of such Existing Term Loans required pursuant to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(iii) modify the prepayments set forth in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to reflect the existence of the Extended Term Loans and the application of prepayments (including prepayments occurring prior to the effective date of any Extension Amendment) with respect thereto, and (iv) effect such other amendments to this Agreement and the other Loan Documents as may be necessary or appropriate, in the reasonable opinion of the Administrative Agent and the applicable Borrower or Borrowers, to effect the provisions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and the Lenders hereby expressly authorize the Administrative Agent to enter into any such Extension Amendment.</w:t>
      </w:r>
    </w:p>
    <w:p>
      <w:pPr>
        <w:spacing w:after="0" w:line="200" w:lineRule="exact"/>
        <w:rPr>
          <w:sz w:val="20"/>
          <w:szCs w:val="20"/>
          <w:color w:val="auto"/>
        </w:rPr>
      </w:pPr>
    </w:p>
    <w:p>
      <w:pPr>
        <w:spacing w:after="0" w:line="208"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(e)    No conversion of Term Loans pursuant to any extension in accordance with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constitute a voluntary or mandatory payment or prepayment for purposes of this Agreement. The Administrative Agent and the Lenders hereby acknowledge that in respect of payments on non-extended Term Loans on the scheduled Maturity Date in respect thereof, the pro rata payment requirements contained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5" w:right="43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elsewhere in this Agreement are not intended to apply to the transactions effected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55" w:lineRule="auto"/>
        <w:rPr>
          <w:sz w:val="20"/>
          <w:szCs w:val="20"/>
          <w:color w:val="auto"/>
        </w:rPr>
      </w:pPr>
      <w:r>
        <w:rPr>
          <w:rFonts w:ascii="Times New Roman" w:cs="Times New Roman" w:eastAsia="Times New Roman" w:hAnsi="Times New Roman"/>
          <w:sz w:val="19"/>
          <w:szCs w:val="19"/>
          <w:color w:val="auto"/>
        </w:rPr>
        <w:t xml:space="preserve">Section 2.24    </w:t>
      </w:r>
      <w:r>
        <w:rPr>
          <w:rFonts w:ascii="Times New Roman" w:cs="Times New Roman" w:eastAsia="Times New Roman" w:hAnsi="Times New Roman"/>
          <w:sz w:val="19"/>
          <w:szCs w:val="19"/>
          <w:u w:val="single" w:color="auto"/>
          <w:color w:val="auto"/>
        </w:rPr>
        <w:t>Borrower Appointment</w:t>
      </w:r>
      <w:r>
        <w:rPr>
          <w:rFonts w:ascii="Times New Roman" w:cs="Times New Roman" w:eastAsia="Times New Roman" w:hAnsi="Times New Roman"/>
          <w:sz w:val="19"/>
          <w:szCs w:val="19"/>
          <w:color w:val="auto"/>
        </w:rPr>
        <w:t>. Each of the TopCo Borrower and the U.S. Co-Borrower hereby irrevocably appoints the U.S. Borrower to act as its agent for all purposes of this Agreement and the other Loan Documents and agrees that (i) the U.S. Borrower may execute such documents on its behalf as the U.S. Borrower deems appropriate in its sole discretion and each of the TopCo Borrower and the U.S. Co-Borrower shall be obligated by all of the terms of any such document executed on its behalf, (ii) any notice or communication delivered by the Administrative Agent or the Lenders to the U.S. Borrower shall be deemed delivered to the TopCo Borrower and the U.S. Co-Borrower and (iii) the Administrative Agent or the Lenders may accept, and be permitted to rely on, any document, instrument or agreement executed by (x) the U.S. Borrower on behalf of each of the Loan Parties, (y) the TopCo Borrower and</w:t>
      </w:r>
    </w:p>
    <w:p>
      <w:pPr>
        <w:spacing w:after="0" w:line="4" w:lineRule="exact"/>
        <w:rPr>
          <w:sz w:val="20"/>
          <w:szCs w:val="20"/>
          <w:color w:val="auto"/>
        </w:rPr>
      </w:pPr>
    </w:p>
    <w:p>
      <w:pPr>
        <w:jc w:val="both"/>
        <w:ind w:left="4" w:hanging="4"/>
        <w:spacing w:after="0" w:line="242" w:lineRule="auto"/>
        <w:tabs>
          <w:tab w:leader="none" w:pos="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Co-Borrower. Notwithstanding anything herein to the contrary, a Responsible Officer of the U.S. Borrower, acting for the purposes of giving and receiving notices and consenting to amendments and waivers under the Loan Documents, shall be a Responsible Officer of the TopCo Borrower and the U.S. Co-Borrower for such purposes.</w:t>
      </w:r>
    </w:p>
    <w:p>
      <w:pPr>
        <w:spacing w:after="0" w:line="18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2.25     </w:t>
      </w:r>
      <w:r>
        <w:rPr>
          <w:rFonts w:ascii="Times New Roman" w:cs="Times New Roman" w:eastAsia="Times New Roman" w:hAnsi="Times New Roman"/>
          <w:sz w:val="20"/>
          <w:szCs w:val="20"/>
          <w:u w:val="single" w:color="auto"/>
          <w:color w:val="auto"/>
        </w:rPr>
        <w:t>Loan Repurchases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6" w:lineRule="auto"/>
        <w:rPr>
          <w:sz w:val="20"/>
          <w:szCs w:val="20"/>
          <w:color w:val="auto"/>
        </w:rPr>
      </w:pPr>
      <w:r>
        <w:rPr>
          <w:rFonts w:ascii="Times New Roman" w:cs="Times New Roman" w:eastAsia="Times New Roman" w:hAnsi="Times New Roman"/>
          <w:sz w:val="20"/>
          <w:szCs w:val="20"/>
          <w:color w:val="auto"/>
        </w:rPr>
        <w:t>(a)    Subject to the terms and conditions set forth or referred to below, a Purchasing Borrower Party may from time to time, in its discretion, conduct modified Dutch auctions to make Auction Purchase Offers, each such Auction Purchase Offer to be managed by an investment bank of recognized standing selected by the U.S. Borrower following consultation with the Administrative Agent (in such capacity, the “</w:t>
      </w:r>
      <w:r>
        <w:rPr>
          <w:rFonts w:ascii="Times New Roman" w:cs="Times New Roman" w:eastAsia="Times New Roman" w:hAnsi="Times New Roman"/>
          <w:sz w:val="20"/>
          <w:szCs w:val="20"/>
          <w:u w:val="single" w:color="auto"/>
          <w:color w:val="auto"/>
        </w:rPr>
        <w:t>Auction Manager</w:t>
      </w:r>
      <w:r>
        <w:rPr>
          <w:rFonts w:ascii="Times New Roman" w:cs="Times New Roman" w:eastAsia="Times New Roman" w:hAnsi="Times New Roman"/>
          <w:sz w:val="20"/>
          <w:szCs w:val="20"/>
          <w:color w:val="auto"/>
        </w:rPr>
        <w:t xml:space="preserve">”) and to be conducted in accordance with the procedures, terms and conditions set forth in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and the Auction Procedures, in each case, so long as the following conditions are satisfied:</w:t>
      </w:r>
    </w:p>
    <w:p>
      <w:pPr>
        <w:spacing w:after="0" w:line="185" w:lineRule="exact"/>
        <w:rPr>
          <w:sz w:val="20"/>
          <w:szCs w:val="20"/>
          <w:color w:val="auto"/>
        </w:rPr>
      </w:pPr>
    </w:p>
    <w:p>
      <w:pPr>
        <w:jc w:val="both"/>
        <w:ind w:left="544" w:right="20" w:firstLine="523"/>
        <w:spacing w:after="0" w:line="269" w:lineRule="auto"/>
        <w:rPr>
          <w:sz w:val="20"/>
          <w:szCs w:val="20"/>
          <w:color w:val="auto"/>
        </w:rPr>
      </w:pPr>
      <w:r>
        <w:rPr>
          <w:rFonts w:ascii="Times New Roman" w:cs="Times New Roman" w:eastAsia="Times New Roman" w:hAnsi="Times New Roman"/>
          <w:sz w:val="20"/>
          <w:szCs w:val="20"/>
          <w:color w:val="auto"/>
        </w:rPr>
        <w:t>(i)    no Default or Event of Default shall have occurred and be continuing at the time of purchase of any Term Loans or on the date of the delivery of each Auction Notice;</w:t>
      </w:r>
    </w:p>
    <w:p>
      <w:pPr>
        <w:spacing w:after="0" w:line="159" w:lineRule="exact"/>
        <w:rPr>
          <w:sz w:val="20"/>
          <w:szCs w:val="20"/>
          <w:color w:val="auto"/>
        </w:rPr>
      </w:pPr>
    </w:p>
    <w:p>
      <w:pPr>
        <w:jc w:val="both"/>
        <w:ind w:left="544" w:firstLine="523"/>
        <w:spacing w:after="0" w:line="269" w:lineRule="auto"/>
        <w:rPr>
          <w:sz w:val="20"/>
          <w:szCs w:val="20"/>
          <w:color w:val="auto"/>
        </w:rPr>
      </w:pPr>
      <w:r>
        <w:rPr>
          <w:rFonts w:ascii="Times New Roman" w:cs="Times New Roman" w:eastAsia="Times New Roman" w:hAnsi="Times New Roman"/>
          <w:sz w:val="20"/>
          <w:szCs w:val="20"/>
          <w:color w:val="auto"/>
        </w:rPr>
        <w:t>(ii)    the assigning Lender and the Purchasing Borrower Party shall execute and deliver to Administrative Agent an Assignment and Assumption;</w:t>
      </w:r>
    </w:p>
    <w:p>
      <w:pPr>
        <w:spacing w:after="0" w:line="159" w:lineRule="exact"/>
        <w:rPr>
          <w:sz w:val="20"/>
          <w:szCs w:val="20"/>
          <w:color w:val="auto"/>
        </w:rPr>
      </w:pPr>
    </w:p>
    <w:p>
      <w:pPr>
        <w:jc w:val="both"/>
        <w:ind w:left="544" w:right="20" w:firstLine="523"/>
        <w:spacing w:after="0" w:line="254" w:lineRule="auto"/>
        <w:rPr>
          <w:sz w:val="20"/>
          <w:szCs w:val="20"/>
          <w:color w:val="auto"/>
        </w:rPr>
      </w:pPr>
      <w:r>
        <w:rPr>
          <w:rFonts w:ascii="Times New Roman" w:cs="Times New Roman" w:eastAsia="Times New Roman" w:hAnsi="Times New Roman"/>
          <w:sz w:val="20"/>
          <w:szCs w:val="20"/>
          <w:color w:val="auto"/>
        </w:rPr>
        <w:t>(iii)    the maximum principal amount (calculated on the face amount thereof) of Term Loans that the Purchasing Borrower Party offers to purchase in any Auction Purchase Offer shall be no less than $10,000,000 (unless another amount is agreed to by Administrative Agent in its reasonable discretion);</w:t>
      </w:r>
    </w:p>
    <w:p>
      <w:pPr>
        <w:spacing w:after="0" w:line="174" w:lineRule="exact"/>
        <w:rPr>
          <w:sz w:val="20"/>
          <w:szCs w:val="20"/>
          <w:color w:val="auto"/>
        </w:rPr>
      </w:pPr>
    </w:p>
    <w:p>
      <w:pPr>
        <w:jc w:val="both"/>
        <w:ind w:left="544" w:firstLine="523"/>
        <w:spacing w:after="0" w:line="246" w:lineRule="auto"/>
        <w:rPr>
          <w:sz w:val="20"/>
          <w:szCs w:val="20"/>
          <w:color w:val="auto"/>
        </w:rPr>
      </w:pPr>
      <w:r>
        <w:rPr>
          <w:rFonts w:ascii="Times New Roman" w:cs="Times New Roman" w:eastAsia="Times New Roman" w:hAnsi="Times New Roman"/>
          <w:sz w:val="20"/>
          <w:szCs w:val="20"/>
          <w:color w:val="auto"/>
        </w:rPr>
        <w:t>(iv)    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w:t>
      </w:r>
    </w:p>
    <w:p>
      <w:pPr>
        <w:spacing w:after="0" w:line="185" w:lineRule="exact"/>
        <w:rPr>
          <w:sz w:val="20"/>
          <w:szCs w:val="20"/>
          <w:color w:val="auto"/>
        </w:rPr>
      </w:pPr>
    </w:p>
    <w:p>
      <w:pPr>
        <w:ind w:left="1064"/>
        <w:spacing w:after="0"/>
        <w:rPr>
          <w:sz w:val="20"/>
          <w:szCs w:val="20"/>
          <w:color w:val="auto"/>
        </w:rPr>
      </w:pPr>
      <w:r>
        <w:rPr>
          <w:rFonts w:ascii="Times New Roman" w:cs="Times New Roman" w:eastAsia="Times New Roman" w:hAnsi="Times New Roman"/>
          <w:sz w:val="20"/>
          <w:szCs w:val="20"/>
          <w:color w:val="auto"/>
        </w:rPr>
        <w:t>(v)     no more than one Auction Purchase Offer with respect to any Facility may be ongoing at any one time; and</w:t>
      </w:r>
    </w:p>
    <w:p>
      <w:pPr>
        <w:spacing w:after="0" w:line="216" w:lineRule="exact"/>
        <w:rPr>
          <w:sz w:val="20"/>
          <w:szCs w:val="20"/>
          <w:color w:val="auto"/>
        </w:rPr>
      </w:pPr>
    </w:p>
    <w:p>
      <w:pPr>
        <w:jc w:val="both"/>
        <w:ind w:left="544" w:right="20" w:firstLine="523"/>
        <w:spacing w:after="0" w:line="269" w:lineRule="auto"/>
        <w:rPr>
          <w:sz w:val="20"/>
          <w:szCs w:val="20"/>
          <w:color w:val="auto"/>
        </w:rPr>
      </w:pPr>
      <w:r>
        <w:rPr>
          <w:rFonts w:ascii="Times New Roman" w:cs="Times New Roman" w:eastAsia="Times New Roman" w:hAnsi="Times New Roman"/>
          <w:sz w:val="20"/>
          <w:szCs w:val="20"/>
          <w:color w:val="auto"/>
        </w:rPr>
        <w:t>(vi)    each Auction Purchase Offer shall be made to all Lenders of the applicable Facility subject to such Auction Purchase Offer on a pro rata basis.</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4"/>
          </w:cols>
          <w:pgMar w:left="436" w:top="265" w:right="439" w:bottom="1440" w:gutter="0" w:footer="0" w:header="0"/>
        </w:sectPr>
      </w:pPr>
    </w:p>
    <w:bookmarkStart w:id="110" w:name="page111"/>
    <w:bookmarkEnd w:id="110"/>
    <w:p>
      <w:pPr>
        <w:jc w:val="both"/>
        <w:ind w:right="20" w:firstLine="55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Each Purchasing Borrower Party shall have the right, by written notice to the Auction Manager, to revoke in full (but not in part) its Auction Purchase Offer at its discretion at any time on or prior to the Auction Purchase Response Date and if such Auction Purchase Offer is revoked, then any such failure by such Purchasing Borrower Party to make any prepayment to a Lender pursuant to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shall not result in any Default or Event of Default hereunder. With respect to all purchases of Term Loans of any Facility made by a Purchasing Borrower Party pursuant to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the Purchasing Borrower Party shall pay on the settlement date of each such purchase all unpaid interest (except to the extent otherwise set forth in the relevant offering documents), if any, on the purchased Term Loans of the applicable Facility accrued from the incurrence of such purchased Term Loan up to the settlement date of such purchase.</w:t>
      </w:r>
    </w:p>
    <w:p>
      <w:pPr>
        <w:spacing w:after="0" w:line="189"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(c)    A Purchasing Borrower Party may from time to time, in its discretion, conduct open market purchases on a non-pro rata basis (including, without limitation, privately negotiated purchases) at any price agreed among the parties thereto for cash and other consideration and regardless of whether made available for participation to all Lenders or all Lenders of a particular Class so long as the following conditions are satisfied:</w:t>
      </w:r>
    </w:p>
    <w:p>
      <w:pPr>
        <w:spacing w:after="0" w:line="18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no Default or Event of Default shall have occurred and be continuing at the time of purchase of any Term Loans;</w:t>
      </w:r>
    </w:p>
    <w:p>
      <w:pPr>
        <w:spacing w:after="0" w:line="216"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(ii)    the assigning Lender and the Purchasing Borrower Party shall execute and deliver to Administrative Agent an Assignment and Assumption; and</w:t>
      </w:r>
    </w:p>
    <w:p>
      <w:pPr>
        <w:spacing w:after="0" w:line="159" w:lineRule="exact"/>
        <w:rPr>
          <w:sz w:val="20"/>
          <w:szCs w:val="20"/>
          <w:color w:val="auto"/>
        </w:rPr>
      </w:pPr>
    </w:p>
    <w:p>
      <w:pPr>
        <w:jc w:val="both"/>
        <w:ind w:left="540" w:firstLine="523"/>
        <w:spacing w:after="0" w:line="246" w:lineRule="auto"/>
        <w:rPr>
          <w:sz w:val="20"/>
          <w:szCs w:val="20"/>
          <w:color w:val="auto"/>
        </w:rPr>
      </w:pPr>
      <w:r>
        <w:rPr>
          <w:rFonts w:ascii="Times New Roman" w:cs="Times New Roman" w:eastAsia="Times New Roman" w:hAnsi="Times New Roman"/>
          <w:sz w:val="20"/>
          <w:szCs w:val="20"/>
          <w:color w:val="auto"/>
        </w:rPr>
        <w:t>(iii)    any Term Loans assigned to any Purchasing Borrower Party shall be automatically and permanently cancelled upon the effectiveness of such assignment and will thereafter no longer be outstanding for any purpose hereunder, and such Term Loans may not be resold (it being understood and agreed that any gains or losses by any Purchasing Borrower Party upon purchase or acquisition and cancellation of such Term Loans shall not be taken into account in the calculation of Excess Cash Flow, Consolidated Net Income or Consolidated EBITDA).</w:t>
      </w:r>
    </w:p>
    <w:p>
      <w:pPr>
        <w:spacing w:after="0" w:line="185"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(d)    The Administrative Agent and the Lenders hereby consent to the Auction Purchase Offers and open market purchases and the other transactions effected pursuant to and in accordance with the terms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 obligation to participate in any such Auction Purchase Offer or open market repurchase). For the avoidance of doubt, it is understood and agreed that the provisions of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will not apply to the purchases of Term Loans pursuant to and in accordance with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The Auction Manager acting in its capacity as such hereunder shall be entitled to the benefits of the provisions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same extent as if each reference therein to the “Administrative Agent” were a reference to the Auction Manager, and the Administrative Agent shall cooperate with the Auction Manager as reasonably requested by the Auction Manager in order to enable it to perform its responsibilities and duties in connection with each Auction Purchase Offer.</w:t>
      </w:r>
    </w:p>
    <w:p>
      <w:pPr>
        <w:spacing w:after="0" w:line="189"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2.26 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Notwithstanding any other provision herein, if any Change in Law or in the interpretation or application thereof shall make it unlawful for any Lender to (i) make or maintain Loans as contemplated by this Agreement to any Loan Party who is organized under the laws of a jurisdiction other than the United States, a State thereof or the District of Columbia (including, as a result of any illegality due to any change in Sanctions), and to the extent required by applicable Law (a) the commitment of such Lender hereunder to make or maintain Loans to such Loan Party shall be suspended or cancelled and (b) such Lender’s Loans to such Loan Party then outstanding shall be repaid on the last day of the Interest Period for each such Loan occurring after the Administrative Agent has notified the U.S. Borrower of such illegality or, if earlier, the date specified by such Lender in the notice delivered to the Administrative Agent (being no earlier than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65" w:right="439" w:bottom="1440" w:gutter="0" w:footer="0" w:header="0"/>
        </w:sectPr>
      </w:pPr>
    </w:p>
    <w:bookmarkStart w:id="111" w:name="page112"/>
    <w:bookmarkEnd w:id="111"/>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last day of any applicable grace period permitted by applicable Law) or (ii) make or maintain Term Benchmark Loans as contemplated by this Agreement, (a) the commitment of such Lender hereunder to make or continue Term Benchmark Loans as such and convert or refinance ABR Loans to Term Benchmark Loans shall forthwith be cancelled and (b) such Lender’s Loans then outstanding as Term Benchmark Loans shall be converted automatically to ABR Loans on the respective last days of the then-current Interest Periods with respect to such Loans or within such earlier period as required by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may prepay such Lender’s Loans in lieu of any such conversion. If any such prepayment or conversion of a Term Benchmark Loan occurs on a day which is not the last day of the then current Interest Period with respect thereto, the Borrowers shall pay to such Lender such amounts, if any, as may be required pursuant to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 xml:space="preserve">. Each Lender agrees to designate a different lending office for funding or booking its Loans hereunder if such designation will avoid the operation of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and will not, in the good faith judgment of such Lender, otherwise be materially disadvantageous to such Lender.</w:t>
      </w:r>
    </w:p>
    <w:p>
      <w:pPr>
        <w:spacing w:after="0" w:line="192"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Section 2.27    </w:t>
      </w:r>
      <w:r>
        <w:rPr>
          <w:rFonts w:ascii="Times New Roman" w:cs="Times New Roman" w:eastAsia="Times New Roman" w:hAnsi="Times New Roman"/>
          <w:sz w:val="20"/>
          <w:szCs w:val="20"/>
          <w:u w:val="single" w:color="auto"/>
          <w:color w:val="auto"/>
        </w:rPr>
        <w:t>MIRE Event</w:t>
      </w:r>
      <w:r>
        <w:rPr>
          <w:rFonts w:ascii="Times New Roman" w:cs="Times New Roman" w:eastAsia="Times New Roman" w:hAnsi="Times New Roman"/>
          <w:sz w:val="20"/>
          <w:szCs w:val="20"/>
          <w:color w:val="auto"/>
        </w:rPr>
        <w:t xml:space="preserve">. Notwithstanding anything to the contrary herein, the making, increasing, extension or renewal of any Loans pursuant to this Agreement shall be subject to flood insurance due diligence and flood insurance compliance in accordance with </w:t>
      </w:r>
      <w:r>
        <w:rPr>
          <w:rFonts w:ascii="Times New Roman" w:cs="Times New Roman" w:eastAsia="Times New Roman" w:hAnsi="Times New Roman"/>
          <w:sz w:val="20"/>
          <w:szCs w:val="20"/>
          <w:u w:val="single" w:color="auto"/>
          <w:color w:val="auto"/>
        </w:rPr>
        <w:t>Section 5.09(e)</w:t>
      </w:r>
      <w:r>
        <w:rPr>
          <w:rFonts w:ascii="Times New Roman" w:cs="Times New Roman" w:eastAsia="Times New Roman" w:hAnsi="Times New Roman"/>
          <w:sz w:val="20"/>
          <w:szCs w:val="20"/>
          <w:color w:val="auto"/>
        </w:rPr>
        <w:t xml:space="preserve"> hereto and shall otherwise be reasonably satisfactory to the Administrative Agent and the Lenders.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Each Borrower represents and warrants to the Lenders that on the Closing Date (it being understood that the conditions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Closing Date are solely those set out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 Subsidiaries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(a)    Each Borrower and its Material Subsidiaries (i) is duly organized, validly existing and in good standing (to the extent the concept is applicable in such jurisdiction) under the laws of the jurisdiction of its organization, has all requisite organizational power and authority to carry on its business as now conducted and execute, deliver and perform its obligations under the Loan Documents to which it is a party and (ii) except where the failure to do so, individually or in the aggregate, could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w:t>
      </w:r>
    </w:p>
    <w:p>
      <w:pPr>
        <w:spacing w:after="0" w:line="184" w:lineRule="exact"/>
        <w:rPr>
          <w:sz w:val="20"/>
          <w:szCs w:val="20"/>
          <w:color w:val="auto"/>
        </w:rPr>
      </w:pPr>
    </w:p>
    <w:p>
      <w:pPr>
        <w:jc w:val="both"/>
        <w:ind w:right="20" w:firstLine="551"/>
        <w:spacing w:after="0" w:line="263"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Schedule 3.01</w:t>
      </w:r>
      <w:r>
        <w:rPr>
          <w:rFonts w:ascii="Times New Roman" w:cs="Times New Roman" w:eastAsia="Times New Roman" w:hAnsi="Times New Roman"/>
          <w:sz w:val="19"/>
          <w:szCs w:val="19"/>
          <w:color w:val="auto"/>
        </w:rPr>
        <w:t xml:space="preserve"> hereto identifies each Subsidiary as of the Closing Date, noting whether any such Subsidiary is a Material Domestic Subsidiary, Material Foreign Subsidiary, Restricted Subsidiary or Unrestricted Subsidiary, the jurisdiction of its incorporation or organization, as the case may be, the percentage of issued and outstanding shares of each class of its capital stock or other equity interests owned by the Borrowers and their respective Subsidiaries and, if such percentage is not 100% (excluding (i) directors’ qualifying shares and (ii) shares issued to foreign nationals to the extent required by applicable law), a description of each class issued and outstanding.</w:t>
      </w:r>
    </w:p>
    <w:p>
      <w:pPr>
        <w:spacing w:after="0" w:line="16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(c)    All of the outstanding shares of capital stock and other equity interests of the U.S. Borrower, the U.S. Co-Borrower, each Subsidiary Guarantor and each other Restricted Subsidiary pledged to the Administrative Agent are validly issued and outstanding and, to the extent applicable, fully paid and, if applicable, nonassessable and, as of the Closing Date, all such shares and other equity interests indicated on </w:t>
      </w:r>
      <w:r>
        <w:rPr>
          <w:rFonts w:ascii="Times New Roman" w:cs="Times New Roman" w:eastAsia="Times New Roman" w:hAnsi="Times New Roman"/>
          <w:sz w:val="20"/>
          <w:szCs w:val="20"/>
          <w:u w:val="single" w:color="auto"/>
          <w:color w:val="auto"/>
        </w:rPr>
        <w:t>Schedule 3.01</w:t>
      </w:r>
      <w:r>
        <w:rPr>
          <w:rFonts w:ascii="Times New Roman" w:cs="Times New Roman" w:eastAsia="Times New Roman" w:hAnsi="Times New Roman"/>
          <w:sz w:val="20"/>
          <w:szCs w:val="20"/>
          <w:color w:val="auto"/>
        </w:rPr>
        <w:t xml:space="preserve"> as owned by the TopCo Borrower or any Restricted Subsidiary are owned, beneficially and of record, by the TopCo Borrower or any Restricted Subsidiary free and clear of all Liens, other than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0"/>
          </w:cols>
          <w:pgMar w:left="440" w:top="265" w:right="439" w:bottom="1440" w:gutter="0" w:footer="0" w:header="0"/>
        </w:sectPr>
      </w:pPr>
    </w:p>
    <w:bookmarkStart w:id="112" w:name="page113"/>
    <w:bookmarkEnd w:id="112"/>
    <w:p>
      <w:pPr>
        <w:jc w:val="both"/>
        <w:ind w:left="4" w:firstLine="55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and Loan Documents to be entered into by each Loan Party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w:t>
      </w:r>
    </w:p>
    <w:p>
      <w:pPr>
        <w:spacing w:after="0" w:line="1" w:lineRule="exact"/>
        <w:rPr>
          <w:sz w:val="20"/>
          <w:szCs w:val="20"/>
          <w:color w:val="auto"/>
        </w:rPr>
      </w:pPr>
    </w:p>
    <w:p>
      <w:pPr>
        <w:jc w:val="both"/>
        <w:ind w:left="4" w:right="20" w:hanging="4"/>
        <w:spacing w:after="0" w:line="242" w:lineRule="auto"/>
        <w:tabs>
          <w:tab w:leader="none" w:pos="24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bankruptcy, insolvency, reorganization, moratorium or other laws affecting creditors’ rights generally, (ii) general principles of equity, regardless of whether considered in a proceeding in equity or at law and (iii) requirements of reasonableness, good faith and fair dealing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4" w:right="20" w:firstLine="551"/>
        <w:spacing w:after="0" w:line="241"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xml:space="preserve">. (a) The Transactions do not require any consent or approval of, registration or filing with, or any other action by, any Governmental Authority, except (i) the requirement to file the Court Order with the Registrar of Companies, which shall be done within ten Business Days of its issuance, and (ii) such as have been, or will be by the time required, obtained or made and are, or will be by the time required, in full force and effect and except for any filings, registrations, endorsements, notarizations, stampings and/or notifications necessary to perfect Liens created pursuant to the Loan Documents, (b) the Transactions will not violate in any material respect (i) the charter, by-laws, articles of association or other organizational documents of the TopCo Borrower or any of its Restricted Subsidiaries or (ii) any applicable material law or regulation or any material order of any Governmental Authority binding upon the TopCo Borrower or any of its Restricted Subsidiaries or its assets, (c) the Transactions will not violate or result in a default under any indenture, material agreement or other material instrument binding upon the TopCo Borrower or any of its Restricted Subsidiaries or its assets, or give rise to a right thereunder to require any payment to be made by the TopCo Borrower or any Restricted Subsidiary, except, in the case of </w:t>
      </w:r>
      <w:r>
        <w:rPr>
          <w:rFonts w:ascii="Times New Roman" w:cs="Times New Roman" w:eastAsia="Times New Roman" w:hAnsi="Times New Roman"/>
          <w:sz w:val="20"/>
          <w:szCs w:val="20"/>
          <w:u w:val="single" w:color="auto"/>
          <w:color w:val="auto"/>
        </w:rPr>
        <w:t>clauses (b)(ii)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for any such violations, defaults or rights that could not reasonably be expected to result in a Material Adverse Effect, and (d) the Transactions will not result in the creation or imposition of any Lien on any asset of the TopCo Borrower or any of its Restricted Subsidiaries, other than Liens created under the Loan Documents.</w:t>
      </w:r>
    </w:p>
    <w:p>
      <w:pPr>
        <w:spacing w:after="0" w:line="19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0"/>
          <w:szCs w:val="20"/>
          <w:color w:val="auto"/>
        </w:rPr>
        <w:t xml:space="preserve">(a)    The TopCo Borrower has heretofore furnished to the Lenders its consolidated balance sheets and related consolidated statements of operations and comprehensive income (loss), of shareholders’ equity and of cash flows, (i) as of and for the fiscal year ended December 31, 2024 reported on by PricewaterhouseCoopers LLP, independent public accountants and (ii) as of and for the fiscal quarters and the portion of the fiscal year ended March 31, 2025, June 30, 2025 and September 30, 2025. Such financial statements present fairly, in all material respects, the financial position and results of operations and cash flows of the TopCo Borrower its consolidated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w:t>
      </w:r>
    </w:p>
    <w:p>
      <w:pPr>
        <w:spacing w:after="0" w:line="18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(b)    With respect to the TopCo Borrower and its Restricted Subsidiaries, since December 31, 2024, there has been no material adverse change in the business, assets, operations or financial condition of the TopCo Borrower and such Restricted Subsidiaries, taken as a whole.</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 xml:space="preserve">(a)    Except for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each of the TopCo Borrower and its Restricted Subsidiaries has good title to, or (to the knowledge of the TopCo Borrower or any Restricted Subsidiary) valid leasehold interests in, all its real and personal property (other than Intellectual Property, which is subject to </w:t>
      </w:r>
      <w:r>
        <w:rPr>
          <w:rFonts w:ascii="Times New Roman" w:cs="Times New Roman" w:eastAsia="Times New Roman" w:hAnsi="Times New Roman"/>
          <w:sz w:val="20"/>
          <w:szCs w:val="20"/>
          <w:u w:val="single" w:color="auto"/>
          <w:color w:val="auto"/>
        </w:rPr>
        <w:t>Section 3.05(b)</w:t>
      </w:r>
      <w:r>
        <w:rPr>
          <w:rFonts w:ascii="Times New Roman" w:cs="Times New Roman" w:eastAsia="Times New Roman" w:hAnsi="Times New Roman"/>
          <w:sz w:val="20"/>
          <w:szCs w:val="20"/>
          <w:color w:val="auto"/>
        </w:rPr>
        <w:t>) material to its business, except as could not reasonably be expected to result in a Material Adverse Effect.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4"/>
          </w:cols>
          <w:pgMar w:left="436" w:top="265" w:right="439" w:bottom="1440" w:gutter="0" w:footer="0" w:header="0"/>
        </w:sectPr>
      </w:pPr>
    </w:p>
    <w:bookmarkStart w:id="113" w:name="page114"/>
    <w:bookmarkEnd w:id="113"/>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Except as could not reasonably be expected to have a Material Adverse Effect, (i) each of the TopCo Borrower and its Restricted Subsidiaries owns, or is licensed to use, all Intellectual Property material to its business, and (ii) the use thereof by the TopCo Borrower and its Restricted Subsidiaries, to any Loan Party’s knowledge, does not infringe upon the rights of any valid, enforceable patent, or any other Intellectual Property rights of any other Person.</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Litigation, Environmental and Labor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(a)    Except as described in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 xml:space="preserve"> hereof, there are no material actions, suits, proceedings or claims by or before any arbitrator or Governmental Authority pending against or, to the knowledge of the Borrowers, threatened in writing against or affecting the TopCo Borrower or any of its Restricted Subsidiaries (i) that could reasonably be expected, individually or in the aggregate, to result in a Material Adverse Effect or (ii) that, as of the Closing Date, involve this Agreement or the Transactions.</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(b)    Except as could not reasonably be expected to result in a Material Adverse Effect, neither the TopCo Borrower nor any of its Restricted Subsidiaries (i) is failing to comply with any Environmental Law or to obtain, maintain or comply with any permit, license or other approval required under any Environmental Law, (ii) is subject to any Environmental Liability or (iii) is subject to any pending, or has received written notice of any threatened, claim or Proceeding with respect to any Environmental Law or Environmental Liability.</w:t>
      </w:r>
    </w:p>
    <w:p>
      <w:pPr>
        <w:spacing w:after="0" w:line="180"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(c)    (i) As of the Closing Date, there are no strikes, lockouts or material slowdowns against the TopCo Borrower or any of its Restricted Subsidiaries pending or, to their knowledge, threatened and (ii) except as would not reasonably be expected to have a Material Adverse Effect, (A) there are no strikes, lockouts or material slowdowns against the TopCo Borrower or any of its Restricted Subsidiaries pending or, to their knowledge, threatened, (B) the hours worked by and payments made to employees of the TopCo Borrower and its Restricted Subsidiaries have not been in material violation of the Fair Labor Standards Act or any other applicable Federal, state, local or foreign law relating to such matters and (C) material payments due from the TopCo Borrower or any of its Restricted Subsidiaries, or for which any claim may be made against the TopCo Borrower or any of its Restricted Subsidiaries, on account of wages and employee health and welfare insurance and other benefits, have been paid or accrued as liabilities on the books of the TopCo Borrower or such Restricted Subsidiary. As of the Closing Date, the consummation of the Transactions will not give rise to any right of termination or right of renegotiation on the part of any union under any collective bargaining agreement under which the TopCo Borrower or any of its Restricted Subsidiaries is bound.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of the TopCo Borrower and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Healthcare and Regulatory Matters</w:t>
      </w:r>
      <w:r>
        <w:rPr>
          <w:rFonts w:ascii="Times New Roman" w:cs="Times New Roman" w:eastAsia="Times New Roman" w:hAnsi="Times New Roman"/>
          <w:sz w:val="20"/>
          <w:szCs w:val="20"/>
          <w:color w:val="auto"/>
        </w:rPr>
        <w:t xml:space="preserve">. Except, in each case, as may be disclosed on </w:t>
      </w:r>
      <w:r>
        <w:rPr>
          <w:rFonts w:ascii="Times New Roman" w:cs="Times New Roman" w:eastAsia="Times New Roman" w:hAnsi="Times New Roman"/>
          <w:sz w:val="20"/>
          <w:szCs w:val="20"/>
          <w:u w:val="single" w:color="auto"/>
          <w:color w:val="auto"/>
        </w:rPr>
        <w:t>Schedule 3.07(b)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40" w:firstLine="523"/>
        <w:spacing w:after="0" w:line="249" w:lineRule="auto"/>
        <w:rPr>
          <w:sz w:val="20"/>
          <w:szCs w:val="20"/>
          <w:color w:val="auto"/>
        </w:rPr>
      </w:pPr>
      <w:r>
        <w:rPr>
          <w:rFonts w:ascii="Times New Roman" w:cs="Times New Roman" w:eastAsia="Times New Roman" w:hAnsi="Times New Roman"/>
          <w:sz w:val="20"/>
          <w:szCs w:val="20"/>
          <w:color w:val="auto"/>
        </w:rPr>
        <w:t>(i)    (1) Except as would not reasonably be expected to have a Material Adverse Effect on the TopCo Borrower and its Restricted Subsidiaries, to the knowledge of the Borrowers, each of their respective employees and agents solely with respect to the exercise of each of their respective duties on behalf of the TopCo Borrower or its Restricted Subsidiaries are in compliance with all applicable Health Care Laws, and (2) neither the TopCo Borrower nor any of its Restricted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65" w:right="439" w:bottom="1440" w:gutter="0" w:footer="0" w:header="0"/>
        </w:sectPr>
      </w:pPr>
    </w:p>
    <w:bookmarkStart w:id="114" w:name="page115"/>
    <w:bookmarkEnd w:id="114"/>
    <w:p>
      <w:pPr>
        <w:jc w:val="both"/>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has received written notice of any pending or, to the knowledge of the TopCo Borrower or any Restricted Subsidiary, threatened claim, suit, proceeding, hearing, enforcement, audit, formal inquiry, qui tam action, appeal, professional disciplinary or regulatory proceedings, inspection, investigation, seizure, shutdown, field action, recall, request or demand for product withdrawal or market withdrawal, or corrective or remedial action, safety notice or alert, untitled letter or warning letter, letter of admonition, memorandum of agreement, order to show cause, suspension order, compliance addendum, injunctive relief agreement, notice of suspension or cancellation of a drug establishment license, medical device establishment registration or other license or clinical trial, U.S. Food and Drug Administration and any successor agency thereto (“</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Form 483, clinical hold, arbitration or other similar correspondence, notice or action from the FDA, DEA, DOJ, the U.S. Department of Health and Human Services and any successor agency thereto, the U.S. Department of Health and Human Services Office of Inspector General, the U.S. Customs and Border Protection, and any successor agency to any of the above, HPRA, EMA, or any applicable Governmental Authority with jurisdiction over the safety, efficacy, research, formulation, design, development, manufacture, ownership, testing, storage, security, diversion, trafficking, transportation, distribution, supply, packaging, recordkeeping, processing, production, handling, use, marketing, labeling (including administration of the REMS program), promotion, advertising, holding, possession, import or export, disposal or sale or offer for sale of any Product, service, operation or activity of the Loan Parties, including similar foreign, state and local Governmental Authorities (each a “</w:t>
      </w:r>
      <w:r>
        <w:rPr>
          <w:rFonts w:ascii="Times New Roman" w:cs="Times New Roman" w:eastAsia="Times New Roman" w:hAnsi="Times New Roman"/>
          <w:sz w:val="20"/>
          <w:szCs w:val="20"/>
          <w:u w:val="single" w:color="auto"/>
          <w:color w:val="auto"/>
        </w:rPr>
        <w:t>Regulatory Authority</w:t>
      </w:r>
      <w:r>
        <w:rPr>
          <w:rFonts w:ascii="Times New Roman" w:cs="Times New Roman" w:eastAsia="Times New Roman" w:hAnsi="Times New Roman"/>
          <w:sz w:val="20"/>
          <w:szCs w:val="20"/>
          <w:color w:val="auto"/>
        </w:rPr>
        <w:t>”), alleging that any such service, operation or activity of the TopCo Borrower or any of its Restricted Subsidiaries, or any of such products, is in violation of any applicable Health Care Law or alleging or asserting non-compliance with applicable Health Care Laws or which, if resolved in a manner adverse to the TopCo Borrower or its Restricted Subsidiaries, would be reasonably likely to result in the imposition of any penalties under a Health Care Law, or restrict their ability to conduct their business as currently conducted under Health Care Laws or result in their ineligibility, debarment, suspension, exclusion from participation in any Federal Health Care Program or similar program outside the United States;</w:t>
      </w:r>
    </w:p>
    <w:p>
      <w:pPr>
        <w:spacing w:after="0" w:line="206" w:lineRule="exact"/>
        <w:rPr>
          <w:sz w:val="20"/>
          <w:szCs w:val="20"/>
          <w:color w:val="auto"/>
        </w:rPr>
      </w:pPr>
    </w:p>
    <w:p>
      <w:pPr>
        <w:jc w:val="both"/>
        <w:ind w:firstLine="523"/>
        <w:spacing w:after="0" w:line="258" w:lineRule="auto"/>
        <w:rPr>
          <w:sz w:val="20"/>
          <w:szCs w:val="20"/>
          <w:color w:val="auto"/>
        </w:rPr>
      </w:pPr>
      <w:r>
        <w:rPr>
          <w:rFonts w:ascii="Times New Roman" w:cs="Times New Roman" w:eastAsia="Times New Roman" w:hAnsi="Times New Roman"/>
          <w:sz w:val="19"/>
          <w:szCs w:val="19"/>
          <w:color w:val="auto"/>
        </w:rPr>
        <w:t>(ii)    Except as would not reasonably be expected to have a Material Adverse Effect on the TopCo Borrower and its Restricted Subsidiaries, none of the TopCo Borrower, its Restricted Subsidiaries, any of their respective officers, directors, or, to the knowledge of the Borrowers, employees, clinical investigators, agents or contractors with respect to the exercise of each of their respective duties on behalf of the TopCo Borrower or its Restricted Subsidiaries have engaged in any activities which are reasonably likely to result in, or is subject to any proceeding, inquiry, investigation or similar action that would be reasonably likely to result in, civil penalties imposed on or mandatory or permissive exclusion or ineligibility, disqualification, debarment (including debarment under 21 U.S.C. § 335a), or suspension of the TopCo Borrower or any Restricted Subsidiary from participation in any human clinical research, Federal Health Care Program or similar program outside the United States, as applicable;</w:t>
      </w:r>
    </w:p>
    <w:p>
      <w:pPr>
        <w:spacing w:after="0" w:line="173" w:lineRule="exact"/>
        <w:rPr>
          <w:sz w:val="20"/>
          <w:szCs w:val="20"/>
          <w:color w:val="auto"/>
        </w:rPr>
      </w:pPr>
    </w:p>
    <w:p>
      <w:pPr>
        <w:jc w:val="both"/>
        <w:ind w:right="20" w:firstLine="523"/>
        <w:spacing w:after="0" w:line="250" w:lineRule="auto"/>
        <w:rPr>
          <w:sz w:val="20"/>
          <w:szCs w:val="20"/>
          <w:color w:val="auto"/>
        </w:rPr>
      </w:pPr>
      <w:r>
        <w:rPr>
          <w:rFonts w:ascii="Times New Roman" w:cs="Times New Roman" w:eastAsia="Times New Roman" w:hAnsi="Times New Roman"/>
          <w:sz w:val="20"/>
          <w:szCs w:val="20"/>
          <w:color w:val="auto"/>
        </w:rPr>
        <w:t>(iii)    None of the TopCo Borrower, any of its Restricted Subsidiaries or, their respective officers and directors, employees, clinical investigators, or to the knowledge of the Borrowers and their respective Restricted Subsidiaries, any agents or contractors</w:t>
      </w:r>
    </w:p>
    <w:p>
      <w:pPr>
        <w:spacing w:after="0" w:line="2" w:lineRule="exact"/>
        <w:rPr>
          <w:sz w:val="20"/>
          <w:szCs w:val="20"/>
          <w:color w:val="auto"/>
        </w:rPr>
      </w:pPr>
    </w:p>
    <w:p>
      <w:pPr>
        <w:jc w:val="both"/>
        <w:ind w:right="20" w:firstLine="7"/>
        <w:spacing w:after="0"/>
        <w:tabs>
          <w:tab w:leader="none" w:pos="28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has been excluded, suspended, debarred, disqualified or convicted of any crime that would reasonably be expected to result in exclusion, suspension, debarment or disqualification, including from human clinical research or participation in any Federal Health Care Program, (2) is currently or has been a party to a corporate integrity agreement or similar agreement or order mandating or prohibiting any future or past activities, or has any reporting or disclosure obligations pursuant to a settlement agreement, plan or correction or other remedial measure entered into with any Regulatory Authority, (3) has knowingly and willfully offered, paid, solicited or received any remuneration in violation of applicable Healthcare Laws nor (4) has made or is contemplating making any self-disclosure to any</w:t>
      </w:r>
    </w:p>
    <w:p>
      <w:pPr>
        <w:spacing w:after="0" w:line="12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480"/>
          </w:cols>
          <w:pgMar w:left="980" w:top="265" w:right="439" w:bottom="1440" w:gutter="0" w:footer="0" w:header="0"/>
        </w:sectPr>
      </w:pPr>
    </w:p>
    <w:bookmarkStart w:id="115" w:name="page116"/>
    <w:bookmarkEnd w:id="115"/>
    <w:p>
      <w:pPr>
        <w:jc w:val="both"/>
        <w:ind w:left="54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Authorities, nor are there any facts or circumstances reasonably likely to result in any self-disclosure under applicable Healthcare Laws, in each of case (2), (3) and (4), except as would not reasonably be expected to have a Material Adverse Effect on the TopCo Borrower and its Restricted Subsidiaries;</w:t>
      </w:r>
    </w:p>
    <w:p>
      <w:pPr>
        <w:spacing w:after="0" w:line="174" w:lineRule="exact"/>
        <w:rPr>
          <w:sz w:val="20"/>
          <w:szCs w:val="20"/>
          <w:color w:val="auto"/>
        </w:rPr>
      </w:pPr>
    </w:p>
    <w:p>
      <w:pPr>
        <w:jc w:val="both"/>
        <w:ind w:left="540" w:firstLine="523"/>
        <w:spacing w:after="0" w:line="242" w:lineRule="auto"/>
        <w:rPr>
          <w:sz w:val="20"/>
          <w:szCs w:val="20"/>
          <w:color w:val="auto"/>
        </w:rPr>
      </w:pPr>
      <w:r>
        <w:rPr>
          <w:rFonts w:ascii="Times New Roman" w:cs="Times New Roman" w:eastAsia="Times New Roman" w:hAnsi="Times New Roman"/>
          <w:sz w:val="20"/>
          <w:szCs w:val="20"/>
          <w:color w:val="auto"/>
        </w:rPr>
        <w:t>(iv)    Except as would not reasonably be expected to have a Material Adverse Effect on the TopCo Borrower and its Restricted Subsidiaries, all Products (other than raw materials) of TopCo Borrower and its Restricted Subsidiaries are being and have been researched, formulated, designed, developed, manufactured, owned, tested, distributed, supplied, packaged, processed, handled, used, held, stored, secured, transported, sold, offered for sale, imported, exported, marketed, labeled, advertised, promoted or disposed in compliance with all applicable Health Care Laws. Except as would not reasonably be expected to have a Material Adverse Effect on the TopCo Borrower and its Restricted Subsidiaries, to the knowledge of the Borrowers and their respective Restricted Subsidiaries, all raw materials of TopCo Borrower and its Restricted Subsidiaries are being and have been researched, formulated, designed, developed, manufactured, owned, tested, distributed, supplied, packaged, processed, handled, used, held, stored, secured, transported, sold, offered for sale, imported, exported, marketed, labeled, advertised, promoted or disposed in compliance with all applicable Health Care Laws;</w:t>
      </w:r>
    </w:p>
    <w:p>
      <w:pPr>
        <w:spacing w:after="0" w:line="192" w:lineRule="exact"/>
        <w:rPr>
          <w:sz w:val="20"/>
          <w:szCs w:val="20"/>
          <w:color w:val="auto"/>
        </w:rPr>
      </w:pPr>
    </w:p>
    <w:p>
      <w:pPr>
        <w:jc w:val="both"/>
        <w:ind w:left="540" w:firstLine="523"/>
        <w:spacing w:after="0" w:line="246" w:lineRule="auto"/>
        <w:rPr>
          <w:sz w:val="20"/>
          <w:szCs w:val="20"/>
          <w:color w:val="auto"/>
        </w:rPr>
      </w:pPr>
      <w:r>
        <w:rPr>
          <w:rFonts w:ascii="Times New Roman" w:cs="Times New Roman" w:eastAsia="Times New Roman" w:hAnsi="Times New Roman"/>
          <w:sz w:val="20"/>
          <w:szCs w:val="20"/>
          <w:color w:val="auto"/>
        </w:rPr>
        <w:t>(v)    Except as would not reasonably be expected to have a Material Adverse Effect on the TopCo Borrower and its Restricted Subsidiaries, none of the TopCo Borrower or its Restricted Subsidiaries has experienced a diversion that would require reporting to any Regulatory Authority or experienced any diversion of controlled substances, controlled substance analogues, listed chemicals, active pharmaceutical ingredients, any other such substances or products, or any breaches of the security systems, controls, and procedures required under any applicable Health Care Laws or by any Regulatory Authority.</w:t>
      </w:r>
    </w:p>
    <w:p>
      <w:pPr>
        <w:spacing w:after="0" w:line="185" w:lineRule="exact"/>
        <w:rPr>
          <w:sz w:val="20"/>
          <w:szCs w:val="20"/>
          <w:color w:val="auto"/>
        </w:rPr>
      </w:pPr>
    </w:p>
    <w:p>
      <w:pPr>
        <w:jc w:val="both"/>
        <w:ind w:left="540" w:right="20" w:firstLine="523"/>
        <w:spacing w:after="0" w:line="242" w:lineRule="auto"/>
        <w:rPr>
          <w:sz w:val="20"/>
          <w:szCs w:val="20"/>
          <w:color w:val="auto"/>
        </w:rPr>
      </w:pPr>
      <w:r>
        <w:rPr>
          <w:rFonts w:ascii="Times New Roman" w:cs="Times New Roman" w:eastAsia="Times New Roman" w:hAnsi="Times New Roman"/>
          <w:sz w:val="20"/>
          <w:szCs w:val="20"/>
          <w:color w:val="auto"/>
        </w:rPr>
        <w:t>(vi)    Except as would not reasonably be expected to have a Material Adverse Effect on the TopCo Borrower and its Restricted Subsidiaries (1) the TopCo Borrower and each of its Restricted Subsidiaries possesses and is operating in compliance with, all licenses, franchises, permits, clearances, registrations, approvals, variances, exemptions, and other authorizations from all Regulatory Authorities and any third parties that are necessary under any applicable Health Care Law to conduct its business as currently conducted (collectively, the “</w:t>
      </w:r>
      <w:r>
        <w:rPr>
          <w:rFonts w:ascii="Times New Roman" w:cs="Times New Roman" w:eastAsia="Times New Roman" w:hAnsi="Times New Roman"/>
          <w:sz w:val="20"/>
          <w:szCs w:val="20"/>
          <w:u w:val="single" w:color="auto"/>
          <w:color w:val="auto"/>
        </w:rPr>
        <w:t>Health Care Permits</w:t>
      </w:r>
      <w:r>
        <w:rPr>
          <w:rFonts w:ascii="Times New Roman" w:cs="Times New Roman" w:eastAsia="Times New Roman" w:hAnsi="Times New Roman"/>
          <w:sz w:val="20"/>
          <w:szCs w:val="20"/>
          <w:color w:val="auto"/>
        </w:rPr>
        <w:t>”), (2) all such Health Care Permits are in full force and effect, and (3) to the knowledge of the Borrowers and their respective Restricted Subsidiaries, each of the Restricted Subsidiaries has made all declarations and filings with the appropriate federal, state, local or foreign Governmental Authorities or Regulatory Authorities that are necessary for the Health Care Permits. No Restricted Subsidiary has received written notice of any revocation, material modification, suspension or termination of any Health Care Permit and, to the knowledge of the Borrowers, no facts or circumstances exist that would reasonably be expected to cause any such Health Care Permit to not be renewed in the ordinary course.</w:t>
      </w:r>
    </w:p>
    <w:p>
      <w:pPr>
        <w:spacing w:after="0" w:line="19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Neither the TopCo Borrower nor any of its Restricted Subsidiaries is required to be registered as an “investment company” or a company “controlled” by a company required to be registered as an “investment company”, within the meaning of the Investment Company Act of 1940.</w:t>
      </w:r>
    </w:p>
    <w:p>
      <w:pPr>
        <w:spacing w:after="0" w:line="174"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of the TopCo Borrower and its Restricted Subsidiaries has timely filed or caused to be filed all federal income Tax returns and all other Tax returns and reports required to have been filed by it and has paid, caused to be paid or made a provision for the payment of all federal income Taxes and all other Taxes required to have been paid by it, except (a) Taxes that are being contested in good faith by appropriate proceedings and for which the TopCo Borrower or such Restricted Subsidiary, as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440" w:top="265" w:right="439" w:bottom="1440" w:gutter="0" w:footer="0" w:header="0"/>
        </w:sectPr>
      </w:pPr>
    </w:p>
    <w:bookmarkStart w:id="116" w:name="page117"/>
    <w:bookmarkEnd w:id="11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set aside on its books adequate reserves in accordance with GAAP or (b) to the extent that the failure to do so could not reasonably be expected to result in a Material Adverse Effect.</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4"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All written information and all information that is formally presented at a general meeting (which may be a telephonic meeting) of the Lenders, other than any projections, estimates, forecasts and other forward-looking information and information of a general economic or industry-specific nature, furnished by or on behalf of the TopCo Borrower or any Restricted Subsidiary to the Administrative Agent or any Lender pursuant to or in connection with this Agreement or any other Loan Document, when taken as a whole and after giving effect to all supplements and updates thereto (with respect to any such information relating to the Target Group prior to the Closing Date, to the knowledge of the Borrowers),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forecasts or projections, each Borrower represents only that such information (with respect to any projected financial information relating to the Target Group prior to the Closing Date, to the knowledge of the Borrowers) was prepared in good faith based upon assumptions believed by the Borrowers to be reasonable at the time prepared (it being understood by the Administrative Agent and the Lenders that any such forecasts or projections are not to be viewed as facts and are subject to significant uncertainties and contingencies, many of which are beyond the control of the TopCo Borrower and its Restricted Subsidiaries, that no assurances can be given that such projections will be realized and that actual results may differ materially from such projections).</w:t>
      </w:r>
    </w:p>
    <w:p>
      <w:pPr>
        <w:spacing w:after="0" w:line="19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xml:space="preserve">. There are no Liens on any of the real or personal properties of the TopCo Borrower or any Restricted Subsidiary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has occurred and is continuing.</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 xml:space="preserve">Section 3.15 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The TopCo Borrower and its Restricted Subsidiaries taken as a whole are Solvent as of the Closing Date.</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xml:space="preserve">. The Collateral Documents, upon execution and delivery thereof by the parties thereto, will create in favor of the Administrative Agent, for the benefit of the Secured Parties, a valid and enforceable security interest in the Collateral covered thereby to the extent intended to be created thereby, except, as to enforcement, as may be limited by the Legal Reservations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to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to the Liens under the Collateral Documents and (ii) when (x) financing statements (or their equivalent) in appropriate form are filed in the applicable filing offices, and in the case of any Irish Loan Party incorporated in Ireland, a Form C1 is filed with the Irish Companies Registration Office and (y) Intellectual Property Security Agreements are filed in and recorded by the United States Patent and Trademark Office or the United States Copyright Office, as applicable, the security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0"/>
          </w:cols>
          <w:pgMar w:left="440" w:top="265" w:right="439" w:bottom="1440" w:gutter="0" w:footer="0" w:header="0"/>
        </w:sectPr>
      </w:pPr>
    </w:p>
    <w:bookmarkStart w:id="117" w:name="page118"/>
    <w:bookmarkEnd w:id="117"/>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created under the Collateral Documents will constitute a fully perfected security interest in all right, title and interest of the respective Loan Parties in the remaining Collateral to the extent perfection can be obtained by filing UCC financing statements (or their equivalent) or a Form C1, or such filing and recording of such Intellectual Property Security Agreements in and by the United States Patent and Trademark Office or the United States Copyright Office, as applicable, prior and superior to the rights of any other Person,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to be prior and superior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to the Liens under the Collateral Documents.</w:t>
      </w:r>
    </w:p>
    <w:p>
      <w:pPr>
        <w:spacing w:after="0" w:line="185"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xml:space="preserve">. Each Borrower has implemented and maintains in effect policies and procedures designed to promote compliance by the TopCo Borrower, its Restricted Subsidiaries, and, acting in their respective capacities, their respective directors, officers and employees with Anti-Corruption Laws and applicable Sanctions, and the TopCo Borrower, its Restricted Subsidiaries and their respective officers and directors and, to the knowledge of the Borrowers, the TopCo Borrower and its Restricted Subsidiaries’ employees, all acting in their respective capacities, are in compliance with Anti-Corruption Laws and applicable Sanctions in all material respects. None of the TopCo Borrower, any Restricted Subsidiary, any of their respective directors or officers or, to the knowledge of the Borrowers, the TopCo Borrower or such Restricted Subsidiary’s employees is a Sanctioned Person. No Borrowing or use of the proceeds thereof will be used in violation of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3.19 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3.20    </w:t>
      </w:r>
      <w:r>
        <w:rPr>
          <w:rFonts w:ascii="Times New Roman" w:cs="Times New Roman" w:eastAsia="Times New Roman" w:hAnsi="Times New Roman"/>
          <w:sz w:val="20"/>
          <w:szCs w:val="20"/>
          <w:u w:val="single" w:color="auto"/>
          <w:color w:val="auto"/>
        </w:rPr>
        <w:t>Centre of main interests and establishment</w:t>
      </w:r>
      <w:r>
        <w:rPr>
          <w:rFonts w:ascii="Times New Roman" w:cs="Times New Roman" w:eastAsia="Times New Roman" w:hAnsi="Times New Roman"/>
          <w:sz w:val="20"/>
          <w:szCs w:val="20"/>
          <w:color w:val="auto"/>
        </w:rPr>
        <w:t>. For the purposes of Regulation (EU) 2015/848 of 20 May 2015 on insolvency proceedings (recast) (the “</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the centre of main interest (as that term is used in Article 3(1) of the Regulation) of TopCo Borrower and each Irish Subsidiary is situated in Ireland and it has no “establishment” (as that term is used in Article 2(10) of the Regulation) in any other jurisdiction.</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3.21 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The TopCo Borrower and its Restricted Subsidiaries are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in a manner that entails a violation of Regulation U or X.</w:t>
      </w:r>
    </w:p>
    <w:p>
      <w:pPr>
        <w:spacing w:after="0" w:line="180" w:lineRule="exact"/>
        <w:rPr>
          <w:sz w:val="20"/>
          <w:szCs w:val="20"/>
          <w:color w:val="auto"/>
        </w:rPr>
      </w:pPr>
    </w:p>
    <w:p>
      <w:pPr>
        <w:jc w:val="both"/>
        <w:ind w:right="20" w:firstLine="551"/>
        <w:spacing w:after="0" w:line="295" w:lineRule="auto"/>
        <w:rPr>
          <w:sz w:val="20"/>
          <w:szCs w:val="20"/>
          <w:color w:val="auto"/>
        </w:rPr>
      </w:pPr>
      <w:r>
        <w:rPr>
          <w:rFonts w:ascii="Times New Roman" w:cs="Times New Roman" w:eastAsia="Times New Roman" w:hAnsi="Times New Roman"/>
          <w:sz w:val="19"/>
          <w:szCs w:val="19"/>
          <w:color w:val="auto"/>
        </w:rPr>
        <w:t xml:space="preserve">Section 3.22    </w:t>
      </w:r>
      <w:r>
        <w:rPr>
          <w:rFonts w:ascii="Times New Roman" w:cs="Times New Roman" w:eastAsia="Times New Roman" w:hAnsi="Times New Roman"/>
          <w:sz w:val="19"/>
          <w:szCs w:val="19"/>
          <w:u w:val="single" w:color="auto"/>
          <w:color w:val="auto"/>
        </w:rPr>
        <w:t>Acquisition Documents</w:t>
      </w:r>
      <w:r>
        <w:rPr>
          <w:rFonts w:ascii="Times New Roman" w:cs="Times New Roman" w:eastAsia="Times New Roman" w:hAnsi="Times New Roman"/>
          <w:sz w:val="19"/>
          <w:szCs w:val="19"/>
          <w:color w:val="auto"/>
        </w:rPr>
        <w:t>. In the case of a Scheme, the Scheme Documents (taken as a whole) contain all the material terms of the Scheme; and in the case of an Offer, the Offer Documents (taken as a whole) contain all material terms of the Offer.</w:t>
      </w:r>
    </w:p>
    <w:p>
      <w:pPr>
        <w:spacing w:after="0" w:line="138"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Section 3.23 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The TopCo Borrower does not hold “plan assets” (within the meaning of the Plan Asset Regulations) (“</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and, assuming no Lender funds any portion of the Loan with Plan Assets unless such Lender relies on a prohibited transaction exemption the conditions of which are satisfied, the execution, delivery and performance of this Agreement and the transactions contemplated hereunder, including the making of any Loan, will not give rise to a non-exempt prohibited transaction under Section 406 of ERISA or Section 4975 of the Code.</w:t>
      </w:r>
    </w:p>
    <w:p>
      <w:pPr>
        <w:spacing w:after="0" w:line="1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CONDITIONS</w:t>
      </w:r>
    </w:p>
    <w:p>
      <w:pPr>
        <w:spacing w:after="0" w:line="19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Conditions to the Closing Date</w:t>
      </w:r>
      <w:r>
        <w:rPr>
          <w:rFonts w:ascii="Times New Roman" w:cs="Times New Roman" w:eastAsia="Times New Roman" w:hAnsi="Times New Roman"/>
          <w:sz w:val="20"/>
          <w:szCs w:val="20"/>
          <w:color w:val="auto"/>
        </w:rPr>
        <w:t xml:space="preserve">. The obligation of each Lender to make a Loan on the Closing Date is subject to the satisfaction (or waiver of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of the following conditions: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440" w:top="265" w:right="439" w:bottom="1440" w:gutter="0" w:footer="0" w:header="0"/>
        </w:sectPr>
      </w:pPr>
    </w:p>
    <w:bookmarkStart w:id="118" w:name="page119"/>
    <w:bookmarkEnd w:id="118"/>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w:t>
      </w: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xml:space="preserve">. The Administrative Agent (or its counsel) shall have received (i) from each party hereto a counterpart of this Agreement signed on behalf of such party (which, subject to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may include any Electronic Signatures transmitted by telecopy, emailed pdf, or any other electronic means that reproduces an image of an actual executed signature page) and (ii) duly executed copies of the U.S. Security Agreement, the Guaranty, each Irish Collateral Document, any applicable Intellectual Property Security Agreements and such other certificates, documents, instruments and agreements as the Administrative Agent shall reasonably request in connection with the Transactions, all in form and substance reasonably satisfactory to the Administrative Agent and its counsel and as further described in the list of closing date documents attached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customary favorable written opinions (addressed to the Administrative Agent and the Lenders and dated the Closing Date) of (i) Cleary Gottlieb Steen &amp; Hamilton LLP, counsel for the Loan Parties, covering such matters relating to the Loan Parties, the Loan Documents or the Transactions as the Administrative Agent shall reasonably request, (ii) Ballard Spahr LLP, special Pennsylvania counsel for the U.S. Borrower, covering such matters relating to the U.S. Borrower, the Loan Documents or the Transactions as the Administrative Agent shall reasonably request, (iii) Morris, Nichols, Arsht &amp; Tunnell LLP, special Delaware counsel for the Loan Parties, covering such matters relating to the Loan Parties, the Loan Documents or the Transactions as the Administrative Agent shall reasonably request and (iv) A&amp;L Goodbody LLP, counsel for the Administrative Agent, covering such matters relating to the Loan Documents as the Administrative Agent shall reasonably request. The Borrowers hereby request such counsel to deliver such opinion.</w:t>
      </w:r>
    </w:p>
    <w:p>
      <w:pPr>
        <w:spacing w:after="0" w:line="18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Secretary’s Certificate and Good Standing Certificates</w:t>
      </w:r>
      <w:r>
        <w:rPr>
          <w:rFonts w:ascii="Times New Roman" w:cs="Times New Roman" w:eastAsia="Times New Roman" w:hAnsi="Times New Roman"/>
          <w:sz w:val="20"/>
          <w:szCs w:val="20"/>
          <w:color w:val="auto"/>
        </w:rPr>
        <w:t xml:space="preserve">. The Administrative Agent shall have received such documents and certificates as the Administrative Agent or its counsel may reasonably request relating to the organization, existence and (where such concept exists) good standing of the initial Loan Parties, the authorization of the Transactions and any other legal matters relating to such Loan Parties, the Loan Documents or the Transactions, all in form and substance reasonably satisfactory to the Administrative Agent and its counsel and as further described in the list of closing date documents attached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The Administrative Agent shall have received, at least four Business Days prior to the Closing Date, all documentation and other information regarding the Borrowers requested in connection with applicable “know your customer” and anti-money laundering rules and regulations, including the Patriot Act, to the extent requested in writing at least 9 Business Days prior to the Closing Date.</w:t>
      </w:r>
    </w:p>
    <w:p>
      <w:pPr>
        <w:spacing w:after="0" w:line="180"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Administrative Agent, the Arrangers, the Lenders and their Affiliates shall have received all fees and other amounts due and payable on or prior to the Closing Date hereunder and under the Fee Letters, which amounts, at the U.S. Borrower’s request, may be offset against the proceeds of the Loans, including, to the extent invoiced at least three Business Day prior to the Closing Date, reimbursement or payment of all reasonable and documented out-of-pocket expenses required to be reimbursed or paid by the Borrowers hereunder or under the Fee Letters.</w:t>
      </w:r>
    </w:p>
    <w:p>
      <w:pPr>
        <w:spacing w:after="0" w:line="185"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Administrative Agent shall have received (i) (x) audited consolidated balance sheets and related consolidated statements of operations and comprehensive income (loss), of shareholders’ equity and of cash flows of the TopCo Borrower and its subsidiaries for the fiscal years ended December 31, 2022, 2023 and 2024 and (y) unaudited consolidated balance sheets and related consolidated statements of operations and comprehensive income (loss), of shareholders’ equity and of cash flows of the TopCo Borrower and its subsidiaries for the fiscal quarters ended March 31, 2025, June 30, 2025 and September 30, 2025 and (ii) copies of all quarterly and annual financial statements of the Target Group delivered to any of the Borrowers pursuant to the Acquisition Agreement on or prior to the Closing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440" w:top="265" w:right="439" w:bottom="1440" w:gutter="0" w:footer="0" w:header="0"/>
        </w:sectPr>
      </w:pPr>
    </w:p>
    <w:bookmarkStart w:id="119" w:name="page120"/>
    <w:bookmarkEnd w:id="119"/>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The Administrative Agent acknowledges that the TopCo Borrower’s and the Target Group’s public filings with the SEC of any required financial statements will satisfy the requirements of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Possessory Collateral</w:t>
      </w:r>
      <w:r>
        <w:rPr>
          <w:rFonts w:ascii="Times New Roman" w:cs="Times New Roman" w:eastAsia="Times New Roman" w:hAnsi="Times New Roman"/>
          <w:sz w:val="20"/>
          <w:szCs w:val="20"/>
          <w:color w:val="auto"/>
        </w:rPr>
        <w:t>. The Borrowers shall have delivered to the Administrative Agent:</w:t>
      </w:r>
    </w:p>
    <w:p>
      <w:pPr>
        <w:spacing w:after="0" w:line="216"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(i)    the certificates representing the shares of capital stock or other Equity Interests (in each case, to the extent certificated) required to be pledged by any Loan Party pursuant to the U.S. Security Agreement, together with an undated stock power for each such certificate executed in blank by a duly authorized officer of the pledgor thereof;</w:t>
      </w:r>
    </w:p>
    <w:p>
      <w:pPr>
        <w:spacing w:after="0" w:line="174"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(ii)    each promissory note (if any) required to be pledged by any Loan Party pursuant to the U.S. Security Agreement, endorsed in blank (or accompanied by an executed transfer form in blank) by the pledgor thereof.</w:t>
      </w:r>
    </w:p>
    <w:p>
      <w:pPr>
        <w:spacing w:after="0" w:line="159"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9"/>
          <w:szCs w:val="19"/>
          <w:color w:val="auto"/>
        </w:rPr>
        <w:t xml:space="preserve">(h)    </w:t>
      </w:r>
      <w:r>
        <w:rPr>
          <w:rFonts w:ascii="Times New Roman" w:cs="Times New Roman" w:eastAsia="Times New Roman" w:hAnsi="Times New Roman"/>
          <w:sz w:val="19"/>
          <w:szCs w:val="19"/>
          <w:u w:val="single" w:color="auto"/>
          <w:color w:val="auto"/>
        </w:rPr>
        <w:t>Lien Searches</w:t>
      </w:r>
      <w:r>
        <w:rPr>
          <w:rFonts w:ascii="Times New Roman" w:cs="Times New Roman" w:eastAsia="Times New Roman" w:hAnsi="Times New Roman"/>
          <w:sz w:val="19"/>
          <w:szCs w:val="19"/>
          <w:color w:val="auto"/>
        </w:rPr>
        <w:t>. The Borrowers shall have delivered to the Administrative Agent the results of recent lien searches, including intellectual property lien searches, in each of the jurisdictions in which UCC financing statements will be made or intellectual property security agreements will be filed, as applicable, to evidence or perfect security interests required to be evidenced or perfected, and in each case only covering the period from the last date in which lien searches were provided to the Administrative Agent and the Closing Date.</w:t>
      </w:r>
    </w:p>
    <w:p>
      <w:pPr>
        <w:spacing w:after="0" w:line="165"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Each document (including any UCC (or similar) financing statements and Intellectual Property Security Agreements) required by any Collateral Document in effect on the Closing Date or under applicable requirements of law to be filed, registered or recorded, if any, in order to maintain in favor of the Administrative Agent, for the benefit of the Secured Parties, a perfected Lien on the Collateral required to be delivered pursuant to such Collateral Document, shall have been received by the Administrative Agent and be in proper form for filing, registration or recordation, in each case, as further described in the list of closing date documents attached as Exhibit D.</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(j)    </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The Administrative Agent shall have received a duly executed Borrowing Request complying with the terms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(k)     If the Target Acquisition is pursuant to:</w:t>
      </w:r>
    </w:p>
    <w:p>
      <w:pPr>
        <w:spacing w:after="0" w:line="216" w:lineRule="exact"/>
        <w:rPr>
          <w:sz w:val="20"/>
          <w:szCs w:val="20"/>
          <w:color w:val="auto"/>
        </w:rPr>
      </w:pPr>
    </w:p>
    <w:p>
      <w:pPr>
        <w:jc w:val="both"/>
        <w:ind w:left="540" w:firstLine="523"/>
        <w:spacing w:after="0" w:line="245" w:lineRule="auto"/>
        <w:rPr>
          <w:sz w:val="20"/>
          <w:szCs w:val="20"/>
          <w:color w:val="auto"/>
        </w:rPr>
      </w:pPr>
      <w:r>
        <w:rPr>
          <w:rFonts w:ascii="Times New Roman" w:cs="Times New Roman" w:eastAsia="Times New Roman" w:hAnsi="Times New Roman"/>
          <w:sz w:val="20"/>
          <w:szCs w:val="20"/>
          <w:color w:val="auto"/>
        </w:rPr>
        <w:t>(i)    a Scheme, then the Scheme Effective Date shall have occurred and the Target Acquisition shall have been, or substantially concurrently with the occurrence of the Closing Date shall be, consummated in all material respects in accordance with the terms and conditions of both the Acquisition Agreement and the Scheme Documents (it being understood that substantially concurrently shall permit the payment of the cash component of the cash consideration payable to the holders of the Target Shares being made within 14 days after the Scheme Effective Date) without giving effect to any amendment to the Scheme Documents or waiver thereof in breach of this Agreement; or</w:t>
      </w:r>
    </w:p>
    <w:p>
      <w:pPr>
        <w:spacing w:after="0" w:line="184" w:lineRule="exact"/>
        <w:rPr>
          <w:sz w:val="20"/>
          <w:szCs w:val="20"/>
          <w:color w:val="auto"/>
        </w:rPr>
      </w:pPr>
    </w:p>
    <w:p>
      <w:pPr>
        <w:jc w:val="both"/>
        <w:ind w:left="540" w:firstLine="523"/>
        <w:spacing w:after="0" w:line="245" w:lineRule="auto"/>
        <w:rPr>
          <w:sz w:val="20"/>
          <w:szCs w:val="20"/>
          <w:color w:val="auto"/>
        </w:rPr>
      </w:pPr>
      <w:r>
        <w:rPr>
          <w:rFonts w:ascii="Times New Roman" w:cs="Times New Roman" w:eastAsia="Times New Roman" w:hAnsi="Times New Roman"/>
          <w:sz w:val="20"/>
          <w:szCs w:val="20"/>
          <w:color w:val="auto"/>
        </w:rPr>
        <w:t>(ii)    an Offer, then the Offer Unconditional Date shall have occurred and the Target Acquisition shall have been, or substantially concurrently with the occurrence of the Closing Date shall be, consummated in all material respects in accordance with the terms and conditions of both the Acquisition Agreement and the Offer Documents (it being understood that substantially concurrently shall permit the payment of cash consideration for the tendered Target Shares being made within 14 days of the Offer Unconditional Date) without giving effect to any amendment to the Offer Documents or waiver thereof in breach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0"/>
          </w:cols>
          <w:pgMar w:left="440" w:top="265" w:right="439" w:bottom="1440" w:gutter="0" w:footer="0" w:header="0"/>
        </w:sectPr>
      </w:pPr>
    </w:p>
    <w:bookmarkStart w:id="120" w:name="page121"/>
    <w:bookmarkEnd w:id="120"/>
    <w:p>
      <w:pPr>
        <w:ind w:left="54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case without any term or condition of the Scheme or Offer (as applicable) having been waived or amended in any respect in breach of the terms of this Agreement.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(l)     If the Target Acquisition is pursuant to:</w:t>
      </w:r>
    </w:p>
    <w:p>
      <w:pPr>
        <w:spacing w:after="0" w:line="2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a Scheme, the Administrative Agent shall have received:</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(A)     a certificate of the U.S. Borrower signed by a Responsible Officer certifying:</w:t>
      </w:r>
    </w:p>
    <w:p>
      <w:pPr>
        <w:spacing w:after="0" w:line="2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(1)     the date on which the Scheme Circular was posted to the shareholders of Target;</w:t>
      </w:r>
    </w:p>
    <w:p>
      <w:pPr>
        <w:spacing w:after="0" w:line="2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(2)     the date on which the Scheme Press Release was issued; and</w:t>
      </w:r>
    </w:p>
    <w:p>
      <w:pPr>
        <w:spacing w:after="0" w:line="2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(3)     the date on which the Court has sanctioned the Scheme; and</w:t>
      </w:r>
    </w:p>
    <w:p>
      <w:pPr>
        <w:spacing w:after="0" w:line="216" w:lineRule="exact"/>
        <w:rPr>
          <w:sz w:val="20"/>
          <w:szCs w:val="20"/>
          <w:color w:val="auto"/>
        </w:rPr>
      </w:pPr>
    </w:p>
    <w:p>
      <w:pPr>
        <w:ind w:left="1860" w:hanging="322"/>
        <w:spacing w:after="0"/>
        <w:tabs>
          <w:tab w:leader="none" w:pos="1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Scheme Circular, certified as a true and correct copy by a Responsible Officer of the U.S. Borrower;</w:t>
      </w:r>
    </w:p>
    <w:p>
      <w:pPr>
        <w:spacing w:after="0" w:line="21" w:lineRule="exact"/>
        <w:rPr>
          <w:rFonts w:ascii="Times New Roman" w:cs="Times New Roman" w:eastAsia="Times New Roman" w:hAnsi="Times New Roman"/>
          <w:sz w:val="20"/>
          <w:szCs w:val="20"/>
          <w:color w:val="auto"/>
        </w:rPr>
      </w:pP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left="1540" w:right="20" w:hanging="2"/>
        <w:spacing w:after="0" w:line="269" w:lineRule="auto"/>
        <w:tabs>
          <w:tab w:leader="none" w:pos="18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Scheme Press Release, certified as a true and correct copy by a Responsible Officer of the U.S. Borrower; and</w:t>
      </w:r>
    </w:p>
    <w:p>
      <w:pPr>
        <w:spacing w:after="0" w:line="159" w:lineRule="exact"/>
        <w:rPr>
          <w:rFonts w:ascii="Times New Roman" w:cs="Times New Roman" w:eastAsia="Times New Roman" w:hAnsi="Times New Roman"/>
          <w:sz w:val="20"/>
          <w:szCs w:val="20"/>
          <w:color w:val="auto"/>
        </w:rPr>
      </w:pPr>
    </w:p>
    <w:p>
      <w:pPr>
        <w:jc w:val="both"/>
        <w:ind w:left="1540" w:hanging="2"/>
        <w:spacing w:after="0" w:line="254" w:lineRule="auto"/>
        <w:tabs>
          <w:tab w:leader="none" w:pos="187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U.S. Borrower signed by a Responsible Officer thereof attaching a copy of the Court Order, a copy of the General Meeting Resolutions and the Scheme Resolutions, in each case, certified as a true and correct copy;</w:t>
      </w:r>
    </w:p>
    <w:p>
      <w:pPr>
        <w:spacing w:after="0" w:line="1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     an Offer, the Administrative Agent shall have received:</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(A) a certificate of the U.S. Borrower signed by a Responsible Officer certifying:</w:t>
      </w:r>
    </w:p>
    <w:p>
      <w:pPr>
        <w:spacing w:after="0" w:line="2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(1)     the date on which the Offer Documents were posted to the Target Shareholders; and</w:t>
      </w:r>
    </w:p>
    <w:p>
      <w:pPr>
        <w:spacing w:after="0" w:line="21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(2)     the date on which the Offer Press Release was issued;</w:t>
      </w:r>
    </w:p>
    <w:p>
      <w:pPr>
        <w:spacing w:after="0" w:line="216" w:lineRule="exact"/>
        <w:rPr>
          <w:sz w:val="20"/>
          <w:szCs w:val="20"/>
          <w:color w:val="auto"/>
        </w:rPr>
      </w:pPr>
    </w:p>
    <w:p>
      <w:pPr>
        <w:ind w:left="1860" w:hanging="322"/>
        <w:spacing w:after="0"/>
        <w:tabs>
          <w:tab w:leader="none" w:pos="18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the Offer Documents, certified as a true and correct copy by a Responsible Officer of the U.S. Borrower;</w:t>
      </w:r>
    </w:p>
    <w:p>
      <w:pPr>
        <w:spacing w:after="0" w:line="33" w:lineRule="exact"/>
        <w:rPr>
          <w:rFonts w:ascii="Times New Roman" w:cs="Times New Roman" w:eastAsia="Times New Roman" w:hAnsi="Times New Roman"/>
          <w:sz w:val="19"/>
          <w:szCs w:val="19"/>
          <w:color w:val="auto"/>
        </w:rPr>
      </w:pPr>
    </w:p>
    <w:p>
      <w:pPr>
        <w:ind w:left="1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19"/>
          <w:szCs w:val="19"/>
          <w:color w:val="auto"/>
        </w:rPr>
      </w:pPr>
    </w:p>
    <w:p>
      <w:pPr>
        <w:ind w:left="1540" w:right="20" w:hanging="2"/>
        <w:spacing w:after="0" w:line="269" w:lineRule="auto"/>
        <w:tabs>
          <w:tab w:leader="none" w:pos="188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Offer Press Release, certified as a true and correct copy by a Responsible Officer of the U.S. Borrower.</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(m)    On the Closing Date, immediately before and after giving effect to the making of and application of proceeds of the applicable Borrowing, no Certain Funds Event of Default shall have occurred which is continuing and the Certain Funds Representations shall be true in all material respects (or if already qualified by materiality, in all respects).</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(n)    The Administrative Agent shall have received a certificate, dated the Closing Date and signed by a Responsible Officer of the U.S. Borrower,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confirming that the conditions set forth in </w:t>
      </w:r>
      <w:r>
        <w:rPr>
          <w:rFonts w:ascii="Times New Roman" w:cs="Times New Roman" w:eastAsia="Times New Roman" w:hAnsi="Times New Roman"/>
          <w:sz w:val="20"/>
          <w:szCs w:val="20"/>
          <w:u w:val="single" w:color="auto"/>
          <w:color w:val="auto"/>
        </w:rPr>
        <w:t>Section 4.01(k)</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have been met.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20"/>
          </w:cols>
          <w:pgMar w:left="440" w:top="265" w:right="439" w:bottom="1440" w:gutter="0" w:footer="0" w:header="0"/>
        </w:sectPr>
      </w:pPr>
    </w:p>
    <w:bookmarkStart w:id="121" w:name="page122"/>
    <w:bookmarkEnd w:id="121"/>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    It is not unlawful since the date the relevant Lender became party to this Agreement in any applicable jurisdiction for such Lender to fund that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has notified the Administrative Agent promptly upon becoming aware of such unlawfulness;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unlawfulness alone will not excuse any other Lender from participating in the relevant Loan and will not in any way affect the obligations of any other Lender.</w:t>
      </w:r>
    </w:p>
    <w:p>
      <w:pPr>
        <w:spacing w:after="0" w:line="18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whether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have been satisfied on the Closing Date, by signing this Agreement, the Administrative Agent and each Lender shall be deemed to have consented to, approved or accepted, or to be satisfied with, each document or other matter required hereunder to be consented to or approved by or acceptable or satisfactory to the Administrative Agent and such Lender.</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Administrative Agent shall notify the Borrowers and the Lenders of the Closing Date, and such notice shall be conclusive and binding.</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4.03    </w:t>
      </w:r>
      <w:r>
        <w:rPr>
          <w:rFonts w:ascii="Times New Roman" w:cs="Times New Roman" w:eastAsia="Times New Roman" w:hAnsi="Times New Roman"/>
          <w:sz w:val="20"/>
          <w:szCs w:val="20"/>
          <w:u w:val="single" w:color="auto"/>
          <w:color w:val="auto"/>
        </w:rPr>
        <w:t>Actions During Certain Funds Period</w:t>
      </w:r>
      <w:r>
        <w:rPr>
          <w:rFonts w:ascii="Times New Roman" w:cs="Times New Roman" w:eastAsia="Times New Roman" w:hAnsi="Times New Roman"/>
          <w:sz w:val="20"/>
          <w:szCs w:val="20"/>
          <w:color w:val="auto"/>
        </w:rPr>
        <w:t xml:space="preserve">. Notwithstanding anything to the contrary in this Agreement or the other Loan Documents, during the Certain Funds Period no Lender shall (unless (i) a Certain Funds Event of Default has occurred and is continuing or, in respect of clause (c) below, would result from making such Loans or (ii) in respect of clause (c) below, a Lender is not obligated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to make a Loan:</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cancel or terminate (or seek to cancel or terminate) any of its Commitments;</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(b)    rescind, terminate or cancel (or seek to rescind, terminate or cancel) this Agreement, any other Loan Document or any of the Loans or exercise (or seek to exercise) any similar right or remedy or make or enforce (or seek to make or enforce) any claim under this Agreement or any other Loan Document it may have to the extent to do so would prevent or limit the making of its Loans on the Closing Date in accordance with the terms of this Agreement;</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(c)    refuse (or seek to refuse) to participate in the making of its Loans, subject to satisfaction of the conditions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(d)    exercise (or seek to exercise) any right of netting, set-off or counterclaim or similar right or remedy to the extent to do so would prevent or limit the making of its Loans on the Closing Date in accordance with the terms of this Agreement; or</w:t>
      </w:r>
    </w:p>
    <w:p>
      <w:pPr>
        <w:spacing w:after="0" w:line="159"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(e)    exercise (or seek to exercise) any rights (i) to cancel, accelerate or cause repayment or prepayment of any amounts owing under any Loan Document or (ii) under or in connection with any Collateral Documents to enforce (or give instructions to enforce) any this Agreement or any other Loan Document or exercise any right or remedy thereunder, in each case of this clause (e), to the extent to do so would prevent or limit the making of its Loans on the Closing Date in accordance with the terms of this Agreement,</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expiration of the Certain Funds Period, all such rights, remedies and entitlements shall be available to the Lenders if applicable at such time notwithstanding that they may not have been used or been available for use during the Certain Funds Period.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20"/>
          </w:cols>
          <w:pgMar w:left="440" w:top="265" w:right="439" w:bottom="1440" w:gutter="0" w:footer="0" w:header="0"/>
        </w:sectPr>
      </w:pPr>
    </w:p>
    <w:bookmarkStart w:id="122" w:name="page123"/>
    <w:bookmarkEnd w:id="122"/>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Commencing on the Closing Date, until the Commitments have expired or been terminated and the principal of and interest on each Loan and all fees payable hereunder shall have been paid in full (other than Unliquidated Obligations and Obligations expressly stated to survive such payment and termination), each Borrower covenants and agrees with the Lenders that:</w:t>
      </w:r>
    </w:p>
    <w:p>
      <w:pPr>
        <w:spacing w:after="0" w:line="174"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U.S. Borrower will furnish to the Administrative Agent for distribution to each Lender:</w:t>
      </w:r>
    </w:p>
    <w:p>
      <w:pPr>
        <w:spacing w:after="0" w:line="159"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(a)    within 120 days after the end of each fiscal year of the TopCo Borrower (or, if earlier, within 5 Business Days after such date as the TopCo Borrower is required to file its annual report on Form 10-K for such fiscal year with the Securities and Exchange Commission) (commencing with the first fiscal year of TopCo Borrower ending after the Closing Date), its audited consolidated balance sheet and related statements of operations, stockholders’ equity and cash flows as of the end of and for such year, setting forth in each case in comparative form the figures for the previous fiscal year, all reported on by PricewaterhouseCoopers LLP or other independent public accountants of recognized national standing (without a “going concern” or like qualification, commentary or exception and without any qualification or exception as to the scope of such audit (except as resulting solely from (i) an upcoming Default or Event of Default under this Agreement or the maturity of the Loans within the 12-month period following the relevant audit date or (ii) the activities, operations, financial results, assets or liabilities of any Unrestricted Subsidiary)) to the effect that such consolidated financial statements present fairly in all material respects the financial condition and results of operations of the TopCo Borrower and its consolidated Subsidiaries on a consolidated basis in accordance with GAAP consistently applied;</w:t>
      </w:r>
    </w:p>
    <w:p>
      <w:pPr>
        <w:spacing w:after="0" w:line="190"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(b)    within 60 days after the end of each of the first three fiscal quarters of each fiscal year of the TopCo Borrower (or, if earlier, within 5 Business Days after such date as the TopCo Borrower is required to file its quarterly report on Form 10-Q for such fiscal quarter with the Securities and Exchange Commission) (commencing with the first fiscal quarter of the TopCo Borrower ending after the Closing Date),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TopCo Borrower and its consolidated Subsidiaries on a consolidated basis in accordance with GAAP consistently applied, subject to normal year-end audit adjustments and the absence of footnotes;</w:t>
      </w:r>
    </w:p>
    <w:p>
      <w:pPr>
        <w:spacing w:after="0" w:line="18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(c)    concurrently with any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to the Administrative Agent, a compliance certificate of a Financial Officer of the U.S. Borrower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(i) certifying, in the case of the financial statements delivered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as presenting fairly in all material respects the financial condition and results of operations of the TopCo Borrower and its consolidated Subsidiaries on a consolidated basis in accordance with GAAP consistently applied, subject to normal year-end audit adjustments and the absence of footnotes, (ii) certifying as to whether, to the knowledge of such Financial Officer, a Default has occurred and is continuing and, if a Default has occurred that is continuing, specifying the details thereof and any action taken or proposed to be taken with respect thereto, (iii) if any Initial Tranche A Term Loans are outstanding at such time, setting forth reasonably detailed calculations demonstrating compliance with the Financial Covenants and (iv) stating whether any change in GAAP or in the application thereof has occurred since the date of the audited financial statements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if any such change has occurred, specifying the effect of such change on the financial statements accompanying such certificate;</w:t>
      </w:r>
    </w:p>
    <w:p>
      <w:pPr>
        <w:spacing w:after="0" w:line="192"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as soon as available, but in any event not later than 120 days after the beginning of each fiscal year of the TopCo Borrower (commencing with the first fiscal year of the TopCo Borrower ending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20"/>
          </w:cols>
          <w:pgMar w:left="440" w:top="265" w:right="439" w:bottom="1440" w:gutter="0" w:footer="0" w:header="0"/>
        </w:sectPr>
      </w:pPr>
    </w:p>
    <w:bookmarkStart w:id="123" w:name="page124"/>
    <w:bookmarkEnd w:id="123"/>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Closing Date), a copy of the plan and forecast (including a projected income statement and cash flow statement) of the TopCo Borrower for each quarter of such fiscal year in form reasonably satisfactory to the Administrative Agent (which, for the avoidance of doubt, shall not be required to include projections of compliance with the Financial Covenants, projections of the Secured Net Leverage Ratio or Consolidated Interest Coverage Ratio or a description of the assumptions made in the build-up of such plan and forecast);</w:t>
      </w:r>
    </w:p>
    <w:p>
      <w:pPr>
        <w:spacing w:after="0" w:line="180"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(e)    promptly following any request by the Administrative Agent therefor, (x) such other information regarding the operations, business affairs and financial condition of the TopCo Borrower or any Restricted Subsidiary, or compliance with the terms of this Agreement, as the Administrative Agent or any Lender (acting through the Administrative Agent) may commercially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 and</w:t>
      </w:r>
    </w:p>
    <w:p>
      <w:pPr>
        <w:spacing w:after="0" w:line="18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(f)    concurrently with any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to the Administrative Agent, the related consolidating financial information (which may be unaudited) reflecting adjustments necessary to eliminate the accounts of Unrestricted Subsidiaries (if any) from such consolidated financial statements.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may be delivered electronically and posted on the TopCo Borrower’s behalf on an Internet or intranet website, if any, to which the Administrative Agent has access (whether a commercial, third-party website or whether sponsored by the Administrative Agent) or on EDGAR (the Electronic Data Gathering, Analysis and Retrieval system of the SEC) or any successor thereto.</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w:t>
      </w:r>
      <w:r>
        <w:rPr>
          <w:rFonts w:ascii="Times New Roman" w:cs="Times New Roman" w:eastAsia="Times New Roman" w:hAnsi="Times New Roman"/>
          <w:sz w:val="20"/>
          <w:szCs w:val="20"/>
          <w:u w:val="single" w:color="auto"/>
          <w:color w:val="auto"/>
        </w:rPr>
        <w:t>Section 5.01(e)</w:t>
      </w:r>
      <w:r>
        <w:rPr>
          <w:rFonts w:ascii="Times New Roman" w:cs="Times New Roman" w:eastAsia="Times New Roman" w:hAnsi="Times New Roman"/>
          <w:sz w:val="20"/>
          <w:szCs w:val="20"/>
          <w:color w:val="auto"/>
        </w:rPr>
        <w:t>, none of the TopCo Borrower or any Subsidiary will be required to disclose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U.S. Borrower will furnish to the Administrative Agent (for distribution to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written notice of the following promptly after a Responsible Officer having actual knowledge thereof:</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the occurrence of any Default or Event of Default;</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(b)    the filing, commencement or receipt of any notice of any Proceeding, inspection, audit or disclosure required by or before any arbitrator or Governmental Authority against or affecting the TopCo Borrower or any Restricted Subsidiary that could reasonably be expected to result in a Material Adverse Effect;</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(c)    the occurrence of any ERISA Event that, alone or together with any other ERISA Events that have occurred, could reasonably be expected to result in a Material Adverse Effect;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(d)     [reserved];</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(e)     any other development that results in, or could reasonably be expected to result in, a Material Adverse Effect;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20"/>
          </w:cols>
          <w:pgMar w:left="440" w:top="265" w:right="439" w:bottom="1440" w:gutter="0" w:footer="0" w:header="0"/>
        </w:sectPr>
      </w:pPr>
    </w:p>
    <w:bookmarkStart w:id="124" w:name="page125"/>
    <w:bookmarkEnd w:id="124"/>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any correspondence (i) to the FDA, HPRA, EMA (or analogous foreign, state or local Governmental Authority) from the TopCo Borrower or any Restricted Subsidiary or (ii) to the TopCo Borrower or any Restricted Subsidiary from the FDA, HPRA, EMA (or analogous foreign, state or local Governmental Authority) (including any so called “warning letter”, “untitled letter”, It Has Come to Our Attention letter, FDA Form 483 or similar notification), in each case, that contains information or data that has resulted or is reasonably expected to result in a significant adverse change to the labeling (package insert), including, but not limited to, the imposition of any modified boxed warning or a modification of a Risk Evaluation and Mitigation Strategy (“</w:t>
      </w:r>
      <w:r>
        <w:rPr>
          <w:rFonts w:ascii="Times New Roman" w:cs="Times New Roman" w:eastAsia="Times New Roman" w:hAnsi="Times New Roman"/>
          <w:sz w:val="20"/>
          <w:szCs w:val="20"/>
          <w:u w:val="single" w:color="auto"/>
          <w:color w:val="auto"/>
        </w:rPr>
        <w:t>REMS</w:t>
      </w:r>
      <w:r>
        <w:rPr>
          <w:rFonts w:ascii="Times New Roman" w:cs="Times New Roman" w:eastAsia="Times New Roman" w:hAnsi="Times New Roman"/>
          <w:sz w:val="20"/>
          <w:szCs w:val="20"/>
          <w:color w:val="auto"/>
        </w:rPr>
        <w:t>”) for any drug, biologic or device offered for commercial sale by the TopCo Borrower or any of its Restricted Subsidiaries at the time of such correspondence, or that has resulted or is reasonably expected to result in the revocation, termination, suspension, disqualification, or other adverse modification or limitation of any Health Care Permit; and</w:t>
      </w:r>
    </w:p>
    <w:p>
      <w:pPr>
        <w:spacing w:after="0" w:line="18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(g)    the receipt of any so called “warning letter”, “untitled letter”, It Has Come to Our Attention letter, FDA Form 483, or similar notification, in each case, from any Regulatory Authority that identifies any material manufacturing deficiencies (whether by any Loan Party or any Restricted Subsidiary and/or by any such Loan Party’s or such Restricted Subsidiary’s suppliers, contract manufacturers, and/or third-party manufacturers) with respect to any Product, or that otherwise orders, mandates or requests the recall, product withdrawal or market withdrawal or other remedial action of any Product offered for commercial sale by the TopCo Borrower or any of its Restricted Subsidiaries or that requires or requests that the Product offered for commercial sale by the TopCo Borrower or any of its Restricted Subsidiaries only be offered for sale or sold to a particular patient population (e.g., FDA requests that the drug, biologic or device offered for commercial sale by the TopCo Borrower or any of its Restricted Subsidiaries no longer be marketed for patients of a certain age or patients with a particular condition).</w:t>
      </w:r>
    </w:p>
    <w:p>
      <w:pPr>
        <w:spacing w:after="0" w:line="18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Each notice delivered under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(i) shall be in writing, (ii) shall contain a heading or a reference line that reads “Notice under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of the Alkermes Credit Agreement dated as of February 12, 2026” and (iii) shall be accompanied by a statement of a Financial Officer or other executive officer of the U.S. Borrower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none of the TopCo Borrower or any Restricted Subsidiary will be required to disclose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Restricted Subsidiary or (iii) is subject to attorney-client or similar privilege or constitutes attorney work-product.</w:t>
      </w:r>
    </w:p>
    <w:p>
      <w:pPr>
        <w:spacing w:after="0" w:line="185"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Each Borrower will, and will cause each of its Material Subsidiaries to, do or cause to be done (a)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TopCo Borrower and its Material Subsidiaries taken as a whole, and maintain all requisite authority to conduct its business in each jurisdiction in which its business is conducted, except,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the extent failure to do so could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disposition, liquidation or, dissolution or other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Each Borrower will, and will cause each of its Restricted Subsidiaries to, pay its obligations, including Tax liabilities, that, if not paid, could reasonably be expected to result in a Material Adverse Effect before the same shall become delinquent or in default, except where (a) the validity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20"/>
          </w:cols>
          <w:pgMar w:left="440" w:top="265" w:right="439" w:bottom="1440" w:gutter="0" w:footer="0" w:header="0"/>
        </w:sectPr>
      </w:pPr>
    </w:p>
    <w:bookmarkStart w:id="125" w:name="page126"/>
    <w:bookmarkEnd w:id="125"/>
    <w:p>
      <w:pPr>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amount thereof is being contested in good faith by appropriate proceedings and (b) such Borrower or such Restricted Subsidiary has set aside on its books adequate reserves with respect thereto in accordance with GAAP.</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Maintenance of Properties; Insurance</w:t>
      </w:r>
      <w:r>
        <w:rPr>
          <w:rFonts w:ascii="Times New Roman" w:cs="Times New Roman" w:eastAsia="Times New Roman" w:hAnsi="Times New Roman"/>
          <w:sz w:val="20"/>
          <w:szCs w:val="20"/>
          <w:color w:val="auto"/>
        </w:rPr>
        <w:t>. Each Borrower will, and will cause each of its Restricted Subsidiaries to,</w:t>
      </w:r>
    </w:p>
    <w:p>
      <w:pPr>
        <w:spacing w:after="0" w:line="22" w:lineRule="exact"/>
        <w:rPr>
          <w:sz w:val="20"/>
          <w:szCs w:val="20"/>
          <w:color w:val="auto"/>
        </w:rPr>
      </w:pPr>
    </w:p>
    <w:p>
      <w:pPr>
        <w:jc w:val="both"/>
        <w:ind w:left="4" w:hanging="4"/>
        <w:spacing w:after="0" w:line="239" w:lineRule="auto"/>
        <w:tabs>
          <w:tab w:leader="none" w:pos="27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keep and maintain all tangible property material to the conduct of its business in good working order and condition, ordinary wear and tear and casualty and condemnation excepted and except (i) as otherwise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(ii) where the failure to do so could not reasonably be expected to result in a Material Adverse Effect, and (b) maintain, in all material respects, with carriers reasonably believed by the Borrowers to be financially sound and reputable or through reasonable and adequate self-insurance, insurance in such amounts and against such risks and such other hazards, as, in the good faith determination of the Borrowers, is customarily maintained by companies engaged in the same or similar businesses operating in the same or similar locations. Each such policy of liability or casualty insurance maintained by or on behalf of the Loan Parties shall (a) in the case of each liability insurance policy, name the Administrative Agent, on behalf of the Secured Parties, as an additional insured thereunder, (b) in the case of each casualty insurance policy, contain a lender’s loss payable clause or endorsement that names the Administrative Agent, on behalf of the Secured Parties, as the lender’s loss payee thereunder and (c) provide for at least thirty (30) days’ (or such shorter number of days as may be reasonably agreed upon by the Administrative Agent) prior written notice to the Administrative Agent of any cancellation of such policy. Each Borrower will furnish to the Administrative Agent, upon any reasonable request of the Administrative Agent, information in reasonable detail as to the insurance so maintained. In the event any Borrower or any of its Restricted Subsidiaries at any time or times hereafter shall fail to obtain or maintain any of the policies or insurance required herein or to pay any premium in whole or in part then due and payable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reasonably deems advisable, it being agreed that the Administrative Agent shall reasonably promptly notify the U.S. Borrower of any such action. All sums so disbursed by the Administrative Agent shall constitute part of the Obligations, payable as provided in this Agreement. Notwithstanding the foregoing, so long as no Event of Default exists, the TopCo Borrower and its Restricted Subsidiaries may retain all or any portion of the proceeds of any insurance of the TopCo Borrower and its Restricted Subsidiaries (and the Administrative Agent shall promptly remit to the TopCo Borrower or the applicable Restricted Subsidiary any proceeds with respect to such insurance received by the Administrative Agent).</w:t>
      </w:r>
    </w:p>
    <w:p>
      <w:pPr>
        <w:spacing w:after="0" w:line="205"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xml:space="preserve">. Each Borrower will, and will cause each of its Restricted Subsidiaries to, keep proper books of record and account in which full, true and correct entries in conformity in all material respects with applicable law are made of all material financial dealings and transactions in relation to its business and activities and, subject to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in form permitting financial statements conforming with GAAP to be derived therefrom. Each Borrower will, and will cause each of its Restricted Subsidiaries to, permit any representatives designated by the Administrative Agent (including any Lenders provided such Lender is accompanied by the Administrative Agent), at reasonable times upon reasonable prior written notice, to visit and inspect its properties, to examine and make extracts from its books and records and to discuss its business, operations and financial condition with its Financial Officers and, provided such Borrower or such Restricted Subsidiary is afforded the opportunity to participate in such discussion, its independent accountants, all at such reasonable times and as often as reasonably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so long as no Event of Default has occurred and is continuing, such inspections shall not occur more than once in any calendar year and neither the TopCo Borrower nor the U.S. Borrower shall be required to reimburse the Administrative Agent or any of its representatives for fees, costs and expenses in connection with the Administrative Agent’s exercise of such rights set forth in this sentence more than one time in any calendar year. Each Borrower acknowledges that, subject to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the</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24"/>
          </w:cols>
          <w:pgMar w:left="436" w:top="265" w:right="439" w:bottom="1440" w:gutter="0" w:footer="0" w:header="0"/>
        </w:sectPr>
      </w:pPr>
    </w:p>
    <w:bookmarkStart w:id="126" w:name="page127"/>
    <w:bookmarkEnd w:id="126"/>
    <w:p>
      <w:pPr>
        <w:jc w:val="both"/>
        <w:ind w:left="4"/>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after exercising its rights of inspection, may prepare and distribute to the Lenders certain reports pertaining to the TopCo Borrower and its Restricted Subsidiaries’ assets for internal use by the Administrative Agent and the Lenders. Notwithstanding anything to the contrary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none of the TopCo Borrower or any Subsidiary will be required to disclose, permit the inspection, examination or making of extracts, or discussion of, any documents, information or other matter that (i) constitutes non-financial trade secrets or non-financial proprietary information, (ii) in respect of which disclosure to the Administrative Agent (or any designated representative) is then prohibited by law, rule, regulation or any agreement binding on any Loan Party or any Subsidiary or (iii) is subject to attorney-client or similar privilege or constitutes attorney work-product.</w:t>
      </w:r>
    </w:p>
    <w:p>
      <w:pPr>
        <w:spacing w:after="0" w:line="186"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Compliance with Laws and Material Contractual Obligations</w:t>
      </w:r>
      <w:r>
        <w:rPr>
          <w:rFonts w:ascii="Times New Roman" w:cs="Times New Roman" w:eastAsia="Times New Roman" w:hAnsi="Times New Roman"/>
          <w:sz w:val="20"/>
          <w:szCs w:val="20"/>
          <w:color w:val="auto"/>
        </w:rPr>
        <w:t xml:space="preserve">. Each Borrower will, and will cause each of its Restricted Subsidiaries to, (i) comply with all laws, rules, regulations and orders of any Governmental Authority applicable to it or its property and (ii) perform its obligations under material agreements to which it is a party, in each case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except where the failure to do so, individually or in the aggregate, could not reasonably be expected to result in a Material Adverse Effect. Each Borrower will maintain in effect and enforce policies and procedures designed to promote compliance by such Borrower, its Restricted Subsidiaries and, acting in their respective capacities, their respective directors, officers and employees with Anti-Corruption Laws and applicable Sanctions. Except where the failure to do so, individually or in the aggregate, could reasonably be expected to result in a Material Adverse Effect, each Borrower will, and will cause each of its Restricted Subsidiaries to, (i) comply in with all applicable Health Care Laws and (ii) to hold and possess all Health Care Permits and maintain such Health Care Permits in full force and effect.</w:t>
      </w:r>
    </w:p>
    <w:p>
      <w:pPr>
        <w:spacing w:after="0" w:line="186" w:lineRule="exact"/>
        <w:rPr>
          <w:sz w:val="20"/>
          <w:szCs w:val="20"/>
          <w:color w:val="auto"/>
        </w:rPr>
      </w:pPr>
    </w:p>
    <w:p>
      <w:pPr>
        <w:jc w:val="both"/>
        <w:ind w:left="4" w:right="20"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Loans will be used only for Certain Funds Purposes. No part of the proceeds of any Loan will be used, whether directly or indirectly, for any purpose that entails a violation of any of the regulations of the Federal Reserve Board, including Regulations U and X. The Borrowers will not request any Borrowing, and the Borrowers shall not use, and shall procure that the Restricted Subsidiaries and its or their respective directors, officers, employees and agents shall not use, the proceeds of any Borrowing (i) in furtherance of an offer, payment, promise to pay, or authorization of the payment or giving of money, or anything else of value, to any Person in material violation of any Anti-Corruption Laws, (ii) for the purpose of funding, financing or facilitating any activities, business or transaction of or with any Sanctioned Person, or in any Sanctioned Country, or in any other manner in each case that would result in violation of any Sanctions.</w:t>
      </w:r>
    </w:p>
    <w:p>
      <w:pPr>
        <w:spacing w:after="0" w:line="18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Subsidiary Guarantors; Pledges; Additional Collateral; Further Assurances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56" w:lineRule="auto"/>
        <w:rPr>
          <w:sz w:val="20"/>
          <w:szCs w:val="20"/>
          <w:color w:val="auto"/>
        </w:rPr>
      </w:pPr>
      <w:r>
        <w:rPr>
          <w:rFonts w:ascii="Times New Roman" w:cs="Times New Roman" w:eastAsia="Times New Roman" w:hAnsi="Times New Roman"/>
          <w:sz w:val="19"/>
          <w:szCs w:val="19"/>
          <w:color w:val="auto"/>
        </w:rPr>
        <w:t xml:space="preserve">(a)    As promptly as possible but in any event within 60 days after any member of the Target Group, and 90 days after any other Person (or, in each case, such later date as may be reasonably agreed upon by the Administrative Agent) (i) becomes a Domestic Subsidiary or qualifies independently as, or is designated by the U.S. Borrower as, a Material Domestic Subsidiary pursuant to the definition of “Material Domestic Subsidiary” (including, for the avoidance of doubt, because such Subsidiary (x) ceases to be an Excluded Subsidiary pursuant to the definition of “Excluded Subsidiary” or (y) ceases to be an Unrestricted Subsidiary pursuant to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or</w:t>
      </w:r>
    </w:p>
    <w:p>
      <w:pPr>
        <w:spacing w:after="0" w:line="4" w:lineRule="exact"/>
        <w:rPr>
          <w:sz w:val="20"/>
          <w:szCs w:val="20"/>
          <w:color w:val="auto"/>
        </w:rPr>
      </w:pPr>
    </w:p>
    <w:p>
      <w:pPr>
        <w:jc w:val="both"/>
        <w:ind w:left="4" w:right="20" w:hanging="4"/>
        <w:spacing w:after="0"/>
        <w:tabs>
          <w:tab w:leader="none" w:pos="31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becomes an Irish Subsidiary or qualifies independently as, or is designated by the U.S. Borrower as, as a Material Irish Subsidiary pursuant to the definition of “Material Irish Subsidiary” (including, for the avoidance of doubt, because such Subsidiary (x) ceases to be an Excluded Subsidiary pursuant to the definition of “Excluded Subsidiary” or (y) ceases to be an Unrestricted Subsidiary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the U.S. Borrower shall provide the Administrative Agent with written notice thereof and shall cause each such Restricted Subsidiary which also qualifies as a Material Subsidiary to deliver to the Administrative Agent a joinder to the Guaranty and (A) in the case of any Material Domestic Subsidiary, (I) a joinder to the U.S. Security Agreement (in the form contemplated thereby) pursuant to which such Restricted Subsidiary agrees to be bound by the terms and provisions thereof and</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4"/>
          </w:cols>
          <w:pgMar w:left="436" w:top="265" w:right="439" w:bottom="1440" w:gutter="0" w:footer="0" w:header="0"/>
        </w:sectPr>
      </w:pPr>
    </w:p>
    <w:bookmarkStart w:id="127" w:name="page128"/>
    <w:bookmarkEnd w:id="127"/>
    <w:p>
      <w:pPr>
        <w:jc w:val="both"/>
        <w:ind w:left="4" w:hanging="4"/>
        <w:spacing w:after="0" w:line="253" w:lineRule="auto"/>
        <w:tabs>
          <w:tab w:leader="none" w:pos="32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such Material Domestic Subsidiary owns Equity Interests in any Irish Subsidiary, an Irish Share Charge with respect to the Equity Interests of such Irish Subsidiary and (B) in the case of any Material Irish Subsidiary, (I) an accession deed to the Irish Security Agreement (in the form contemplated thereby) pursuant to which such Restricted Subsidiary agrees to be bound by the terms and provisions thereof and (II) in the case of any Material Irish Subsidiary that owns Equity Interests in any Domestic Subsidiary, a joinder to the U.S. Security Agreement (in the form contemplated thereby) pursuant to which such Restricted Subsidiary agrees to be bound by the terms and provisions thereof, such Guaranty and such U.S. Security Agreement and/or Irish Collateral Documents, as applicable, to be accompanied by requisite organizational resolutions, other organizational documentation, certificates and legal opinions as may be reasonably requested by, and in form and substance reasonably satisfactory to, the Administrative Agent and its counsel (but, with respect to any such legal opinion, limited to the types of matters covered in the legal opinions delivered pursuant to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As promptly as possible but in any event within 60 days after any Domestic Subsidiary acquires Equity Interests in any Irish Subsidiary that is a member of the Target Group or any Irish Subsidiary acquires Equity Interests in any Domestic Subsidiary that is a member of the Target Group, and within 90 days after any Domestic Loan Party acquires Equity Interests in any Irish Subsidiary (other than any member of the Target Group) or any Loan Party incorporated or organized under the laws of Ireland acquires Equity Interests in any Domestic Subsidiary (other than any member of the Target Group) (or, in each case, such later date as may be reasonably agreed upon by the Administrative Agent), the U.S. Borrower shall provide the Administrative Agent with written notice thereof and shall cause each such Loan Party to deliver to the Administrative Agent (A) in the case of any Domestic Loan Party that acquires Equity Interests in any Irish Subsidiary, an Irish Share Charge with respect to the Equity Interests of such Irish Subsidiary and (B) in the case of any Loan Party organized or incorporated under the laws of Ireland that acquires Equity Interests in any Domestic Subsidiary, a joinder to the U.S. Security Agreement (unless already a party thereto and in the form contemplated thereby), pursuant to which such Loan Party agrees to be bound by the terms and provisions thereof, such Irish Share Charge or U.S. Security Agreement, as applicable, to be accompanied by requisite organizational resolutions, other organizational documentation, certificates and legal opinions as may be reasonably requested by, and in form and substance reasonably satisfactory to, the Administrative Agent and its counsel (but, with respect to any such legal opinion, limited to the types of matters covered in the legal opinions delivered pursuant to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Notwithstanding anything to the contrary in any Loan Document, no Excluded Subsidiary shall be required to be a Subsidiary Guarantor or comply (nor shall any Borrower be required to cause it to comply) with any covenant with respect to becoming a guarantor or granting a security interest, including this </w:t>
      </w:r>
      <w:r>
        <w:rPr>
          <w:rFonts w:ascii="Times New Roman" w:cs="Times New Roman" w:eastAsia="Times New Roman" w:hAnsi="Times New Roman"/>
          <w:sz w:val="19"/>
          <w:szCs w:val="19"/>
          <w:u w:val="single" w:color="auto"/>
          <w:color w:val="auto"/>
        </w:rPr>
        <w:t>Section 5.09</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 xml:space="preserve">(b)    Subject to the terms, limitations and exceptions set forth in the applicable Collateral Documents, each Borrower will cause, and will cause each other Loan Party to cause, all of its owned property (whether personal or real, tangible, intangible, or mixed but excluding Excluded Assets) to be subject at all times to perfected Liens in favor of the Administrative Agent for the benefit of the Secured Parties to secure the Secured Obligations in accordance with the terms and conditions of the Collateral Documents, subject in any case to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With respect to the pledge of any Equity Interest in any Restricted Subsidiary and subject to the terms, limitations and exceptions set forth in the applicable Collateral Documents, each Borrower will cause (A) 100% of the issued and outstanding Equity Interests of each Pledged Subsidiary that is a Domestic Subsidiary (other than (i) any Domestic Foreign Holding Company or any Domestic Subsidiary of a Domestic Foreign Holding Company or a Foreign Subsidiary (other than an Irish Subsidiary) that is a CFC), (B) 100% of the issued and outstanding Equity Interests of each Pledged Subsidiary that is an Irish Subsidiary and (C) 65% of the issued and outstanding Equity Interests entitled to vote (within the meaning of Treas. Reg. Section 1.956-2(c)(2)) and 100% of the issued and outstanding Equity Interests not entitled to vote (within the meaning of Treas. Reg. Section 1.956-2(c)(2)) in each Pledged Subsidiary (i) that is a Foreign Subsidiary (other than an Irish Subsidiary) or (ii) that is a Domestic Foreign Holding Company, in each case in the case of clauses (A), (B) and (C), in respect of Equity Interests which are directly owned by any Borrower or any other Loan Party (other than</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24"/>
          </w:cols>
          <w:pgMar w:left="436" w:top="265" w:right="439" w:bottom="1440" w:gutter="0" w:footer="0" w:header="0"/>
        </w:sectPr>
      </w:pPr>
    </w:p>
    <w:bookmarkStart w:id="128" w:name="page129"/>
    <w:bookmarkEnd w:id="128"/>
    <w:p>
      <w:pPr>
        <w:jc w:val="both"/>
        <w:ind w:left="4"/>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Excluded Assets) to be subject at all times to a first priority, perfected Lien (subject in any case to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in favor of the Administrative Agent to secure the Secured Obligations in accordance with the terms and conditions of the Collateral Documents. Without limiting the generality of the foregoing, each Borrower will, and will cause each Subsidiary Guarantor to, deliver Mortgages and Mortgage Instruments with respect to real property owned by such Borrower or such Subsidiary Guarantor which does not constitute Excluded Real Property within 120 days after the acquisition thereof (or such later date as may be reasonably agreed upon by the Administrative Agent). Notwithstanding the foregoing, no such Mortgages and Mortgage Instruments are required to be delivered hereunder for Excluded Real Property or and in any case until the date that is 120 days after the Closing Date (or such later date as may be reasonably agreed upon by the Administrative Agent). Notwithstanding the foregoing, the Administrative Agent shall not enter into any Mortgage in respect of any real property acquired by any Borrower or any other Loan Party after the Closing Date until the date that occurs 21 days after the Administrative Agent has delivered to the Lenders (which may be delivered electronically on an Electronic System) the following documents in respect of such real property: (i) a completed flood hazard determination from a third party vendor;</w:t>
      </w:r>
    </w:p>
    <w:p>
      <w:pPr>
        <w:spacing w:after="0" w:line="6" w:lineRule="exact"/>
        <w:rPr>
          <w:sz w:val="20"/>
          <w:szCs w:val="20"/>
          <w:color w:val="auto"/>
        </w:rPr>
      </w:pPr>
    </w:p>
    <w:p>
      <w:pPr>
        <w:jc w:val="both"/>
        <w:ind w:left="4" w:hanging="4"/>
        <w:spacing w:after="0" w:line="241" w:lineRule="auto"/>
        <w:tabs>
          <w:tab w:leader="none" w:pos="30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real property is located in a “special flood hazard area”, (A) a notification to the U.S. Borrower of that fact and (if applicable) notification to the U.S. Borrower that flood insurance coverage is not available and (B) evidence of the receipt by the U.S. Borrower of such notice; and (iii) if such notice is required to be provided to the U.S. Borrower and flood insurance is available in the community in which such real property is located, evidence of required flood insurance.</w:t>
      </w:r>
    </w:p>
    <w:p>
      <w:pPr>
        <w:spacing w:after="0" w:line="188"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(c)    Without limiting the foregoing, each Borrower will, and will cause each Subsidiary Guarantor to, execute and deliver, or cause to be executed and delivered, to the Administrative Agent such documents, agreements and instruments, and will take or cause to be taken such further actions (including the filing and recording of financing statements, Intellectual Property Security Agreements, fixture filings, Mortgages, deeds of trust and other documents and such other actions or deliveries of the type required by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terms, limitations and exceptions set forth herein or in any Collateral Document, all at the expense of the Borrowers.</w:t>
      </w:r>
    </w:p>
    <w:p>
      <w:pPr>
        <w:spacing w:after="0" w:line="189"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 xml:space="preserve">(d)    If any material assets are acquired by a Loan Party after the Closing Date (other than (i) Excluded Assets or (ii) assets of the type constituting Collateral under the U.S. Security Agreement, Irish Collateral Documents or other applicable Collateral Document that either become subject to the Lien under the U.S. Security Agreement, Irish Collateral Documents or other applicable Collateral Document upon acquisition thereof or with respect to which no notice or further action would be required to create or perfect the Administrative Agent’s Lien in such assets), the U.S. Borrower will notify the Administrative Agent thereof, and, if requested by the Administrative Agent and the Borrowers will cause such assets to be subjected to a Lien securing the Secured Obligations and will take, and, as applicable, cause the other Loan Parties to take, such actions as shall be necessary or reasonably requested by the Administrative Agent to grant and perfect such Liens, including actions described in </w:t>
      </w:r>
      <w:r>
        <w:rPr>
          <w:rFonts w:ascii="Times New Roman" w:cs="Times New Roman" w:eastAsia="Times New Roman" w:hAnsi="Times New Roman"/>
          <w:sz w:val="20"/>
          <w:szCs w:val="20"/>
          <w:u w:val="single" w:color="auto"/>
          <w:color w:val="auto"/>
        </w:rPr>
        <w:t>Section 5.09(c)</w:t>
      </w:r>
      <w:r>
        <w:rPr>
          <w:rFonts w:ascii="Times New Roman" w:cs="Times New Roman" w:eastAsia="Times New Roman" w:hAnsi="Times New Roman"/>
          <w:sz w:val="20"/>
          <w:szCs w:val="20"/>
          <w:color w:val="auto"/>
        </w:rPr>
        <w:t>, all at the expense of the Borrowers, subject, however, to the terms, limitations and exceptions set forth herein or in any Collateral Document. Notwithstanding anything to the contrary contained herein or in any other Loan Document, no Loan Party shall be required, nor shall the Administrative Agent be authorized, (i) to perfect a security interest in any Collateral by any means other than by (A) filings pursuant to (1) the UCC in the office of the secretary of state (or similar central filing office) of the relevant jurisdiction where each Loan Party is located, as determined under Section 9-307 of the UCC (and, in the case of any Loan Party incorporated in Ireland, the Recorder of Deeds Office of Washington D.C.) and (2) in the case of any Loan Party incorporated in Ireland, the Companies Act in the Irish Companies Registration Office, (B) filings in the United States Patent and Trademark Office or the United States Copyright Office, as applicable, with respect to United States registered or applied for patents, trademarks and copyrights and exclusive licenses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24"/>
          </w:cols>
          <w:pgMar w:left="436" w:top="265" w:right="439" w:bottom="1440" w:gutter="0" w:footer="0" w:header="0"/>
        </w:sectPr>
      </w:pPr>
    </w:p>
    <w:bookmarkStart w:id="129" w:name="page130"/>
    <w:bookmarkEnd w:id="129"/>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United States registered copyrights granted to a Loan Party, (C) (1) mortgages in respect of fee-owned real property included in the Collateral and (2) filings in the applicable real estate records with respect to real properties included in the Collateral or fixtures relating to such real properties, (D) delivery to the Administrative Agent of all stock certificates, intercompany notes and other instruments constituting Collateral required pursuant to the Collateral Documents to be held in its possession and (E) the service of notices of assignment (if any) required to be served under the Irish Collateral Documents, (ii) to grant, perfect or otherwise make enforceable a security interest in any Intellectual Property owned by any Loan Party incorporated in Ireland (other than United States registered or applied for patents, trademarks and copyrights owned by such Loan Party and exclusive licenses of United States registered copyrights granted to such Loan Party) other than by granting a customary floating charge on such Intellectual Property (to the extent not constituting Excluded Assets) pursuant to the Irish Collateral Documents, (iii) to enter into any control agreement with respect to any deposit account, securities account or commodities account or obtain any landlord waivers, estoppels or collateral access letters, (iv) to take any action (other than any actions listed in clauses (A) through (E) of clause (i) or clause (ii) above) with respect to any assets located outside of the United States or, other than with respect to Intellectual Property, Ireland, including any Intellectual Property governed by, arising or existing under, or filed, registered, issued or protected pursuant to the laws of any jurisdiction other than the United States, or to perfect or make enforceable any security interests in any such assets or (iv) to take any actions (other than any action listed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in any jurisdiction other than the United States (or any political subdivision thereof) or, other than with respect to Intellectual Property, Ireland (or any political subdivision thereof) or (except as provided for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enter into any collateral documents governed by the laws of any country other than the United States (or any political subdivision thereof) or, other than with respect to Intellectual Property, Ireland (or any political subdivision thereof).</w:t>
      </w:r>
    </w:p>
    <w:p>
      <w:pPr>
        <w:spacing w:after="0" w:line="190"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19"/>
          <w:szCs w:val="19"/>
          <w:color w:val="auto"/>
        </w:rPr>
        <w:t>(e)    The Administrative Agent shall have received for each Mortgaged Property (i) a completed “life-of-loan” Federal Emergency Management Agency standard flood hazard determination, (ii) if such Mortgaged Property is located in an area identified by the Federal Emergency Management Agency (or any successor agency) as a special flood hazard area, a notice about Special Flood Hazard Area status and flood disaster assistance duly executed by the U.S. Borrower and the applicable Loan Party relating thereto) and (iii) if such Mortgaged Property is located in an area identified by the Federal Emergency Management Agency (or any successor agency) as a special flood hazard area, a copy of an insurance policy, or a declaration page relating to an insurance policy, in either case showing coverage for flood insurance in an amount reasonably satisfactory to the Administrative Agent and the Lenders and otherwise sufficient to comply with all applicable rules and regulations promulgated pursuant to the Flood Insurance Laws, each of which shall (A) be endorsed or otherwise amended to include a “standard” or “New York” lender’s loss payable or mortgagee endorsement (as applicable), (B) name the Administrative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Administrative Agent and the Lenders. The Administrative Agent has adopted internal policies and procedures that address requirements placed on federally regulated Lenders under the Flood Insurance Laws. The Administrative Agent will post on the applicable electronic platform (or otherwise distribute to each lender in the syndicate) documents that it receives in connection with the Flood Insurance Laws. However, the Administrative Agent reminds each Lender and Participant that, pursuant to the Flood Insurance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Post- Closing Date Covenants</w:t>
      </w:r>
    </w:p>
    <w:p>
      <w:pPr>
        <w:spacing w:after="0" w:line="2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440" w:top="265" w:right="439" w:bottom="1440" w:gutter="0" w:footer="0" w:header="0"/>
        </w:sectPr>
      </w:pPr>
    </w:p>
    <w:bookmarkStart w:id="130" w:name="page131"/>
    <w:bookmarkEnd w:id="130"/>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Not later than 30 days after the Closing Date (or such later date as the Administrative Agent may reasonably agree) the Borrowers shall have delivered to the Administrative Agent insurance certificates and endorsements (x) to all “All Risk” physical damage insurance policies on all of the tangible personal property and assets of the Borrowers and the Subsidiary Guarantors naming the Administrative Agent as lender loss payee, and (y) to all general liability and other umbrella or excess liability policies of the Borrowers and the Subsidiary Guarantors naming the Administrative Agent an additional insured.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Scheme and Offer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Each Borrower agrees that it shall:</w:t>
      </w:r>
    </w:p>
    <w:p>
      <w:pPr>
        <w:spacing w:after="0" w:line="216" w:lineRule="exact"/>
        <w:rPr>
          <w:sz w:val="20"/>
          <w:szCs w:val="20"/>
          <w:color w:val="auto"/>
        </w:rPr>
      </w:pPr>
    </w:p>
    <w:p>
      <w:pPr>
        <w:jc w:val="both"/>
        <w:ind w:left="540" w:firstLine="523"/>
        <w:spacing w:after="0" w:line="269" w:lineRule="auto"/>
        <w:rPr>
          <w:sz w:val="20"/>
          <w:szCs w:val="20"/>
          <w:color w:val="auto"/>
        </w:rPr>
      </w:pPr>
      <w:r>
        <w:rPr>
          <w:rFonts w:ascii="Times New Roman" w:cs="Times New Roman" w:eastAsia="Times New Roman" w:hAnsi="Times New Roman"/>
          <w:sz w:val="20"/>
          <w:szCs w:val="20"/>
          <w:color w:val="auto"/>
        </w:rPr>
        <w:t>(i)      not issue any Press Release other than the Scheme Press Release, subject to such amendments as are not Materially Adverse Amendments;</w:t>
      </w:r>
    </w:p>
    <w:p>
      <w:pPr>
        <w:spacing w:after="0" w:line="159" w:lineRule="exact"/>
        <w:rPr>
          <w:sz w:val="20"/>
          <w:szCs w:val="20"/>
          <w:color w:val="auto"/>
        </w:rPr>
      </w:pPr>
    </w:p>
    <w:p>
      <w:pPr>
        <w:jc w:val="both"/>
        <w:ind w:left="540" w:right="20" w:firstLine="523"/>
        <w:spacing w:after="0" w:line="246" w:lineRule="auto"/>
        <w:rPr>
          <w:sz w:val="20"/>
          <w:szCs w:val="20"/>
          <w:color w:val="auto"/>
        </w:rPr>
      </w:pPr>
      <w:r>
        <w:rPr>
          <w:rFonts w:ascii="Times New Roman" w:cs="Times New Roman" w:eastAsia="Times New Roman" w:hAnsi="Times New Roman"/>
          <w:sz w:val="20"/>
          <w:szCs w:val="20"/>
          <w:color w:val="auto"/>
        </w:rPr>
        <w:t>(ii)      in the case of an Offer, satisfy the Acceptance Condition which will require acceptances to have been received that would, when aggregated with all Target Shares (excluding shares held in treasury) directly or indirectly owned by the TopCo Borrower, result in the TopCo Borrower (directly or indirectly) holding shares representing, in any case, not less than 80.0% of all Target Shares carrying voting rights on a fully diluted basis (excluding any shares held in treasury) as at the date on which the Offer is declared unconditional (the “</w:t>
      </w:r>
      <w:r>
        <w:rPr>
          <w:rFonts w:ascii="Times New Roman" w:cs="Times New Roman" w:eastAsia="Times New Roman" w:hAnsi="Times New Roman"/>
          <w:sz w:val="20"/>
          <w:szCs w:val="20"/>
          <w:u w:val="single" w:color="auto"/>
          <w:color w:val="auto"/>
        </w:rPr>
        <w:t>Minimum Acceptance Level</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(iii)      comply in all material respects with the Scheme, the Offer, the Scheme Documents, the Offer Documents, the Takeover Rules, the Companies Act, subject to any consents, waivers or dispensations granted by the Panel or the requirements of the Court, and all other applicable laws and regulations that are relevant to any Offer or Scheme save where non-compliance could not reasonably be expected to be materially prejudicial to the interests of the Lenders taken as a whole;</w:t>
      </w:r>
    </w:p>
    <w:p>
      <w:pPr>
        <w:spacing w:after="0" w:line="180" w:lineRule="exact"/>
        <w:rPr>
          <w:sz w:val="20"/>
          <w:szCs w:val="20"/>
          <w:color w:val="auto"/>
        </w:rPr>
      </w:pPr>
    </w:p>
    <w:p>
      <w:pPr>
        <w:jc w:val="both"/>
        <w:ind w:left="540" w:firstLine="523"/>
        <w:spacing w:after="0" w:line="244" w:lineRule="auto"/>
        <w:rPr>
          <w:sz w:val="20"/>
          <w:szCs w:val="20"/>
          <w:color w:val="auto"/>
        </w:rPr>
      </w:pPr>
      <w:r>
        <w:rPr>
          <w:rFonts w:ascii="Times New Roman" w:cs="Times New Roman" w:eastAsia="Times New Roman" w:hAnsi="Times New Roman"/>
          <w:sz w:val="20"/>
          <w:szCs w:val="20"/>
          <w:color w:val="auto"/>
        </w:rPr>
        <w:t>(iv)      use commercially reasonable efforts to keep the Administrative Agent reasonably informed as to any material developments in relation to the Target Acquisition and promptly provide the Administrative Agent with such information as it may reasonably request in writing as to the status and progress of the Scheme or Offer (including, in the case of an Offer, the current level of acceptances, the implementation and exercise of the Squeeze-Out Rights and the dispatch of any Squeeze-Out Notices, if relevant), any regulatory and anti-trust clearances required in connection with the Target Acquisition and such other information as it may reasonably request regarding the status of the Target Acquisition subject to any confidentiality, regulatory or other restrictions relating to the supply of such information;</w:t>
      </w:r>
    </w:p>
    <w:p>
      <w:pPr>
        <w:spacing w:after="0" w:line="186"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(v)      deliver to the Administrative Agent copies of each Press Release, each Offer Document, each Scheme Document and all material legally binding agreements entered into by the TopCo Borrower in connection with an Offer or Scheme as soon as reasonably practicable prior to their issuance, in each case, except to the extent it is prohibited by law or regulation from doing so;</w:t>
      </w:r>
    </w:p>
    <w:p>
      <w:pPr>
        <w:spacing w:after="0" w:line="174"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(vi)      ensure that the terms and conditions contained in the Scheme Documents are consistent in all material respects with those set out in the Scheme Press Release other than any amendments that are not Materially Adverse Amendments;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440" w:top="265" w:right="439" w:bottom="1440" w:gutter="0" w:footer="0" w:header="0"/>
        </w:sectPr>
      </w:pPr>
    </w:p>
    <w:bookmarkStart w:id="131" w:name="page132"/>
    <w:bookmarkEnd w:id="131"/>
    <w:p>
      <w:pPr>
        <w:jc w:val="both"/>
        <w:ind w:left="540" w:right="20" w:firstLine="523"/>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      in the event that the TopCo Borrower has elected to convert the Scheme to an Offer, which election shall be promptly (and in any event within 5 Business Days) notified by the U.S. Borrower to the Administrative Agent by a written notice (“</w:t>
      </w:r>
      <w:r>
        <w:rPr>
          <w:rFonts w:ascii="Times New Roman" w:cs="Times New Roman" w:eastAsia="Times New Roman" w:hAnsi="Times New Roman"/>
          <w:sz w:val="20"/>
          <w:szCs w:val="20"/>
          <w:u w:val="single" w:color="auto"/>
          <w:color w:val="auto"/>
        </w:rPr>
        <w:t>Offer Conversion Notice</w:t>
      </w:r>
      <w:r>
        <w:rPr>
          <w:rFonts w:ascii="Times New Roman" w:cs="Times New Roman" w:eastAsia="Times New Roman" w:hAnsi="Times New Roman"/>
          <w:sz w:val="20"/>
          <w:szCs w:val="20"/>
          <w:color w:val="auto"/>
        </w:rPr>
        <w:t>”), except as consented to by the Administrative Agent in writing, ensure that the terms and conditions contained in the Offer Documents are consistent in all material respects with those set out in the Scheme Press Release or Scheme Circular (as applicable) other than (x) any changes which are required to reflect the change in legal form to an Offer, (y) the inclusion of the Acceptance Condition (which shall be no less than the Minimum Acceptance Level) or (z) any amendments that are not Materially Adverse Amendments;</w:t>
      </w:r>
    </w:p>
    <w:p>
      <w:pPr>
        <w:spacing w:after="0" w:line="186" w:lineRule="exact"/>
        <w:rPr>
          <w:sz w:val="20"/>
          <w:szCs w:val="20"/>
          <w:color w:val="auto"/>
        </w:rPr>
      </w:pPr>
    </w:p>
    <w:p>
      <w:pPr>
        <w:jc w:val="both"/>
        <w:ind w:left="540" w:firstLine="523"/>
        <w:spacing w:after="0" w:line="249" w:lineRule="auto"/>
        <w:rPr>
          <w:sz w:val="20"/>
          <w:szCs w:val="20"/>
          <w:color w:val="auto"/>
        </w:rPr>
      </w:pPr>
      <w:r>
        <w:rPr>
          <w:rFonts w:ascii="Times New Roman" w:cs="Times New Roman" w:eastAsia="Times New Roman" w:hAnsi="Times New Roman"/>
          <w:sz w:val="20"/>
          <w:szCs w:val="20"/>
          <w:color w:val="auto"/>
        </w:rPr>
        <w:t>(viii)      in the case of an Offer, following the Closing Date, should the TopCo Borrower become entitled to exercise its Squeeze-Out Rights, promptly ensure that Squeeze-Out Notices are delivered to the relevant holders of Target Shares, subsequently purchase such Target Shares as soon as reasonably practicable and comply with all of the applicable provisions of the Companies Act to enable it to exercise its Squeeze-Out Rights;</w:t>
      </w:r>
    </w:p>
    <w:p>
      <w:pPr>
        <w:spacing w:after="0" w:line="180" w:lineRule="exact"/>
        <w:rPr>
          <w:sz w:val="20"/>
          <w:szCs w:val="20"/>
          <w:color w:val="auto"/>
        </w:rPr>
      </w:pPr>
    </w:p>
    <w:p>
      <w:pPr>
        <w:jc w:val="both"/>
        <w:ind w:left="540" w:right="20" w:firstLine="523"/>
        <w:spacing w:after="0" w:line="246" w:lineRule="auto"/>
        <w:rPr>
          <w:sz w:val="20"/>
          <w:szCs w:val="20"/>
          <w:color w:val="auto"/>
        </w:rPr>
      </w:pPr>
      <w:r>
        <w:rPr>
          <w:rFonts w:ascii="Times New Roman" w:cs="Times New Roman" w:eastAsia="Times New Roman" w:hAnsi="Times New Roman"/>
          <w:sz w:val="20"/>
          <w:szCs w:val="20"/>
          <w:color w:val="auto"/>
        </w:rPr>
        <w:t>(ix)       not take any action, and procure that none of its Affiliates nor any person acting in concert with the TopCo Borrower (within the meaning of the Takeover Rules) takes any action, which would require the TopCo Borrower or any of its Restricted Subsidiaries to make a mandatory offer for the Target Shares in accordance with Rule 9 of the Takeover Rules or which would require a change to be made to the terms of the Scheme or the Offer (as the case may be), including pursuant to Rule 6 or Rule 11 of the Takeover Rules which change, if made voluntarily, would be a Materially Adverse Amendment;</w:t>
      </w:r>
    </w:p>
    <w:p>
      <w:pPr>
        <w:spacing w:after="0" w:line="1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(x)         in the case of an Offer, not declare the Offer unconditional unless the Minimum Acceptance Level is achieved; and</w:t>
      </w:r>
    </w:p>
    <w:p>
      <w:pPr>
        <w:spacing w:after="0" w:line="216" w:lineRule="exact"/>
        <w:rPr>
          <w:sz w:val="20"/>
          <w:szCs w:val="20"/>
          <w:color w:val="auto"/>
        </w:rPr>
      </w:pPr>
    </w:p>
    <w:p>
      <w:pPr>
        <w:jc w:val="both"/>
        <w:ind w:left="540" w:firstLine="523"/>
        <w:spacing w:after="0" w:line="246" w:lineRule="auto"/>
        <w:rPr>
          <w:sz w:val="20"/>
          <w:szCs w:val="20"/>
          <w:color w:val="auto"/>
        </w:rPr>
      </w:pPr>
      <w:r>
        <w:rPr>
          <w:rFonts w:ascii="Times New Roman" w:cs="Times New Roman" w:eastAsia="Times New Roman" w:hAnsi="Times New Roman"/>
          <w:sz w:val="20"/>
          <w:szCs w:val="20"/>
          <w:color w:val="auto"/>
        </w:rPr>
        <w:t>(xi)      subject always to the Companies Act, in the case of a Scheme, within 30 days after the Scheme Effective Date and, in the case of an Offer, as promptly as practicable after the date upon which the TopCo Borrower (directly or indirectly) owns Target Shares (excluding any shares held in treasury) which represent all Target Shares (excluding any shares held in treasury), procure that such action as is necessary is taken to apply for the cancellation of trading in the Target Shares on Nasdaq and to cause the Target to reregister as a private company under the Companies Act as soon as reasonably practicable thereafter.</w:t>
      </w:r>
    </w:p>
    <w:p>
      <w:pPr>
        <w:spacing w:after="0" w:line="185" w:lineRule="exact"/>
        <w:rPr>
          <w:sz w:val="20"/>
          <w:szCs w:val="20"/>
          <w:color w:val="auto"/>
        </w:rPr>
      </w:pPr>
    </w:p>
    <w:p>
      <w:pPr>
        <w:ind w:right="20" w:firstLine="551"/>
        <w:spacing w:after="0" w:line="269" w:lineRule="auto"/>
        <w:rPr>
          <w:sz w:val="20"/>
          <w:szCs w:val="20"/>
          <w:color w:val="auto"/>
        </w:rPr>
      </w:pPr>
      <w:r>
        <w:rPr>
          <w:rFonts w:ascii="Times New Roman" w:cs="Times New Roman" w:eastAsia="Times New Roman" w:hAnsi="Times New Roman"/>
          <w:sz w:val="20"/>
          <w:szCs w:val="20"/>
          <w:color w:val="auto"/>
        </w:rPr>
        <w:t>(b)      Except as consented to by the Administrative Agent in writing (such consent not to be unreasonably withheld, conditioned or delayed), each of the Borrowers hereby covenants and agrees that it will:</w:t>
      </w:r>
    </w:p>
    <w:p>
      <w:pPr>
        <w:spacing w:after="0" w:line="159" w:lineRule="exact"/>
        <w:rPr>
          <w:sz w:val="20"/>
          <w:szCs w:val="20"/>
          <w:color w:val="auto"/>
        </w:rPr>
      </w:pPr>
    </w:p>
    <w:p>
      <w:pPr>
        <w:jc w:val="both"/>
        <w:ind w:left="540" w:right="20" w:firstLine="523"/>
        <w:spacing w:after="0" w:line="246" w:lineRule="auto"/>
        <w:rPr>
          <w:sz w:val="20"/>
          <w:szCs w:val="20"/>
          <w:color w:val="auto"/>
        </w:rPr>
      </w:pPr>
      <w:r>
        <w:rPr>
          <w:rFonts w:ascii="Times New Roman" w:cs="Times New Roman" w:eastAsia="Times New Roman" w:hAnsi="Times New Roman"/>
          <w:sz w:val="20"/>
          <w:szCs w:val="20"/>
          <w:color w:val="auto"/>
        </w:rPr>
        <w:t>(i)      not amend, treat as satisfied or waive (i) any material term or condition of the Scheme Documents or, as the case may be, the Offer Documents (including, without limitation, the Acceptance Condition) in each case, to the extent such amendment or waiver would reasonably be expected to be materially prejudicial to the interests of the Lenders (taken as a whole), or (ii) if the Target Acquisition is proceeding as an Offer, the Acceptance Condition if the effect of such amendment, treatment or waiver would be that the Acceptance Condition would be capable of being satisfied at a level less than the Minimum Acceptance Level;</w:t>
      </w:r>
    </w:p>
    <w:p>
      <w:pPr>
        <w:spacing w:after="0" w:line="185" w:lineRule="exact"/>
        <w:rPr>
          <w:sz w:val="20"/>
          <w:szCs w:val="20"/>
          <w:color w:val="auto"/>
        </w:rPr>
      </w:pPr>
    </w:p>
    <w:p>
      <w:pPr>
        <w:ind w:left="5380" w:right="580" w:hanging="4302"/>
        <w:spacing w:after="0" w:line="403" w:lineRule="auto"/>
        <w:rPr>
          <w:sz w:val="20"/>
          <w:szCs w:val="20"/>
          <w:color w:val="auto"/>
        </w:rPr>
      </w:pPr>
      <w:r>
        <w:rPr>
          <w:rFonts w:ascii="Times New Roman" w:cs="Times New Roman" w:eastAsia="Times New Roman" w:hAnsi="Times New Roman"/>
          <w:sz w:val="20"/>
          <w:szCs w:val="20"/>
          <w:color w:val="auto"/>
        </w:rPr>
        <w:t xml:space="preserve">(ii)      notify the Administrative Agent promptly following the occurrence of any Mandatory Cancellation Event; and </w:t>
      </w:r>
      <w:r>
        <w:rPr>
          <w:rFonts w:ascii="Times New Roman" w:cs="Times New Roman" w:eastAsia="Times New Roman" w:hAnsi="Times New Roman"/>
          <w:sz w:val="17"/>
          <w:szCs w:val="17"/>
          <w:color w:val="auto"/>
        </w:rPr>
        <w:t>119</w:t>
      </w:r>
    </w:p>
    <w:p>
      <w:pPr>
        <w:sectPr>
          <w:pgSz w:w="11900" w:h="16838" w:orient="portrait"/>
          <w:cols w:equalWidth="0" w:num="1">
            <w:col w:w="11020"/>
          </w:cols>
          <w:pgMar w:left="440" w:top="265" w:right="439" w:bottom="1440" w:gutter="0" w:footer="0" w:header="0"/>
        </w:sectPr>
      </w:pPr>
    </w:p>
    <w:bookmarkStart w:id="132" w:name="page133"/>
    <w:bookmarkEnd w:id="132"/>
    <w:p>
      <w:pPr>
        <w:jc w:val="both"/>
        <w:ind w:left="540" w:firstLine="523"/>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agree with the Administrative Agent the content of, and will deliver to the Administrative Agent copies of, all publicity material, press releases and announcements intended to be published to the extent relating to or describing the Lenders or the Loans (other than the Scheme Documents or the Offer Documents) as soon as practicable prior to their publication, unless otherwise required by the Irish Takeover Rules, the Panel, any regulation, any applicable stock exchange, any applicable government or other regulatory authority and shall not publish any such other publicity material, press releases or announcements relating to the Lenders or the Loans without the prior written consent of the Administrative Agent (not to be unreasonably withheld).</w:t>
      </w:r>
    </w:p>
    <w:p>
      <w:pPr>
        <w:spacing w:after="0" w:line="18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Centre of main interests and establishment</w:t>
      </w:r>
      <w:r>
        <w:rPr>
          <w:rFonts w:ascii="Times New Roman" w:cs="Times New Roman" w:eastAsia="Times New Roman" w:hAnsi="Times New Roman"/>
          <w:sz w:val="20"/>
          <w:szCs w:val="20"/>
          <w:color w:val="auto"/>
        </w:rPr>
        <w:t>. The TopCo Borrower and each Irish Subsidiary shall ensure that its centre of main interest (as that term is used in Article 3(1) of the Regulation) is situated in Ireland and it has no “establishment” (as that term is used in Article 2(10) of the Regulation) in any other jurisdiction.</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The U.S. Borrower may at any time designate any Restricted Subsidiary of the TopCo Borrower (other than the U.S. Borrower and any direct or indirect parent of the U.S. Borrower) as an Unrestricted Subsidiary or any Unrestricted Subsidiary as a Restricted Subsidiary by delivering to the Administrative Agent a certificate of a Responsible Officer of the U.S. Borrower specifying such designation and certifying that the following conditions to such designation are satisfied:</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(a)      both immediately before and immediately after any such designation, no Event of Default shall have occurred and be continuing or would result therefrom;</w:t>
      </w:r>
    </w:p>
    <w:p>
      <w:pPr>
        <w:spacing w:after="0" w:line="155"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color w:val="auto"/>
        </w:rPr>
        <w:t xml:space="preserve">(b)      if any Initial Tranche A Term Loans are outstanding at such time, the TopCo Borrower shall be in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compliance with the Financial Covenants, recomputed as of the last day of the applicable Test Period;</w:t>
      </w:r>
    </w:p>
    <w:p>
      <w:pPr>
        <w:spacing w:after="0" w:line="15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(c)      in the case of a designation of a Restricted Subsidiary as an Unrestricted Subsidiary, such Subsidiary being designated shall also concurrently with such designation and thereafter, constitute an “unrestricted subsidiary” under any Material Indebtedness issued or incurred on or after the Closing Date;</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in the case of a designation of a Restricted Subsidiary as an Unrestricted Subsidiary, such Subsidiary was not previously designated as an Unrestricted Subsidiary and thereafter redesignated as a Restricted Subsidiary;</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(e)      in the case of a designation of a Restricted Subsidiary as an Unrestricted Subsidiary, each Subsidiary of such Subsidiary has been, or concurrently therewith will be, designated as an Unrestricted Subsidiary in accordance with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(f)      in no event shall any Restricted Subsidiary be designated an Unrestricted Subsidiary if such Restricted Subsidiary or any subsidiary of such Restricted Subsidiary owns or exclusively licenses any Intellectual Property that is material to the business of the TopCo Borrower and its Restricted Subsidiaries taken as a whole (excluding such Restricted Subsidiary).</w:t>
      </w:r>
    </w:p>
    <w:p>
      <w:pPr>
        <w:spacing w:after="0" w:line="174"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The designation of any Restricted Subsidiary as an Unrestricted Subsidiary shall constitute an Investment by the TopCo Borrower in such Subsidiary on the date of designation in an amount equal to the fair market value of the TopCo Borrower or its Restricted Subsidiary’s (as applicable) Investment therein (as reasonably determined by a Responsible Officer of the U.S. Borrower). The designation of any Unrestricted Subsidiary as a Restricted Subsidiary shall constitute (i) an incurrence at the time of designation of any Investment, Indebtedness and/or Liens on the assets of such Subsidiary existing at such time and (ii) a return on any Investment by the applicable Loan Party or Restricted Subsidiary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20"/>
          </w:cols>
          <w:pgMar w:left="440" w:top="265" w:right="439" w:bottom="1440" w:gutter="0" w:footer="0" w:header="0"/>
        </w:sectPr>
      </w:pPr>
    </w:p>
    <w:bookmarkStart w:id="133" w:name="page134"/>
    <w:bookmarkEnd w:id="13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Unrestricted Subsidiaries pursuant to the previous sentence in an amount equal to the fair market value at the date of such designation of such Loan Party or Restricted Subsidiary’s Investment in such Subsidiary.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Commencing on the Closing Date, until the Commitments have expired or terminated and the principal of and interest on each Loan and all fees due and payable hereunder have been paid in full (other than Unliquidated Obligations and Obligations expressly stated to survive such payment and termination), each Borrower covenants and agrees with the Lenders that:</w:t>
      </w:r>
    </w:p>
    <w:p>
      <w:pPr>
        <w:spacing w:after="0" w:line="174"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Each Borrower will not, and will not permit any Restricted Subsidiary to, create, incur, assume or permit to exist any Indebtedness, except: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the Secured Obligations;</w:t>
      </w:r>
    </w:p>
    <w:p>
      <w:pPr>
        <w:spacing w:after="0" w:line="216"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(b)    Indebtedness existing on the Closing Date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amendments, modifications, extensions, refinancings, renewals and replacements of any such Indebtedness that does not increase the outstanding principal amount thereof (other than with respect to unpaid accrued interest and premiums thereon, any committed or undrawn amounts and underwriting discounts, fees, commissions, premiums and expenses associated with such Indebtedness);</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(c)    Indebtedness of the TopCo Borrower to any Restricted Subsidiary and of any Restricted Subsidiary to the TopCo Borrower or any 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Indebtedness of any Restricted Subsidiary that is not a Loan Party to any Loan Party shall be subject to the limitations set forth in </w:t>
      </w:r>
      <w:r>
        <w:rPr>
          <w:rFonts w:ascii="Times New Roman" w:cs="Times New Roman" w:eastAsia="Times New Roman" w:hAnsi="Times New Roman"/>
          <w:sz w:val="20"/>
          <w:szCs w:val="20"/>
          <w:u w:val="single" w:color="auto"/>
          <w:color w:val="auto"/>
        </w:rPr>
        <w:t>Section 6.05(d)</w:t>
      </w:r>
      <w:r>
        <w:rPr>
          <w:rFonts w:ascii="Times New Roman" w:cs="Times New Roman" w:eastAsia="Times New Roman" w:hAnsi="Times New Roman"/>
          <w:sz w:val="20"/>
          <w:szCs w:val="20"/>
          <w:color w:val="auto"/>
        </w:rPr>
        <w:t xml:space="preserve"> and (ii) Indebtedness of any Loan Party to any Restricted Subsidiary that is not a Loan Party shall be subordinated to the Secured Obligations on terms reasonably satisfactory to the Administrative Agent;</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Guarantees by the TopCo Borrower of Indebtedness or other obligations of any Restricted Subsidiary and by any Restricted Subsidiary of Indebtedness or other obligations of the TopCo Borrower or any other Restricted Subsidiary;</w:t>
      </w:r>
    </w:p>
    <w:p>
      <w:pPr>
        <w:spacing w:after="0" w:line="159"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(e)    Indebtedness of the TopCo Borrower or any Restricted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permitted by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not exceed the greater of $84,200,000 and 20.0% of Consolidated EBITDA for the most recently ended Test Period at any time outstanding;</w:t>
      </w:r>
    </w:p>
    <w:p>
      <w:pPr>
        <w:spacing w:after="0" w:line="184"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(f)    Indebtedness of any Person that becomes a Restricted Subsidiary of the TopCo Borrower after the Closing Date in a transaction permitted by this Agreement (or of any Person not previously a Restricted Subsidiary that is merged or consolidated with or into the TopCo Borrower or a Restricted Subsidiary in a transaction permitted hereunder) or Indebtedness of any Person that is assumed by the TopCo Borrower or any Restricted Subsidiary in connection with an Acquisition or other acquisition of any property or assets permitted hereunder, which Indebtedness is existing at the time such Person becomes a Restricted Subsidiary (or is so merged or consolidated) or such assets are acquired and is not created in contemplation of or in connection with such Person becoming a Restricted Subsidiary (or such merger or consolidation) or such assets being acquired, and amendments, modifications, extensions, refinancings,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440" w:top="265" w:right="439" w:bottom="1440" w:gutter="0" w:footer="0" w:header="0"/>
        </w:sectPr>
      </w:pPr>
    </w:p>
    <w:bookmarkStart w:id="134" w:name="page135"/>
    <w:bookmarkEnd w:id="134"/>
    <w:p>
      <w:pPr>
        <w:jc w:val="both"/>
        <w:spacing w:after="0" w:line="25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renewals and replacements of any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TopCo Borrower is in compliance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with the applicable ratio set forth in the Incremental Ratio Basket based on whether such Indebtedness is secured by Liens on assets that do not constitute Collateral or unsecured, as of the last day of the most recently ended Test Period;</w:t>
      </w:r>
    </w:p>
    <w:p>
      <w:pPr>
        <w:spacing w:after="0" w:line="173"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(g)    customer advances or deposits or other endorsements for collection, deposit or negotiation and warranties of products or services, in each case received or incurred in the ordinary course of business;</w:t>
      </w:r>
    </w:p>
    <w:p>
      <w:pPr>
        <w:spacing w:after="0" w:line="159"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(h)    Indebtedness of the TopCo Borrower or any Restricted Subsidiary as an account party in respect of standby letters of credit, bankers’ acceptances, bank guarantees, surety bonds and similar instruments;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principal amount of Indebtedness permitted by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shall not exceed the greater of $42,100,000 and 10.0% of Consolidated EBITDA for the most recently ended Test Period at any time outstanding;</w:t>
      </w:r>
    </w:p>
    <w:p>
      <w:pPr>
        <w:spacing w:after="0" w:line="180"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(i)     Indebtedness incurred by Restricted Subsidiaries that are not Loan Parties not to exceed the greater of $105,250,000 and 25.0% of Consolidated EBITDA for the most recently ended Test Period at any time outstanding and guarantees of such Indebtedness;</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(j)     unfunded pension fund and other employee benefit plan obligations and liabilities to the extent they are permitted to remain unfunded under applicable law;</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(k)     Indebtedness representing deferred compensation to employees, directors, officers and consultants incurred in the ordinary course of business;</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(l)     indemnification obligations, earnout, royalty, milestone or similar obligations, or Guarantees, surety bonds or performance bonds securing the performance of the TopCo Borrower or any of its Restricted Subsidiaries, in each case incurred or assumed in connection with a Permitted Acquisition or a disposition or other acquisition of assets permitted hereunder;</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(m)    Indebtedness of the TopCo Borrower or any of its Restricted Subsidiaries in respect of performance bonds, bid bonds, appeal bonds, indemnity bonds, surety bonds, completion guarantees and similar obligations, in each case provided in the ordinary course of business, including guarantees or obligations with respect to letters of credit supporting such performance bonds, bid bonds, appeal bonds, indemnity bonds, surety bonds, completion guarantees and similar obligations;</w:t>
      </w:r>
    </w:p>
    <w:p>
      <w:pPr>
        <w:spacing w:after="0" w:line="180" w:lineRule="exact"/>
        <w:rPr>
          <w:sz w:val="20"/>
          <w:szCs w:val="20"/>
          <w:color w:val="auto"/>
        </w:rPr>
      </w:pPr>
    </w:p>
    <w:p>
      <w:pPr>
        <w:jc w:val="both"/>
        <w:ind w:firstLine="551"/>
        <w:spacing w:after="0" w:line="274" w:lineRule="auto"/>
        <w:rPr>
          <w:sz w:val="20"/>
          <w:szCs w:val="20"/>
          <w:color w:val="auto"/>
        </w:rPr>
      </w:pPr>
      <w:r>
        <w:rPr>
          <w:rFonts w:ascii="Times New Roman" w:cs="Times New Roman" w:eastAsia="Times New Roman" w:hAnsi="Times New Roman"/>
          <w:sz w:val="19"/>
          <w:szCs w:val="19"/>
          <w:color w:val="auto"/>
        </w:rPr>
        <w:t>(n)     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     Indebtedness in respect to judgments or awards under circumstances not giving rise to an Event of Default;</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(p)     Indebtedness in respect of obligations that are being contested in accordance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(q)    Indebtedness consisting of (i) deferred payments or financing of insurance premiums incurred in the ordinary course of business of the TopCo Borrower or any of its Restricted Subsidiaries and (ii) take or pay obligations contained in any supply agreement entered into in the ordinary course of business;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440" w:top="261" w:right="439" w:bottom="1440" w:gutter="0" w:footer="0" w:header="0"/>
        </w:sectPr>
      </w:pPr>
    </w:p>
    <w:bookmarkStart w:id="135" w:name="page136"/>
    <w:bookmarkEnd w:id="135"/>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     Indebtedness expressly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(s)    Indebtedness representing deferred compensation, severance, pension, and health and welfare retirement benefits or the equivalent to current and former employees of the TopCo Borrower and its Restricted Subsidiaries incurred in the ordinary course of business or existing on the Closing Date (including Indebtedness of the Target Group that was not created in contemplation of or in connection with the Target Acquisition);</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      Incremental Equivalent Debt and any Permitted Refinancing Indebtedness in respect thereof;</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(u)     [reserved];</w:t>
      </w:r>
    </w:p>
    <w:p>
      <w:pPr>
        <w:spacing w:after="0" w:line="21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 xml:space="preserve">(v)    (i) Permitted Convertible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both immediately prior to and immediately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the Total Net Leverage Ratio does not exceed 4.75 to 1.00 and (ii) any Permitted Refinancing Indebtedness in respect thereof that satisfies clauses (i), (ii), (iii) and (v) of the definition of “Permitted Convertible Debt”;</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     Indebtedness of the TopCo Borrower or any Restricted Subsidiary as an account party in respect of trade letters of credit;</w:t>
      </w:r>
    </w:p>
    <w:p>
      <w:pPr>
        <w:spacing w:after="0" w:line="21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(x)     to the extent constituting Indebtedness, obligations of the TopCo Borrower or any of its Restricted Subsidiaries in respect of deferred compensation, indemnification, earn-outs, milestone payments, adjustment of purchase or other similar arrangements incurred by such Person in connection with Permitted Acquisitions;</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(y)     guarantees incurred in the ordinary course of business in respect of obligations to suppliers, customers, franchisees, lessors, licensees, sub-licensees and distribution partners;</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(z)     Indebtedness incurred in connection with corporate credit cards not to exceed the greater of $8,420,000 and 2.0% of Consolidated EBITDA for the most recently ended Test Period at any time outstanding;</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(aa)    automobile leases in an aggregate principal amount not to exceed greater of $8,420,000 and 2.0% of Consolidated EBITDA for the most recently ended Test Period at any time outstanding;</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(bb)    Indebtedness incurred by the TopCo Borrower and its Restricted Subsidiaries in connection with bankers’ acceptances, discounted bills of exchange, warehouse receipts or similar facilities or the discounting or factoring of receivables for credit management purposes, in each case incurred or undertaken in the ordinary course of business;</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(cc)    customer deposits and advance payments received in the ordinary course of business from customers for goods purchased in the ordinary course of business; and</w:t>
      </w:r>
    </w:p>
    <w:p>
      <w:pPr>
        <w:spacing w:after="0" w:line="159"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(dd)    other Indebtedness in an aggregate outstanding principal amount not exceeding the greater of $105,250,000 and 25.0% of Consolidated EBITDA for the most recently ended Test Period.</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 Indebtedness need not be incurred solely by reference to one category described in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but is permitted to be incurred in part under any combination thereof and (B) in the event that an item of Indebtedness meets the criteria of more than one of the categories of Indebtedness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(dd)</w:t>
      </w:r>
      <w:r>
        <w:rPr>
          <w:rFonts w:ascii="Times New Roman" w:cs="Times New Roman" w:eastAsia="Times New Roman" w:hAnsi="Times New Roman"/>
          <w:sz w:val="20"/>
          <w:szCs w:val="20"/>
          <w:color w:val="auto"/>
        </w:rPr>
        <w:t xml:space="preserve"> above, the Borrowers may,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440" w:top="265" w:right="439" w:bottom="1440" w:gutter="0" w:footer="0" w:header="0"/>
        </w:sectPr>
      </w:pPr>
    </w:p>
    <w:bookmarkStart w:id="136" w:name="page137"/>
    <w:bookmarkEnd w:id="136"/>
    <w:p>
      <w:pPr>
        <w:jc w:val="both"/>
        <w:ind w:left="4"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their sole discretion, divide or classify or later divide, classify or reclassify all or a portion of such item of Indebtedness in a manner that complies with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will only be required to include the amount and type of such Indebtedness (or any portion thereof) in one or more of the above clauses;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Indebtedness outstanding under the Loan Documents will at all times be deemed to be outstanding in reliance only on the exception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Each Borrower will not and will not permit any Restricted Subsidiary to, create, incur, assume or permit to exist any Lien on any property or asset (other than Unrestricted Margin Stock) now owned or hereafter acquired by it, except:</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(a)    Liens created pursuant to any Loan Document including with respect to any obligation to provide cash collateral in respect thereof;</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(b)     Permitted Encumbrances;</w:t>
      </w:r>
    </w:p>
    <w:p>
      <w:pPr>
        <w:spacing w:after="0" w:line="216" w:lineRule="exact"/>
        <w:rPr>
          <w:sz w:val="20"/>
          <w:szCs w:val="20"/>
          <w:color w:val="auto"/>
        </w:rPr>
      </w:pPr>
    </w:p>
    <w:p>
      <w:pPr>
        <w:jc w:val="both"/>
        <w:ind w:left="4" w:right="20" w:firstLine="551"/>
        <w:spacing w:after="0" w:line="250" w:lineRule="auto"/>
        <w:rPr>
          <w:sz w:val="20"/>
          <w:szCs w:val="20"/>
          <w:color w:val="auto"/>
        </w:rPr>
      </w:pPr>
      <w:r>
        <w:rPr>
          <w:rFonts w:ascii="Times New Roman" w:cs="Times New Roman" w:eastAsia="Times New Roman" w:hAnsi="Times New Roman"/>
          <w:sz w:val="20"/>
          <w:szCs w:val="20"/>
          <w:color w:val="auto"/>
        </w:rPr>
        <w:t xml:space="preserve">(c)    any Lien on any property or asset of the TopCo Borrower or any Restricted Subsidiary existing on the Closing Date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and any amendments, modifications, extensions, renewals, refinancings and replacements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 w:lineRule="exact"/>
        <w:rPr>
          <w:sz w:val="20"/>
          <w:szCs w:val="20"/>
          <w:color w:val="auto"/>
        </w:rPr>
      </w:pPr>
    </w:p>
    <w:p>
      <w:pPr>
        <w:jc w:val="both"/>
        <w:ind w:left="4" w:hanging="4"/>
        <w:spacing w:after="0" w:line="241" w:lineRule="auto"/>
        <w:tabs>
          <w:tab w:leader="none" w:pos="24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Lien shall not apply to any other property or asset of the TopCo Borrower or any Restricted Subsidiary other than improvements thereon and proceeds from the disposition of such property or asset and (ii) the amount secured or benefited thereby is not increased (other than as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amendments, modifications, extensions, refinancings, renewals and replacements thereof that do not increase the outstanding principal amount thereof (other than as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0"/>
          <w:szCs w:val="20"/>
          <w:color w:val="auto"/>
        </w:rPr>
        <w:t xml:space="preserve">(d)    any Lien existing on any property or asset prior to the acquisition thereof by the TopCo Borrower or any Restricted Subsidiary or existing on any property or asset of any Person that becomes a Restricted Subsidiary after the Closing Date prior to the time such Person becomes a Restricted Subsidiary and any amendments, modifications, extensions, renewals and replacements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Restricted Subsidiary, as the case may be, (ii) such Lien shall not apply to any other property or assets of the TopCo Borrower or any Restricted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 acquired property) and (iii) such Lien shall secure only those obligations which it secures on the date of such acquisition or the date such Person becomes a Restricted Subsidiary, as the case may be, and amendments, modifications, extensions, refinancings, renewals and replacements thereof that do not increase the outstanding principal amount thereof (other than as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(e)    Liens on fixed or capital assets (including capital leases) acquired (including as a replacement), constructed, repaired, leased or improved by the TopCo Borrower or any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or Capital Lease Obligations permitted by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(ii) such Liens and the Indebtedness secured thereby are incurred prior to or within 180 days after such acquisition or lease or the completion of such construction, replacement, repair or improvement (other than with respect to amendments, modifications, extensions, refinancings, renewals and replacements thereof) and (iii) such Liens shall not apply to any other property or assets of the TopCo Borrower or any Restricted Subsidiary other than improvements thereon, replacements and products thereof, additions and accessions thereto or proceeds from the disposition of such property or assets and customary security deposits;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individual financings of equipment provided by one lender (or a syndicate of lenders) may be cross-collateralized to other financings of equipment provided by such lender (or syndicate);</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4"/>
          </w:cols>
          <w:pgMar w:left="436" w:top="265" w:right="439" w:bottom="1440" w:gutter="0" w:footer="0" w:header="0"/>
        </w:sectPr>
      </w:pPr>
    </w:p>
    <w:bookmarkStart w:id="137" w:name="page138"/>
    <w:bookmarkEnd w:id="137"/>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Liens granted by a Restricted Subsidiary that is not a Loan Party in favor of any Borrower or another Loan Party in respect of Indebtedness owed by such Restricted Subsidiary to such Borrower or such other Loan Party;</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(g)    Liens arising out of any conditional sale, title retention, consignment or other similar arrangements for the sale of goods entered into by the TopCo Borrower or any of its Restricted Subsidiaries the ordinary course of business;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(h)     Liens securing Indebtedness permitted hereunder to finance insurance premiums solely to the extent of such premiums;</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(i)    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(j)    Liens in favor of customs and revenue authorities arising as a matter of law to secure payment of customs duties in connection with the importation of goods in the ordinary course of business;</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(k)    Liens on any cash earnest money deposits made by the TopCo Borrower or any of its Restricted Subsidiaries in connection with any Acquisition permitted by this Agreement, including, without limitation, in connection with any letter of intent or purchase agreement relating thereto;</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(l)     in connection with the sale or transfer of any assets in a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customary rights and restrictions contained in agreements relating to such sale or transfer pending the completion thereof;</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(m)    Liens in the nature of the right of setoff in favor of counterparties to contractual agreements with the Loan Parties (i) in the ordinary course of business or (ii) otherwise permitted hereunder other than in connection with Indebtedness;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(n)     dispositions and other sales of assets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(o)    to the extent constituting a Lien, Liens with respect to repurchase obligations of the type described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“Cash Equivalents”;</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(p)    Liens (i) in favor of a credit card or debit card processor arising in the ordinary course of business under any processor agreement and relating solely to the amounts paid or payable thereunder, or (ii) customary deposits on reserve held by such credit card or debit card processor;</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(q)    Liens that are contractual rights of set-off (i) relating to the establishment of depositary relations with banks or other financial institutions not given in connection with the issuance of Indebtedness, or (ii) relating to pooled deposit or sweep accounts of any Loan Party or any Restricted Subsidiary to permit satisfaction of overdraft or similar obligations incurred in the ordinary course of business of the any such Loan Party or Restricted Subsidiary;</w:t>
      </w:r>
    </w:p>
    <w:p>
      <w:pPr>
        <w:spacing w:after="0" w:line="180"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(r)    Liens of sellers of goods to any Loan Party and any of their respective Restricted Subsidiaries arising under Article 2 of the UCC or similar provisions of applicable law in the ordinary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0"/>
          </w:cols>
          <w:pgMar w:left="440" w:top="26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course of business, covering only the goods sold and securing only the unpaid purchase price for such goods and related expenses;</w:t>
      </w:r>
    </w:p>
    <w:p>
      <w:pPr>
        <w:spacing w:after="0" w:line="216"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(s)    Liens (i) on the Collateral securing Incremental Equivalent Debt and any Permitted Refinancing Indebtedness in respect thereof incurred by Loan Parties and (ii) Liens on the assets of Restricted Subsidiaries that are not Loan Parties securing Incremental Equivalent Debt of Restricted Subsidiaries that are not Loan Parties and any Permitted Refinancing Indebtedness in respect thereof incurred by Restricted Subsidiaries that are not Loan Parties;</w:t>
      </w:r>
    </w:p>
    <w:p>
      <w:pPr>
        <w:spacing w:after="0" w:line="180"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(t)    Liens on Receivables Purchase Assets existing or deemed to exist in connection with any Receivables Purchase Transaction, so long as the aggregate outstanding principal amount of the Indebtedness and other obligations subject to such Liens does not at any time outstanding exceed the greater of $84,200,000 and 20% of Consolidated EBITDA for the most recently ended Test Period;</w:t>
      </w:r>
    </w:p>
    <w:p>
      <w:pPr>
        <w:spacing w:after="0" w:line="17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(u)    Liens on assets of the TopCo Borrower and its Restricted Subsidiaries not otherwise permitted above so long as the aggregate outstanding principal amount of the Indebtedness and other obligations subject to such Liens does not at any time outstanding exceed the greater of $105,250,000 and 25.0% of Consolidated EBITDA for the most recently ended Test Period;</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(v)     [reserved];</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    Liens on specific items of inventory or other goods and proceeds of the TopCo Borrower or a Restricted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(x)    Liens arising from, or from UCC financing statement filings regarding, operating leases or consignments entered into by the TopCo Borrower or any Restricted Subsidiaries in the ordinary course of business;</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(y)    deposits made or other security provided in the ordinary course of business to secure liability to insurance carriers or under self-insurance arrangements in respect of such obligations;</w:t>
      </w:r>
    </w:p>
    <w:p>
      <w:pPr>
        <w:spacing w:after="0" w:line="159"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(z)    Liens (i) of a collection bank arising under Section 4-210 of the UCC,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85"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(aa)   any Liens with respect to Equity Interests of any joint venture, co-promotion agreement or similar arrangement pursuant to any joint venture, co-promotion or similar agreement;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(bb)    Liens on insurance policies and the proceeds thereof securing the financing of the premiums with respect thereto;</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(cc)   Liens on any real property that constitutes Excluded Real Property and any condemnation or eminent domain proceedings affecting any real property;</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(dd)    Liens listed as exceptions on any mortgage insurance policy;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0"/>
          </w:cols>
          <w:pgMar w:left="440" w:top="265" w:right="439" w:bottom="1440" w:gutter="0" w:footer="0" w:header="0"/>
        </w:sectPr>
      </w:pPr>
    </w:p>
    <w:bookmarkStart w:id="139" w:name="page140"/>
    <w:bookmarkEnd w:id="139"/>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(ee)     [reserved];</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(ff)      Liens on cash deposits for obligations of landlord and sublandlords;</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(gg)    Liens on assets of Restricted Subsidiaries that are not Loan Parties securing Indebtedness permitted pursuant to clause (i)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(hh)     Liens securing Indebtedness permitted pursuant to any of </w:t>
      </w:r>
      <w:r>
        <w:rPr>
          <w:rFonts w:ascii="Times New Roman" w:cs="Times New Roman" w:eastAsia="Times New Roman" w:hAnsi="Times New Roman"/>
          <w:sz w:val="20"/>
          <w:szCs w:val="20"/>
          <w:u w:val="single" w:color="auto"/>
          <w:color w:val="auto"/>
        </w:rPr>
        <w:t>clauses (h)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 a Lien need not be incurred solely by reference to one category described in this Section 6.02, but is permitted to be incurred in part under any combination thereof and (B) in the event that a Lien securing an item of Indebtedness or other obligation (or any portion thereof) meets the criteria for more than one of the categories of Liens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(hh)</w:t>
      </w:r>
      <w:r>
        <w:rPr>
          <w:rFonts w:ascii="Times New Roman" w:cs="Times New Roman" w:eastAsia="Times New Roman" w:hAnsi="Times New Roman"/>
          <w:sz w:val="20"/>
          <w:szCs w:val="20"/>
          <w:color w:val="auto"/>
        </w:rPr>
        <w:t xml:space="preserve"> above, the Borrowers may, in their sole discretion, divide or classify or later divide, classify or reclassify all or a portion of such Lien in a manner that complies with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will only be required to include the amount and type of such Lien in one or more of the above clauses;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Liens securing Indebtedness outstanding under the Loan Documents will at all times be deemed to be outstanding in reliance only on the exception in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(a) Each Borrower will not and will not permit any Restricted Subsidiary to, merge into or consolidate with any other Person, or permit any other Person to merge into or consolidate with it, or otherwise Dispose of all or substantially all of its assets (other than Unrestricted Margin Stock), or all or substantially all of the Equity Interests (other than Unrestricted Margin Stock) of any of its Restricted Subsidiaries (in each case, whether now owned or hereafter acquired), or liquidate or dissolve, except that, if at the time thereof and immediately after giving effect thereto no Default shall have occurred and be continuing:</w:t>
      </w:r>
    </w:p>
    <w:p>
      <w:pPr>
        <w:spacing w:after="0" w:line="185" w:lineRule="exact"/>
        <w:rPr>
          <w:sz w:val="20"/>
          <w:szCs w:val="20"/>
          <w:color w:val="auto"/>
        </w:rPr>
      </w:pPr>
    </w:p>
    <w:p>
      <w:pPr>
        <w:jc w:val="both"/>
        <w:ind w:left="540" w:right="20" w:firstLine="523"/>
        <w:spacing w:after="0" w:line="246" w:lineRule="auto"/>
        <w:rPr>
          <w:sz w:val="20"/>
          <w:szCs w:val="20"/>
          <w:color w:val="auto"/>
        </w:rPr>
      </w:pPr>
      <w:r>
        <w:rPr>
          <w:rFonts w:ascii="Times New Roman" w:cs="Times New Roman" w:eastAsia="Times New Roman" w:hAnsi="Times New Roman"/>
          <w:sz w:val="20"/>
          <w:szCs w:val="20"/>
          <w:color w:val="auto"/>
        </w:rPr>
        <w:t xml:space="preserve">(i)    any Person (other than the TopCo Borrower or any of its Restricted Subsidiaries) may merge or consolidate with the TopCo Borrower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the TopCo Borrower must result in the TopCo Borrower as the surviving entity, (B) the U.S. Borrower must result in the U.S. Borrower as the surviving entity, (C) the U.S. Co-Borrower must result in the U.S. Co-Borrower as the surviving entity and (D) a Subsidiary Guarantor must result in such Subsidiary Guarantor as the surviving entity;</w:t>
      </w:r>
    </w:p>
    <w:p>
      <w:pPr>
        <w:spacing w:after="0" w:line="185" w:lineRule="exact"/>
        <w:rPr>
          <w:sz w:val="20"/>
          <w:szCs w:val="20"/>
          <w:color w:val="auto"/>
        </w:rPr>
      </w:pPr>
    </w:p>
    <w:p>
      <w:pPr>
        <w:jc w:val="both"/>
        <w:ind w:left="540" w:firstLine="523"/>
        <w:spacing w:after="0" w:line="245" w:lineRule="auto"/>
        <w:rPr>
          <w:sz w:val="20"/>
          <w:szCs w:val="20"/>
          <w:color w:val="auto"/>
        </w:rPr>
      </w:pPr>
      <w:r>
        <w:rPr>
          <w:rFonts w:ascii="Times New Roman" w:cs="Times New Roman" w:eastAsia="Times New Roman" w:hAnsi="Times New Roman"/>
          <w:sz w:val="20"/>
          <w:szCs w:val="20"/>
          <w:color w:val="auto"/>
        </w:rPr>
        <w:t>(ii)    any Subsidiary may merge into or consolidate with a Loan Party in a transaction in which the surviving entity is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the TopCo Borrower must result in the TopCo Borrower as the surviving entity, any such merger involving the U.S. Borrower must result in the U.S. Borrower as the surviving entity, any such merger involving the U.S. Co-Borrower must result in the U.S. Co-Borrower as the surviving entity and any such merger involving a Subsidiary (other than the U.S. Borrower) and a Subsidiary Guarantor must result in a Subsidiary Guarantor as the surviving entity);</w:t>
      </w:r>
    </w:p>
    <w:p>
      <w:pPr>
        <w:spacing w:after="0" w:line="184"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(iii)    any Subsidiary that is not a Loan Party may merge into or consolidate with another Subsidiary that is not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a Restricted Subsidiary must result in a Restricted Subsidiary as the surviving entity);</w:t>
      </w:r>
    </w:p>
    <w:p>
      <w:pPr>
        <w:spacing w:after="0" w:line="174" w:lineRule="exact"/>
        <w:rPr>
          <w:sz w:val="20"/>
          <w:szCs w:val="20"/>
          <w:color w:val="auto"/>
        </w:rPr>
      </w:pPr>
    </w:p>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t>(iv)    the TopCo Borrower and its Restricted Subsidiaries may sell, transfer, lease or otherwise dispose of any Subsidiary that is not a Loan Party (and, in connection with a liquidation, winding up or dissolution or otherwise, any Restricted Subsidiary that is not a Loan Party may sell,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20"/>
          </w:cols>
          <w:pgMar w:left="440" w:top="265" w:right="439" w:bottom="1440" w:gutter="0" w:footer="0" w:header="0"/>
        </w:sectPr>
      </w:pPr>
    </w:p>
    <w:bookmarkStart w:id="140" w:name="page141"/>
    <w:bookmarkEnd w:id="140"/>
    <w:p>
      <w:pPr>
        <w:jc w:val="both"/>
        <w:ind w:left="54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lease, license or otherwise dispose of any, all or substantially all of its assets) to another Restricted Subsidiary that is not a Loan Party;</w:t>
      </w:r>
    </w:p>
    <w:p>
      <w:pPr>
        <w:spacing w:after="0" w:line="141"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   </w:t>
            </w:r>
          </w:p>
        </w:tc>
        <w:tc>
          <w:tcPr>
            <w:tcW w:w="95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Dispositions permitted by Section 6.04;</w:t>
            </w:r>
          </w:p>
        </w:tc>
      </w:tr>
      <w:tr>
        <w:trPr>
          <w:trHeight w:val="20"/>
        </w:trPr>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465"/>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w w:val="83"/>
              </w:rPr>
              <w:t>(vi)  </w:t>
            </w:r>
          </w:p>
        </w:tc>
        <w:tc>
          <w:tcPr>
            <w:tcW w:w="95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any Restricted Subsidiary that is not a Loan Party may liquidate, wind up or dissolve if the U.S. Borrower determines</w:t>
            </w:r>
          </w:p>
        </w:tc>
      </w:tr>
    </w:tbl>
    <w:p>
      <w:pPr>
        <w:jc w:val="both"/>
        <w:ind w:left="540" w:right="20"/>
        <w:spacing w:after="0" w:line="246" w:lineRule="auto"/>
        <w:rPr>
          <w:sz w:val="20"/>
          <w:szCs w:val="20"/>
          <w:color w:val="auto"/>
        </w:rPr>
      </w:pPr>
      <w:r>
        <w:rPr>
          <w:rFonts w:ascii="Times New Roman" w:cs="Times New Roman" w:eastAsia="Times New Roman" w:hAnsi="Times New Roman"/>
          <w:sz w:val="20"/>
          <w:szCs w:val="20"/>
          <w:color w:val="auto"/>
        </w:rPr>
        <w:t>in good faith that such liquidation, winding up or dissolution is in the best interests of the Borrowers and is not materially disadvantageous to the Lenders;</w:t>
      </w:r>
    </w:p>
    <w:p>
      <w:pPr>
        <w:spacing w:after="0" w:line="182" w:lineRule="exact"/>
        <w:rPr>
          <w:sz w:val="20"/>
          <w:szCs w:val="20"/>
          <w:color w:val="auto"/>
        </w:rPr>
      </w:pPr>
    </w:p>
    <w:p>
      <w:pPr>
        <w:jc w:val="both"/>
        <w:ind w:left="540" w:firstLine="523"/>
        <w:spacing w:after="0" w:line="254" w:lineRule="auto"/>
        <w:rPr>
          <w:sz w:val="20"/>
          <w:szCs w:val="20"/>
          <w:color w:val="auto"/>
        </w:rPr>
      </w:pPr>
      <w:r>
        <w:rPr>
          <w:rFonts w:ascii="Times New Roman" w:cs="Times New Roman" w:eastAsia="Times New Roman" w:hAnsi="Times New Roman"/>
          <w:sz w:val="20"/>
          <w:szCs w:val="20"/>
          <w:color w:val="auto"/>
        </w:rPr>
        <w:t>(vii)   any Domestic Subsidiary (other than the U.S. Borrower and the U.S. Co-Borrower) may liquidate, wind up or dissolve if its assets are transferred to a Loan Party or, if such Domestic Subsidiary is not a Subsidiary Guarantor, to any other Domestic Subsidiary; and</w:t>
      </w:r>
    </w:p>
    <w:p>
      <w:pPr>
        <w:spacing w:after="0" w:line="174"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(viii)   any Irish Subsidiary may liquidate, wind up or dissolve if its assets are transferred to a Loan Party or, if such Irish Subsidiary is not a Subsidiary Guarantor, to any other Irish Subsidiary or to any Domestic Subsidiary;</w:t>
      </w:r>
    </w:p>
    <w:p>
      <w:pPr>
        <w:spacing w:after="0" w:line="159" w:lineRule="exact"/>
        <w:rPr>
          <w:sz w:val="20"/>
          <w:szCs w:val="20"/>
          <w:color w:val="auto"/>
        </w:rPr>
      </w:pPr>
    </w:p>
    <w:p>
      <w:pPr>
        <w:jc w:val="both"/>
        <w:ind w:left="540" w:firstLine="523"/>
        <w:spacing w:after="0" w:line="269" w:lineRule="auto"/>
        <w:rPr>
          <w:sz w:val="20"/>
          <w:szCs w:val="20"/>
          <w:color w:val="auto"/>
        </w:rPr>
      </w:pPr>
      <w:r>
        <w:rPr>
          <w:rFonts w:ascii="Times New Roman" w:cs="Times New Roman" w:eastAsia="Times New Roman" w:hAnsi="Times New Roman"/>
          <w:sz w:val="20"/>
          <w:szCs w:val="20"/>
          <w:color w:val="auto"/>
        </w:rPr>
        <w:t>(ix)   any Foreign Subsidiary (other than an Irish Subsidiary) may liquidate, wind up or dissolve if its assets are transferred to a Loan Party or, if such Foreign Subsidiary is not a Subsidiary Guarantor, to any other Restricted Subsidiary;</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Person that is not a Wholly-Owned Subsidiary immediately prior to such merger or consolidation shall not be permitted unless it is also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(b)    Each Borrower will not and will not permit any Restricted Subsidiary to, engage to any material extent in any business substantially different from businesses of the type conducted by the TopCo Borrower and its Restricted Subsidiaries (taken as a whole) on the Closing Date and businesses reasonably related, ancillary, similar, complementary or synergistic thereto or reasonable extensions, development or expansion thereof.</w:t>
      </w:r>
    </w:p>
    <w:p>
      <w:pPr>
        <w:spacing w:after="0" w:line="18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(c)    Each Borrower will not and will not permit any Restricted Subsidiary to, change its fiscal year from the basis in effect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each Borrower may (and may permit the Restricted Subsidiaries to) change their fiscal year so long as a Borrower notifies the Administrative Agent no less than 30 days prior to such change (or such shorter period as may be acceptable to the Administrative Agent in its sole discretion) and upon receipt of such notice, the Borrowers and the Administrative Agent will (and are hereby authorized to) make any adjustments to this Agreement that are necessary and appropriate to reflect such changes in fiscal year.</w:t>
      </w:r>
    </w:p>
    <w:p>
      <w:pPr>
        <w:spacing w:after="0" w:line="18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Dispositions</w:t>
      </w:r>
      <w:r>
        <w:rPr>
          <w:rFonts w:ascii="Times New Roman" w:cs="Times New Roman" w:eastAsia="Times New Roman" w:hAnsi="Times New Roman"/>
          <w:sz w:val="20"/>
          <w:szCs w:val="20"/>
          <w:color w:val="auto"/>
        </w:rPr>
        <w:t>. Each Borrower will not and will not permit any Restricted Subsidiary to, make any Disposition (other than any Disposition of Unrestricted Margin Stock), except:</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Dispositions of obsolete, worn out or surplus property in the ordinary course of business;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(b)     Dispositions of cash, Cash Equivalents and inventory in the ordinary course of business;</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(c)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65" w:right="439" w:bottom="1440" w:gutter="0" w:footer="0" w:header="0"/>
        </w:sectPr>
      </w:pPr>
    </w:p>
    <w:bookmarkStart w:id="141" w:name="page142"/>
    <w:bookmarkEnd w:id="141"/>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Dispositions of property by any Loan Party or Restricted Subsidiary to any other Loan Party;</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(e)    leases, licenses or sublicenses, or subleases granted in the ordinary course of business and on ordinary commercial terms that do not materially interfere with the conduct of the business of the TopCo Borrower and its Restricted Subsidiaries;</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(f)    Dispositions of Intellectual Property rights that are no longer used or useful in the business of the TopCo Borrower and its Restricted Subsidiaries;</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(g)    the discount, write-off or Disposition of accounts receivable in connection with the collection, settlement or compromise thereof, and the forgiveness, release or compromise of any amount owed to any Loan Party or Restricted Subsidiary, in each case in the ordinary course of business;</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(h)    Dispositions of non-core assets acquired in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Dispositions shall be consummated within 360 days of such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 the consideration received for such assets shall be in an amount at least equal to the fair market value thereof (determined in good faith by the U.S. Borrower) and (ii) no less than 75% thereof shall be paid in cash;</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(i)    (w) Liens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6.02 (other than </w:t>
      </w:r>
      <w:r>
        <w:rPr>
          <w:rFonts w:ascii="Times New Roman" w:cs="Times New Roman" w:eastAsia="Times New Roman" w:hAnsi="Times New Roman"/>
          <w:sz w:val="20"/>
          <w:szCs w:val="20"/>
          <w:u w:val="single" w:color="auto"/>
          <w:color w:val="auto"/>
        </w:rPr>
        <w:t>Section 6.02(n)</w:t>
      </w:r>
      <w:r>
        <w:rPr>
          <w:rFonts w:ascii="Times New Roman" w:cs="Times New Roman" w:eastAsia="Times New Roman" w:hAnsi="Times New Roman"/>
          <w:sz w:val="20"/>
          <w:szCs w:val="20"/>
          <w:color w:val="auto"/>
        </w:rPr>
        <w:t xml:space="preserve">), (x) transactions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6.03(a)(v)</w:t>
      </w:r>
      <w:r>
        <w:rPr>
          <w:rFonts w:ascii="Times New Roman" w:cs="Times New Roman" w:eastAsia="Times New Roman" w:hAnsi="Times New Roman"/>
          <w:sz w:val="20"/>
          <w:szCs w:val="20"/>
          <w:color w:val="auto"/>
        </w:rPr>
        <w:t xml:space="preserve">), (y) Restricted Payments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and (z) Investments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6.05(l))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none of the Borrowers or any Restricted Subsidiary may make a Disposition to any Unrestricted Subsidiary pursuant to this </w:t>
      </w:r>
      <w:r>
        <w:rPr>
          <w:rFonts w:ascii="Times New Roman" w:cs="Times New Roman" w:eastAsia="Times New Roman" w:hAnsi="Times New Roman"/>
          <w:sz w:val="20"/>
          <w:szCs w:val="20"/>
          <w:u w:val="single" w:color="auto"/>
          <w:color w:val="auto"/>
        </w:rPr>
        <w:t>Section 6.04(i)</w:t>
      </w:r>
      <w:r>
        <w:rPr>
          <w:rFonts w:ascii="Times New Roman" w:cs="Times New Roman" w:eastAsia="Times New Roman" w:hAnsi="Times New Roman"/>
          <w:sz w:val="20"/>
          <w:szCs w:val="20"/>
          <w:color w:val="auto"/>
        </w:rPr>
        <w:t xml:space="preserve"> unless such Disposition is to effect an Investment permitted pursuant to </w:t>
      </w:r>
      <w:r>
        <w:rPr>
          <w:rFonts w:ascii="Times New Roman" w:cs="Times New Roman" w:eastAsia="Times New Roman" w:hAnsi="Times New Roman"/>
          <w:sz w:val="20"/>
          <w:szCs w:val="20"/>
          <w:u w:val="single" w:color="auto"/>
          <w:color w:val="auto"/>
        </w:rPr>
        <w:t>Section 6.05 (s)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(dd)</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(j)    Dispositions by the TopCo Borrower and its Restricted Subsidiaries of assets for fair market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a Disposition having a fair market value in excess of $15,000,000, at least 75% of the total consideration for any such Disposition received by the TopCo Borrower and its Restricted Subsidiaries is in the form of cash or Cash Equivalents and (ii) no Event of Default has occurred and is continuing or would immediately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 any liabilities (as shown on the most recent balance sheet provided hereunder or in the footnotes thereto) of the TopCo Borrower or any of its Restricted Subsidiaries (other than liabilities that are by their terms subordinated to the Obligations) that are assumed by the transferee with respect to the applicable Disposition and for which the TopCo Borrower or any of its Restricted Subsidiaries shall have been validly released by all applicable creditors in writing shall be deemed to be cash and (B) any Designated Non-Cash Consideration received in respect of such Disposition having an aggregate fair market value, taken together with all other Designated Non-Cash Consideration received pursuant to this clause (B) that is at that time outstanding, not to exceed the greater of $37,890,000 and 9.0% of Consolidated EBITDA for the most recently ended Test Period, determined at the time of such Disposition;</w:t>
      </w:r>
    </w:p>
    <w:p>
      <w:pPr>
        <w:spacing w:after="0" w:line="19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(k)    Dispositions by the TopCo Borrower and its Restricted Subsidiaries not otherwise permitted under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book value of all property Disposed of pursuant to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shall not exceed the greater of $63,150,000 and 15.0% of Consolidated EBITDA for the most recently ended Test Period;</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(l)    the settlement or early termination or cancellation of any Permitted Bond Hedge Transaction or any related Permitted Warrant Transaction;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440" w:top="265" w:right="439" w:bottom="1440" w:gutter="0" w:footer="0" w:header="0"/>
        </w:sectPr>
      </w:pPr>
    </w:p>
    <w:bookmarkStart w:id="142" w:name="page143"/>
    <w:bookmarkEnd w:id="142"/>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[reserved];</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(n)    Dispositions by the TopCo Borrower or any of its Restricted Subsidiaries of Receivable Purchase Assets with an aggregate fair market value not to exceed the greater of $84,200,000 and 20% of Consolidated EBITDA for the most recently ended Test Period pursuant to any Receivables Purchase Transaction;</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(o)    any loss of, damage to or destruction of, or any condemnation or other taking for public use of, any property of the TopCo Borrower or any of its Restricted Subsidiaries;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(p)     the unwinding of any Swap Agreement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pursuant to its terms;</w:t>
      </w:r>
    </w:p>
    <w:p>
      <w:pPr>
        <w:spacing w:after="0" w:line="212"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color w:val="auto"/>
        </w:rPr>
        <w:t xml:space="preserve">(q)    the sale, transfer, issuance or other disposition of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number of shares of the Equity Interests of a Foreign Subsidiary in order to qualify members of the governing body of such Foreign Subsidiary if required by applicable law;</w:t>
      </w:r>
    </w:p>
    <w:p>
      <w:pPr>
        <w:spacing w:after="0" w:line="15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(r)    the exercise by the TopCo Borrower or any Restricted Subsidiary of termination rights under any lease, sublease, license, sublicense, concession or other agreements;</w:t>
      </w:r>
    </w:p>
    <w:p>
      <w:pPr>
        <w:spacing w:after="0" w:line="159"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(s)    Dispositions to landlords of improvements made to leased real property pursuant to customary terms of leases entered into in the ordinary course of business; and</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(t)    any issuance or sale of Equity Interests in, or Indebtedness or other securities of, an Unrestricted Subsidiary or any other disposition of capital stock, Indebtedness or other securities of an Unrestricted Subsidiary.</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(A) a Disposition need not be made solely by reference to one category described in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but is permitted to be made in part under any combination thereof and (B) in the event that a particular Disposition meets the criteria of more than one of the categories of Dispositions described in clauses (a) through (s) above, the Borrowers may, in their sole discretion, divide or classify all or a portion of such Disposition in a manner that complies with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and will only be required to include the amount and type of such Disposition (or any portion thereof) in one or more of the above clauses.</w:t>
      </w:r>
    </w:p>
    <w:p>
      <w:pPr>
        <w:spacing w:after="0" w:line="16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xml:space="preserve">. Each Borrower will not and will not permit any Restricted Subsidiary to, (i) purchase, hold or acquire (including pursuant to any merger or consolidation with any Person that was not a Wholly-Owned Subsidiary prior to such merger or consolidation) any capital stock, evidences of indebtedness or other securities (including any option, warrant or other similar right to acquire any of the foregoing) of, make or permit to exist any loans or advances to, Guarantee any obligations of, or make or permit to exist any investment or any other beneficial interest in, any other Person, (ii) purchase or otherwise acquire (in one transaction or a series of transactions) any Person or all or substantially all of the assets of any Persons or any assets of any other Person constituting a business unit, division, product line (including rights in respect of any drug, biological product or other pharmaceutical product or device) or line of business of such Person or (iii) obtain an Exclusive License (each of the foregoing transactions described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purchase of any Permitted Bond Hedge Transaction or any Permitted Warrant Transaction by the TopCo Borrower any of its Restricted Subsidiaries and the performance of its obligations thereunder shall not be an Investment), except:</w:t>
      </w:r>
    </w:p>
    <w:p>
      <w:pPr>
        <w:spacing w:after="0" w:line="190"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(a)    (i) cash and Cash Equivalents and (ii) Investments consisting of deposit accounts and securities accounts containing cash and Cash Equivalents;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440" w:top="265" w:right="439" w:bottom="1440" w:gutter="0" w:footer="0" w:header="0"/>
        </w:sectPr>
      </w:pPr>
    </w:p>
    <w:bookmarkStart w:id="143" w:name="page144"/>
    <w:bookmarkEnd w:id="143"/>
    <w:p>
      <w:pPr>
        <w:ind w:left="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Permitted Acquisitions;</w:t>
      </w:r>
    </w:p>
    <w:p>
      <w:pPr>
        <w:spacing w:after="0" w:line="216" w:lineRule="exact"/>
        <w:rPr>
          <w:sz w:val="20"/>
          <w:szCs w:val="20"/>
          <w:color w:val="auto"/>
        </w:rPr>
      </w:pPr>
    </w:p>
    <w:p>
      <w:pPr>
        <w:ind w:left="4" w:right="20" w:firstLine="551"/>
        <w:spacing w:after="0" w:line="250" w:lineRule="auto"/>
        <w:rPr>
          <w:sz w:val="20"/>
          <w:szCs w:val="20"/>
          <w:color w:val="auto"/>
        </w:rPr>
      </w:pPr>
      <w:r>
        <w:rPr>
          <w:rFonts w:ascii="Times New Roman" w:cs="Times New Roman" w:eastAsia="Times New Roman" w:hAnsi="Times New Roman"/>
          <w:sz w:val="20"/>
          <w:szCs w:val="20"/>
          <w:color w:val="auto"/>
        </w:rPr>
        <w:t>(c)    (i) Investments by the TopCo Borrower and its Restricted Subsidiaries existing on the Closing Date in the capital stock of their respective Restricted Subsidiaries, (ii) Investments by the TopCo Borrower and its Restricted Subsidiaries in a Loan Party and</w:t>
      </w:r>
    </w:p>
    <w:p>
      <w:pPr>
        <w:spacing w:after="0" w:line="2" w:lineRule="exact"/>
        <w:rPr>
          <w:sz w:val="20"/>
          <w:szCs w:val="20"/>
          <w:color w:val="auto"/>
        </w:rPr>
      </w:pPr>
    </w:p>
    <w:p>
      <w:pPr>
        <w:ind w:left="4" w:right="20" w:hanging="4"/>
        <w:spacing w:after="0" w:line="246" w:lineRule="auto"/>
        <w:tabs>
          <w:tab w:leader="none" w:pos="37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Person existing on the date such Person becomes a Restricted Subsidiary or consolidates or merges with the TopCo Borrower or any of its Restricted Subsidiaries pursuant to a transaction otherwise permitted hereunder;</w:t>
      </w:r>
    </w:p>
    <w:p>
      <w:pPr>
        <w:spacing w:after="0" w:line="182" w:lineRule="exact"/>
        <w:rPr>
          <w:sz w:val="20"/>
          <w:szCs w:val="20"/>
          <w:color w:val="auto"/>
        </w:rPr>
      </w:pPr>
    </w:p>
    <w:p>
      <w:pPr>
        <w:jc w:val="both"/>
        <w:ind w:left="4" w:right="20" w:firstLine="551"/>
        <w:spacing w:after="0" w:line="246" w:lineRule="auto"/>
        <w:rPr>
          <w:sz w:val="20"/>
          <w:szCs w:val="20"/>
          <w:color w:val="auto"/>
        </w:rPr>
      </w:pPr>
      <w:r>
        <w:rPr>
          <w:rFonts w:ascii="Times New Roman" w:cs="Times New Roman" w:eastAsia="Times New Roman" w:hAnsi="Times New Roman"/>
          <w:sz w:val="20"/>
          <w:szCs w:val="20"/>
          <w:color w:val="auto"/>
        </w:rPr>
        <w:t>(d)    Investments (including, without limitation, capital contributions) made by the TopCo Borrower in or to any Restricted Subsidiary and made by any Restricted Subsidiary in or to the TopCo Borrower or any 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 more than an aggregate amount of the greater of $84,200,000 and 20.0% of Consolidated EBITDA for the most recently ended Test Period in Investments and capital contributions may be made and remain outstanding, at any time in reliance on this clause (d), by Loan Parties to Restricted Subsidiaries which are not Loan Parties);</w:t>
      </w:r>
    </w:p>
    <w:p>
      <w:pPr>
        <w:spacing w:after="0" w:line="185"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 xml:space="preserve">(e)    Investments constituting deposits described in any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“Permitted Encumbrances” and </w:t>
      </w:r>
      <w:r>
        <w:rPr>
          <w:rFonts w:ascii="Times New Roman" w:cs="Times New Roman" w:eastAsia="Times New Roman" w:hAnsi="Times New Roman"/>
          <w:sz w:val="20"/>
          <w:szCs w:val="20"/>
          <w:u w:val="single" w:color="auto"/>
          <w:color w:val="auto"/>
        </w:rPr>
        <w:t>Sections 6.02(k)</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(f)     Guarantees constituting Indebtedness permitted by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46" w:lineRule="auto"/>
        <w:rPr>
          <w:sz w:val="20"/>
          <w:szCs w:val="20"/>
          <w:color w:val="auto"/>
        </w:rPr>
      </w:pPr>
      <w:r>
        <w:rPr>
          <w:rFonts w:ascii="Times New Roman" w:cs="Times New Roman" w:eastAsia="Times New Roman" w:hAnsi="Times New Roman"/>
          <w:sz w:val="20"/>
          <w:szCs w:val="20"/>
          <w:color w:val="auto"/>
        </w:rPr>
        <w:t>(g)    Investments comprised of notes payable, stock or other securities issued by account debtors to the TopCo Borrower or any of its Restricted Subsidiaries pursuant to negotiated agreements with respect to settlement of such account debtor’s accounts in the ordinary course of business or Investments otherwise received in settlement of obligations owed by any financially troubled account debtors or other debtors in connection with such Person’s reorganization or in bankruptcy, insolvency or similar proceedings or in connection with foreclosure on or transfer of title with respect to any secured Investment;</w:t>
      </w:r>
    </w:p>
    <w:p>
      <w:pPr>
        <w:spacing w:after="0" w:line="18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(h)     extensions of trade credit or the holding of receivables in the ordinary course of business;</w:t>
      </w:r>
    </w:p>
    <w:p>
      <w:pPr>
        <w:spacing w:after="0" w:line="21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20"/>
          <w:szCs w:val="20"/>
          <w:color w:val="auto"/>
        </w:rPr>
        <w:t xml:space="preserve">(i)    the purchase, redemption, retirement, acquisition, cancellation or termination of any Equity Interests of the TopCo Borrower or any option, warrant or other right to acquire any such Equity Interests in the TopCo Borrower, in each case to the extent the payment therefore is permitted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4" w:right="20" w:firstLine="551"/>
        <w:spacing w:after="0" w:line="264" w:lineRule="auto"/>
        <w:rPr>
          <w:sz w:val="20"/>
          <w:szCs w:val="20"/>
          <w:color w:val="auto"/>
        </w:rPr>
      </w:pPr>
      <w:r>
        <w:rPr>
          <w:rFonts w:ascii="Times New Roman" w:cs="Times New Roman" w:eastAsia="Times New Roman" w:hAnsi="Times New Roman"/>
          <w:sz w:val="19"/>
          <w:szCs w:val="19"/>
          <w:color w:val="auto"/>
        </w:rPr>
        <w:t>(j)    Loans and advances to officers, directors, employees, managers, consultants or independent contractors (i) for moving, payroll, entertainment, travel and other similar expenses in the ordinary course of business not to exceed the greater of (x) $8,420,000 and</w:t>
      </w:r>
    </w:p>
    <w:p>
      <w:pPr>
        <w:jc w:val="both"/>
        <w:ind w:left="4" w:right="20" w:hanging="4"/>
        <w:spacing w:after="0" w:line="242" w:lineRule="auto"/>
        <w:tabs>
          <w:tab w:leader="none" w:pos="29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2.0% of Consolidated EBITDA for the most recently ended Test Period in the aggregate at any time outstanding and (ii) solely in the case of loans and advances, in connection with such Person’s acquisition of Equity Interests of the TopCo Borrower, to the extent permitted pursuant to </w:t>
      </w:r>
      <w:r>
        <w:rPr>
          <w:rFonts w:ascii="Times New Roman" w:cs="Times New Roman" w:eastAsia="Times New Roman" w:hAnsi="Times New Roman"/>
          <w:sz w:val="20"/>
          <w:szCs w:val="20"/>
          <w:u w:val="single" w:color="auto"/>
          <w:color w:val="auto"/>
        </w:rPr>
        <w:t>Section 6.08(k)</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(k)     endorsements for collection or deposit and prepaid expenses made in the ordinary course of business;</w:t>
      </w:r>
    </w:p>
    <w:p>
      <w:pPr>
        <w:spacing w:after="0" w:line="216"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(l)    transactions (to the extent constituting Investments) or 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(m)    Investments by the TopCo Borrower or any of its Restricted Subsidiaries constituting the creation of new Restricted Subsidiaries so long as the TopCo Borrower or such Restricted Subsidiary, as applicable, complies with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hereof and any Investment in such new Restricted Subsidiary is otherwise permitted under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4"/>
          </w:cols>
          <w:pgMar w:left="436" w:top="265" w:right="439" w:bottom="1440" w:gutter="0" w:footer="0" w:header="0"/>
        </w:sectPr>
      </w:pPr>
    </w:p>
    <w:bookmarkStart w:id="144" w:name="page145"/>
    <w:bookmarkEnd w:id="144"/>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    Guarantees of leases and other contractual obligations of the TopCo Borrower or any Restricted Subsidiary (to the extent not constituting Indebtedness) in the ordinary course of business;</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(o)    transfers of rights with respect to one or more products or technologies under development to joint ventures with third parties or to other entities where the TopCo Borrower or a Restricted Subsidiary retains rights to acquire such joint ventures or other entities or otherwise repurchase such products or technologies;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(p)     Investments in the form of Swap Agreements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(q)    Investments in existence on the Closing Date and described in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xml:space="preserve"> and any modification, replacement, renewal or extension thereof to the extent not involving any additional Investment;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(r)    to the extent constituting Investments, Investments in the form of Permitted Bond Hedge Transactions and Permitted Warrant Transactions, in each case, entered into in connection with Permitted Convertible Debt;</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    other Investments so long as prior to making such Investments and immediately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(i) no Event of Default then exists and (ii) the Secured Net Leverage Ratio does not exceed 3.75 to 1.00;</w:t>
      </w:r>
    </w:p>
    <w:p>
      <w:pPr>
        <w:spacing w:after="0" w:line="159"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(t)    other Investments, loans or advances made by the TopCo Borrower or any of its Restricted Subsidiaries so long as the aggregate amount of all such Investments, loans and advances does not exceed the sum of (i) the greater of $126,300,000 and 30.0% of Consolidated EBITDA for the most recently ended Test Period (ii) the Available Restricted Payments Amount and (iii) the Available Restricted Debt Payments Amount, at any time outstanding;</w:t>
      </w:r>
    </w:p>
    <w:p>
      <w:pPr>
        <w:spacing w:after="0" w:line="180"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(u)    any customary upfront milestone, marketing or other payment in the ordinary course of business to another Person in connection with obtaining a right to receive a royalty or other payments in the future;</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(v)     Investments consisting of Restricted Payments permitted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(w)    Investments consisting of earnest money deposits made by the TopCo Borrower or its Restricted Subsidiaries in connection with any letter of intent or other agreement in respect of any Investment permitted by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(x)    acquisitions of obligations of one or more officers or other employees of the TopCo Borrower or any Restricted Subsidiary in connection with such officer’s or employee’s acquisition of Equity Interests of the TopCo Borrower, so long as no cash is actually advanced by the TopCo Borrower or any Restricted Subsidiary to such officers or employees in connection with the acquisition of any such obligations;</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(y)    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spacing w:after="0" w:line="174"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(z)    Investments made with Equity Interests (other than Disqualified Equity) of the TopCo Borrower or from the Net Proceeds received by the TopCo Borrower from the sale or issuance of Equity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65" w:right="439" w:bottom="1440" w:gutter="0" w:footer="0" w:header="0"/>
        </w:sectPr>
      </w:pPr>
    </w:p>
    <w:bookmarkStart w:id="145" w:name="page146"/>
    <w:bookmarkEnd w:id="145"/>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Interests (other than Disqualified Equity) of the TopCo Borrower so long as such Investment is made within ninety (90) days of the receipt of such Net Proceeds;</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(aa)   Investments consisting of mergers, amalgamations, consolidations and transfers of all or substantially all assets permitted under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6.03(a)(i)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6.03(a)(v)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(bb)   the Transactions (including the payment of the purchase consideration in connection with the Target Acquisition including any restructuring steps set forth in a restructuring plan disclosed to and reasonably approved by the Administrative Agent prior to the Closing Date);</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(cc)    Investments in an aggregate amount at any time outstanding not to exceed the Available Amount at such time;</w:t>
      </w:r>
    </w:p>
    <w:p>
      <w:pPr>
        <w:spacing w:after="0" w:line="216"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(dd)  Investments in Unrestricted Subsidiaries in an aggregate amount at any time outstanding not to exceed the greater of (i) $42,100,000 and (ii) 10.0% of Consolidated EBITDA for the most recently ended Test Period; and</w:t>
      </w:r>
    </w:p>
    <w:p>
      <w:pPr>
        <w:spacing w:after="0" w:line="159" w:lineRule="exact"/>
        <w:rPr>
          <w:sz w:val="20"/>
          <w:szCs w:val="20"/>
          <w:color w:val="auto"/>
        </w:rPr>
      </w:pPr>
    </w:p>
    <w:p>
      <w:pPr>
        <w:jc w:val="both"/>
        <w:ind w:left="4" w:firstLine="551"/>
        <w:spacing w:after="0" w:line="247" w:lineRule="auto"/>
        <w:rPr>
          <w:sz w:val="20"/>
          <w:szCs w:val="20"/>
          <w:color w:val="auto"/>
        </w:rPr>
      </w:pPr>
      <w:r>
        <w:rPr>
          <w:rFonts w:ascii="Times New Roman" w:cs="Times New Roman" w:eastAsia="Times New Roman" w:hAnsi="Times New Roman"/>
          <w:sz w:val="20"/>
          <w:szCs w:val="20"/>
          <w:color w:val="auto"/>
        </w:rPr>
        <w:t>(ee)   Investments (other than Investments in Unrestricted Subsidiaries) (“</w:t>
      </w:r>
      <w:r>
        <w:rPr>
          <w:rFonts w:ascii="Times New Roman" w:cs="Times New Roman" w:eastAsia="Times New Roman" w:hAnsi="Times New Roman"/>
          <w:sz w:val="20"/>
          <w:szCs w:val="20"/>
          <w:u w:val="single" w:color="auto"/>
          <w:color w:val="auto"/>
        </w:rPr>
        <w:t>Specified Investments</w:t>
      </w:r>
      <w:r>
        <w:rPr>
          <w:rFonts w:ascii="Times New Roman" w:cs="Times New Roman" w:eastAsia="Times New Roman" w:hAnsi="Times New Roman"/>
          <w:sz w:val="20"/>
          <w:szCs w:val="20"/>
          <w:color w:val="auto"/>
        </w:rPr>
        <w:t>”) in an aggregate amount, as valued at cost at the time each such Specified Investment is made and including all related commitments for future Specified Investments (and the principal amount of any Indebtedness that is assumed or otherwise incurred in connection with such Investment), to the extent</w:t>
      </w:r>
    </w:p>
    <w:p>
      <w:pPr>
        <w:jc w:val="both"/>
        <w:ind w:left="4" w:right="20" w:hanging="4"/>
        <w:spacing w:after="0" w:line="242" w:lineRule="auto"/>
        <w:tabs>
          <w:tab w:leader="none" w:pos="25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Specified Investments are funded (or in the case of Guarantees, deemed funded) from the proceeds of any dividends, returns on capital or returns of capital received by any Loan Party in respect of any Restricted Subsidiary that is not a Loan Party, and (ii) such Investments are made within 90 days of the receipt of such proceeds described in subclause (i) of this clause (ee).</w:t>
      </w:r>
    </w:p>
    <w:p>
      <w:pPr>
        <w:spacing w:after="0" w:line="187" w:lineRule="exact"/>
        <w:rPr>
          <w:sz w:val="20"/>
          <w:szCs w:val="20"/>
          <w:color w:val="auto"/>
        </w:rPr>
      </w:pPr>
    </w:p>
    <w:p>
      <w:pPr>
        <w:jc w:val="both"/>
        <w:ind w:left="4" w:right="20"/>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covenant compliance with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the amount of any Investment shall be the amount actually invested, without adjustment for subsequent increases or decreases in the value of such Investment,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any amount paid, repaid, returned, distributed or otherwise received in cash or Cash Equivalents in respect of such Investment. Notwithstanding the foregoing, no Investment in an Unrestricted Subsidiary is permitted under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unless such Investment is permitted pursuant to </w:t>
      </w:r>
      <w:r>
        <w:rPr>
          <w:rFonts w:ascii="Times New Roman" w:cs="Times New Roman" w:eastAsia="Times New Roman" w:hAnsi="Times New Roman"/>
          <w:sz w:val="20"/>
          <w:szCs w:val="20"/>
          <w:u w:val="single" w:color="auto"/>
          <w:color w:val="auto"/>
        </w:rPr>
        <w:t>clause (s)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(dd)</w:t>
      </w:r>
      <w:r>
        <w:rPr>
          <w:rFonts w:ascii="Times New Roman" w:cs="Times New Roman" w:eastAsia="Times New Roman" w:hAnsi="Times New Roman"/>
          <w:sz w:val="20"/>
          <w:szCs w:val="20"/>
          <w:color w:val="auto"/>
        </w:rPr>
        <w:t xml:space="preserve"> above.</w:t>
      </w:r>
    </w:p>
    <w:p>
      <w:pPr>
        <w:spacing w:after="0" w:line="185"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0"/>
          <w:szCs w:val="20"/>
          <w:color w:val="auto"/>
        </w:rPr>
        <w:t xml:space="preserve">Furthermore, for purposes of determining compliance with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(A) an Investment need not be incurred solely by reference to one category described in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but is permitted to be incurred in part under any combination thereof and (B) in the event that a particular Investment meets the criteria of more than one of the categories of Investments described in clauses (a) through (dd) above, the Borrowers may, in their sole discretion, divide or classify all or a portion of such Investment in a manner that complies with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and will only be required to include the amount and type of such Investment (or any portion thereof) in one or more of the above clauses.</w:t>
      </w:r>
    </w:p>
    <w:p>
      <w:pPr>
        <w:spacing w:after="0" w:line="184" w:lineRule="exact"/>
        <w:rPr>
          <w:sz w:val="20"/>
          <w:szCs w:val="20"/>
          <w:color w:val="auto"/>
        </w:rPr>
      </w:pPr>
    </w:p>
    <w:p>
      <w:pPr>
        <w:jc w:val="both"/>
        <w:ind w:left="4" w:right="20"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Swap Agreements</w:t>
      </w:r>
      <w:r>
        <w:rPr>
          <w:rFonts w:ascii="Times New Roman" w:cs="Times New Roman" w:eastAsia="Times New Roman" w:hAnsi="Times New Roman"/>
          <w:sz w:val="20"/>
          <w:szCs w:val="20"/>
          <w:color w:val="auto"/>
        </w:rPr>
        <w:t>. Each Borrower will not and will not permit any Restricted Subsidiary to, enter into any Swap Agreement, except (a) Swap Agreements entered into to hedge or mitigate risks to which the TopCo Borrower or any Restricted Subsidiary has actual exposure (other than those in respect of Equity Interests of the TopCo Borrower or any of its Restricted Subsidiaries), (b) Swap Agreements entered into in order to effectively cap, collar or exchange interest rates (from fixed to floating rates, from one floating rate to another floating rate or otherwise) with respect to any interest-bearing liability or investment of the TopCo Borrower or any Restricted Subsidiary and (c) forward equity commitments or confirmations and forward equity sale agreements (in each case regardless of whether they provide for settlement election by the seller) with customary terms (including, without limitation, being subject to the terms of a master agreement published by the International Swaps and Derivatives Association, Inc.).</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4"/>
          </w:cols>
          <w:pgMar w:left="436" w:top="265" w:right="439" w:bottom="1440" w:gutter="0" w:footer="0" w:header="0"/>
        </w:sectPr>
      </w:pPr>
    </w:p>
    <w:bookmarkStart w:id="146" w:name="page147"/>
    <w:bookmarkEnd w:id="146"/>
    <w:p>
      <w:pPr>
        <w:jc w:val="both"/>
        <w:ind w:left="4" w:right="20" w:firstLine="55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6.07 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Each Borrower will not and will not permit any Restricted Subsidiary to, sell, lease, license or otherwise transfer any property or assets (other than Unrestricted Margin Stock) to, or purchase, lease, license or otherwise acquire any property or assets from, or otherwise engage in any other transactions (other than transactions involving the sale, pledge or other disposition of Unrestricted Margin Stock by such Borrower or Restricted Subsidiary) with, any of its Affiliates, except</w:t>
      </w:r>
    </w:p>
    <w:p>
      <w:pPr>
        <w:spacing w:after="0" w:line="1" w:lineRule="exact"/>
        <w:rPr>
          <w:sz w:val="20"/>
          <w:szCs w:val="20"/>
          <w:color w:val="auto"/>
        </w:rPr>
      </w:pPr>
    </w:p>
    <w:p>
      <w:pPr>
        <w:jc w:val="both"/>
        <w:ind w:left="4" w:hanging="4"/>
        <w:spacing w:after="0" w:line="239" w:lineRule="auto"/>
        <w:tabs>
          <w:tab w:leader="none" w:pos="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on terms and conditions not materially less favorable to such Borrower or such Restricted Subsidiary, as applicable, than could be obtained on an arm’s-length basis from a Person that is not an Affiliate for a comparable transaction, (b) transactions between or among the TopCo Borrower and its Restricted Subsidiaries (or an entity that becomes a Restricted Subsidiary of the TopCo Borrower as a result of such transaction) (or any combination thereof), (c) the payment of customary fees to directors of the TopCo Borrower or any of its Restricted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TopCo Borrower or any of its Restricted Subsidiaries, (d) transactions undertaken in good faith for the purpose of improving the consolidated tax efficiency of the TopCo Borrower and its Restricted Subsidiaries, (e) loans, advances and other transactions to the extent permitted by the terms of this Agreement, including without limitation any Restricted Payment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and transactions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(f) issuances of Equity Interests to Affiliates and the registration rights associated therewith, (g) transactions with Affiliates as set forth on </w:t>
      </w:r>
      <w:r>
        <w:rPr>
          <w:rFonts w:ascii="Times New Roman" w:cs="Times New Roman" w:eastAsia="Times New Roman" w:hAnsi="Times New Roman"/>
          <w:sz w:val="20"/>
          <w:szCs w:val="20"/>
          <w:u w:val="single" w:color="auto"/>
          <w:color w:val="auto"/>
        </w:rPr>
        <w:t>Schedule 6.07</w:t>
      </w:r>
      <w:r>
        <w:rPr>
          <w:rFonts w:ascii="Times New Roman" w:cs="Times New Roman" w:eastAsia="Times New Roman" w:hAnsi="Times New Roman"/>
          <w:sz w:val="20"/>
          <w:szCs w:val="20"/>
          <w:color w:val="auto"/>
        </w:rPr>
        <w:t xml:space="preserve"> (together with any amendments, restatements, extensions, replacements or other modifications thereto that are not materially adverse to the interests of the Lenders in their capacities as such), (h) any license, sublicense, lease or sublease (1) in existence on the Closing Date (together with any amendments, restatements, extensions, replacements or other modifications thereto that are not materially adverse to the interests of the Lenders in their capacities as such), (2) in the ordinary course of business or (3) substantially consistent with past practices, (i) transactions with joint ventures for the purchase or sale of property or other assets and services entered into in the ordinary course of business and Investments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in joint ventures, and (j) any transactions or series of related transactions with respect to which the aggregate consideration paid, or fair market value of property sold or disposed of, by the TopCo Borrower and its Restricted Subsidiaries is less than $10,000,000.</w:t>
      </w:r>
    </w:p>
    <w:p>
      <w:pPr>
        <w:spacing w:after="0" w:line="203"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Each Borrower will not and will not permit any Restricted Subsidiary to, declare or make, or agree to pay or make, directly or indirectly, any Restricted Payment, except:</w:t>
      </w:r>
    </w:p>
    <w:p>
      <w:pPr>
        <w:spacing w:after="0" w:line="159"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(a)    the TopCo Borrower may declare and pay dividends or make other Restricted Payments with respect to its Equity Interests payable solely in additional Equity Interests (other than Disqualified Equity);</w:t>
      </w:r>
    </w:p>
    <w:p>
      <w:pPr>
        <w:spacing w:after="0" w:line="159" w:lineRule="exact"/>
        <w:rPr>
          <w:sz w:val="20"/>
          <w:szCs w:val="20"/>
          <w:color w:val="auto"/>
        </w:rPr>
      </w:pPr>
    </w:p>
    <w:p>
      <w:pPr>
        <w:jc w:val="both"/>
        <w:ind w:left="4" w:right="20" w:firstLine="551"/>
        <w:spacing w:after="0" w:line="245" w:lineRule="auto"/>
        <w:rPr>
          <w:sz w:val="20"/>
          <w:szCs w:val="20"/>
          <w:color w:val="auto"/>
        </w:rPr>
      </w:pPr>
      <w:r>
        <w:rPr>
          <w:rFonts w:ascii="Times New Roman" w:cs="Times New Roman" w:eastAsia="Times New Roman" w:hAnsi="Times New Roman"/>
          <w:sz w:val="20"/>
          <w:szCs w:val="20"/>
          <w:color w:val="auto"/>
        </w:rPr>
        <w:t xml:space="preserve">(b)    Restricted Subsidiaries may (i) make dividends or other distributions to their respective equityholders with respect to their Equity Interests (which distributions shall be (x) made on at least a ratable basis to any such equityholders that are Loan Parties and (y) in the case of a Restricted Subsidiary that is not a Wholly-Owned Subsidiary, made on at least a ratable basis to any such equityholders that are the TopCo Borrower or a Restricted Subsidiary), (ii) make other Restricted Payments to Loan Parties (either directly or indirectly through one or more Restricted Subsidiaries that are not Loan Parties) and (iii) make any Restricted Payments that the TopCo Borrower would have otherwise been permitted to make pursuant to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(c)    the TopCo Borrower may make Restricted Payments pursuant to and in accordance with restricted stock agreements, stock option plans or other benefit plans for management, directors or employees of the TopCo Borrower and its Restricted Subsidiaries;</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4"/>
          </w:cols>
          <w:pgMar w:left="436" w:top="265" w:right="439" w:bottom="1440" w:gutter="0" w:footer="0" w:header="0"/>
        </w:sectPr>
      </w:pPr>
    </w:p>
    <w:bookmarkStart w:id="147" w:name="page148"/>
    <w:bookmarkEnd w:id="147"/>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the TopCo Borrower may repurchase Equity Interests upon the exercise of stock options or warrants if such Equity Interests represent a portion of the exercise price of such options or warrants or with the proceeds received from the substantially concurrent issue of new Equity Interests;</w:t>
      </w:r>
    </w:p>
    <w:p>
      <w:pPr>
        <w:spacing w:after="0" w:line="174"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(e)    Restricted Payments in an aggregate amount not to exceed the greater of $42,100,000 and 10% of Consolidated EBITDA for the most recently ended Test Period in any fiscal year of the TopCo Borrower, so long as prior to making such Restricted Payments and immediately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no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unused amount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any fiscal year shall be carried over to subsequent fiscal years;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(f)     [reserved];</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(g)     [reserved];</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(h)     [reserved];</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(i)    the TopCo Borrower may make repurchases of Equity Interests deemed to occur upon the withholding of a portion of the Equity Interests granted or awarded to a current or former officer, director, employee or consultant to pay for the taxes payable by such Person upon such grant or award (or upon vesting or exercise thereof);</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(j)    the TopCo Borrower may make payments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TopCo Borrower;</w:t>
      </w:r>
    </w:p>
    <w:p>
      <w:pPr>
        <w:spacing w:after="0" w:line="18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(k)    the TopCo Borrower and its Restricted Subsidiaries may make loans or advances to officers, directors, employees, managers, consultants and independent contractors of the TopCo Borrower or any Restricted Subsidiary in connection with such Person’s purchase of Equity Interests of the TopCo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cash is actually advanced other than to pay taxes due in connection with such purchase, unless immediately repaid;</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(l)    the TopCo Borrower may make (i)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 and (ii) any share repurchase contemplated by the Share Repurchase Program as in effect on the Closing Date;</w:t>
      </w:r>
    </w:p>
    <w:p>
      <w:pPr>
        <w:spacing w:after="0" w:line="180"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 xml:space="preserve">(m)    Restricted Payments in an aggregate amount not to exceed the Available Amount at such time so long as prior to making any such Restricted Payment and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(i) no Event of Default has occurred and is continuing and (ii) the Secured Net Leverage Ratio does not exceed 3.75 to 1.00;</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(n)    Restricted Payments so long as prior to making any such Restricted Payment and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(i) no Event of Default has occurred and is continuing and (ii) the Secured Net Leverage Ratio does not exceed 1.90 to 1.00;</w:t>
      </w:r>
    </w:p>
    <w:p>
      <w:pPr>
        <w:spacing w:after="0" w:line="174"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(o)    the TopCo Borrower may make a distribution, by dividend or otherwise, of the Equity Interests of any Unrestricted Subsidiary (or a Restricted Subsidiary that owns one or more Unrestricted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20"/>
          </w:cols>
          <w:pgMar w:left="440" w:top="265" w:right="439" w:bottom="1440" w:gutter="0" w:footer="0" w:header="0"/>
        </w:sectPr>
      </w:pPr>
    </w:p>
    <w:bookmarkStart w:id="148" w:name="page149"/>
    <w:bookmarkEnd w:id="148"/>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Restricted Subsidiary owns no assets other than Equity Interests of one or more Unrestricted Subsidiaries and immaterial assets incidental to the ownership thereof), excluding any Unrestricted Subsidiary the primary assets of which are cash and/or Cash Equivalents;</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(p)     the payment of the purchase consideration in connection with the Target Acquisition, including in respect of the CVRs; and</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(q)    the TopCo Borrower may pay dividends or make other Restricted Payments with respect to its Equity Interests not to exceed 6% of the Market Capitalization as of the close of business on the trading day immediately prior to the date such Restricted Payment is declared per calendar year.</w:t>
      </w:r>
    </w:p>
    <w:p>
      <w:pPr>
        <w:spacing w:after="0" w:line="174"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(A) a Restricted Payment need not be made solely by reference to one category described in this Section 6.08, but is permitted to be made in part under any combination thereof and (B) in the event that a particular Restricted Payment meets the criteria of more than one of the categories of Restricted Payments described in clauses (a) through</w:t>
      </w:r>
    </w:p>
    <w:p>
      <w:pPr>
        <w:jc w:val="both"/>
        <w:ind w:left="4" w:hanging="4"/>
        <w:spacing w:after="0" w:line="242" w:lineRule="auto"/>
        <w:tabs>
          <w:tab w:leader="none" w:pos="30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the Borrowers may, in their sole discretion, divide or classify all or a portion of such Restricted Payment in a manner that complies with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and will only be required to include the amount and type of such Restricted Payment (or any portion thereof) in one or more of the above clauses.</w:t>
      </w:r>
    </w:p>
    <w:p>
      <w:pPr>
        <w:spacing w:after="0" w:line="187" w:lineRule="exact"/>
        <w:rPr>
          <w:sz w:val="20"/>
          <w:szCs w:val="20"/>
          <w:color w:val="auto"/>
        </w:rPr>
      </w:pPr>
    </w:p>
    <w:p>
      <w:pPr>
        <w:ind w:left="4" w:firstLine="551"/>
        <w:spacing w:after="0" w:line="250"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Each Borrower will not and will not permit any Restricted Subsidiary to, directly or indirectly, enter into, incur or permit to exist any agreement or other arrangement that prohibits, restricts or imposes any condition upon</w:t>
      </w:r>
    </w:p>
    <w:p>
      <w:pPr>
        <w:spacing w:after="0" w:line="2" w:lineRule="exact"/>
        <w:rPr>
          <w:sz w:val="20"/>
          <w:szCs w:val="20"/>
          <w:color w:val="auto"/>
        </w:rPr>
      </w:pPr>
    </w:p>
    <w:p>
      <w:pPr>
        <w:jc w:val="both"/>
        <w:ind w:left="4" w:hanging="4"/>
        <w:spacing w:after="0" w:line="239" w:lineRule="auto"/>
        <w:tabs>
          <w:tab w:leader="none" w:pos="28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ability of the TopCo Borrower or any Restricted Subsidiary to create, incur or permit to exist any Lien upon any of its property or assets to secure the Secured Obligations (to the extent required by the Loan Documents), or (b) the ability of any Restricted Subsidiary to pay dividends or other distributions with respect to holders of its Equity Interests or to make or repay loans or advances to the TopCo Borrower or any other Restricted Subsidiary, or (to the extent required by the Loan Documents) to Guarantee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shall not apply to (A) restrictions and conditions imposed by law or by any Loan Document,</w:t>
      </w:r>
    </w:p>
    <w:p>
      <w:pPr>
        <w:spacing w:after="0" w:line="2" w:lineRule="exact"/>
        <w:rPr>
          <w:rFonts w:ascii="Times New Roman" w:cs="Times New Roman" w:eastAsia="Times New Roman" w:hAnsi="Times New Roman"/>
          <w:sz w:val="20"/>
          <w:szCs w:val="20"/>
          <w:color w:val="auto"/>
        </w:rPr>
      </w:pPr>
    </w:p>
    <w:p>
      <w:pPr>
        <w:jc w:val="both"/>
        <w:ind w:left="4"/>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(B) restrictions and conditions existing on the Closing Date and identified on </w:t>
      </w:r>
      <w:r>
        <w:rPr>
          <w:rFonts w:ascii="Times New Roman" w:cs="Times New Roman" w:eastAsia="Times New Roman" w:hAnsi="Times New Roman"/>
          <w:sz w:val="19"/>
          <w:szCs w:val="19"/>
          <w:u w:val="single" w:color="auto"/>
          <w:color w:val="auto"/>
        </w:rPr>
        <w:t>Schedule 6.09</w:t>
      </w:r>
      <w:r>
        <w:rPr>
          <w:rFonts w:ascii="Times New Roman" w:cs="Times New Roman" w:eastAsia="Times New Roman" w:hAnsi="Times New Roman"/>
          <w:sz w:val="19"/>
          <w:szCs w:val="19"/>
          <w:color w:val="auto"/>
        </w:rPr>
        <w:t xml:space="preserve"> and any amendment, modification, refinancing, replacement, renewal or extension thereof that does not materially expand the scope of any such restriction or condition taken as a whole, (C) restrictions and conditions imposed on any Restricted Subsidiary or asset by any agreements in existence at the time such Restricted Subsidiary became a Restricted Subsidiary or such asset was acquired and any amendment, modification, refinancing, replacement, renewal or extension thereof that does not materially expand the scope of any such restriction or condition taken as a whole;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such Restricted Subsidiary or asset, (D) customary restrictions and conditions contained in agreements relating to the sale of a Restricted Subsidiary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the Restricted Subsidiary that is to be sold, (E) customary restrictions and conditions contained in any agreement relating to the disposition of any property pending the consummation of such disposition, (F) restrictions in the transfers of assets encumbered by a Lien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(G) restrictions or conditions set forth in any agreement governing Indebtedness permitted by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are customary for such Indebtedness as determined in the good faith judgment of the U.S. Borrower, (H) customary provisions restricting assignment of any leases, sub-leases, licenses, sublicenses, contracts and other similar agreements entered into in the ordinary course of business or restricting the assignment, pledge, transfer or sublease or sublicense of the property leased, licensed or otherwise the subject thereof, (I) customary restrictions on cash or other deposits (including escrowed funds) or net worth imposed under contracts, (J) customary restrictions and conditions (as reasonably determined by a Responsible Officer of the U.S. Borrower in good faith) in any agreement evidencing Permitted Convertible Debt, so long as the covenants and events of default therein are not more restrictive on the TopCo Borrower and its Restricted Subsidiaries in any material respect than the covenants and events of default in the Loan Documents, taken as a whole, (K) [reserved], (L) customary restrictions (as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4"/>
          </w:cols>
          <w:pgMar w:left="436" w:top="265" w:right="439" w:bottom="1440" w:gutter="0" w:footer="0" w:header="0"/>
        </w:sectPr>
      </w:pPr>
    </w:p>
    <w:bookmarkStart w:id="149" w:name="page150"/>
    <w:bookmarkEnd w:id="149"/>
    <w:p>
      <w:pPr>
        <w:ind w:left="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determined by the U.S. Borrower) in the definitive documentation governing any Receivables Purchase Transaction;</w:t>
      </w:r>
    </w:p>
    <w:p>
      <w:pPr>
        <w:spacing w:after="0" w:line="22" w:lineRule="exact"/>
        <w:rPr>
          <w:sz w:val="20"/>
          <w:szCs w:val="20"/>
          <w:color w:val="auto"/>
        </w:rPr>
      </w:pPr>
    </w:p>
    <w:p>
      <w:pPr>
        <w:jc w:val="both"/>
        <w:ind w:left="4" w:hanging="4"/>
        <w:spacing w:after="0" w:line="252" w:lineRule="auto"/>
        <w:tabs>
          <w:tab w:leader="none" w:pos="365"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prohibitions, restrictions and conditions contained in any agreement or document relating to the consummation of a transaction which is conditioned upon (i) the amendment, restatement, modification or replacement of this Agreement which would have the effect of consenting to such prohibition, restriction or condition or (ii) the repayment in full (other than contingent indemnification and expense reimbursement obligations for which no claim has been made) of Obligations owing under this Agreement and the termination of the Commitments, (N) purchase money obligations for property acquired and obligations in respect of Capital Lease Obligations, to the extent such obligations impose restrictions on the property so acquired, solely as permitted by, the terms of this Agreement, (O) any encumbrance or restriction arising or agreed to in the ordinary course of business, not relating to any Indebtedness, and that do not, individually or in the aggregate, (x) detract from the value of the property or assets of the TopCo Borrower or any Restricted Subsidiary in any manner material to the TopCo Borrower or any Restricted Subsidiary, (y) detract from the value of the Collateral in any manner material to the Secured Parties or (z) materially affect any Borrower’s ability to make future principal or interest payments under this Agreement, in each case, as determined by the U.S. Borrower in good faith and (P) any encumbrances or restrictions of the type referred to in the immediately preceding clauses (A) through (O) above imposed by any amendments, modifications, restatements, renewals, increases, supplements, refundings, replacements or refinancings of the contracts, instruments or obligations referred to such immediately preceding clauses</w:t>
      </w:r>
    </w:p>
    <w:p>
      <w:pPr>
        <w:spacing w:after="0" w:line="1" w:lineRule="exact"/>
        <w:rPr>
          <w:rFonts w:ascii="Times New Roman" w:cs="Times New Roman" w:eastAsia="Times New Roman" w:hAnsi="Times New Roman"/>
          <w:sz w:val="19"/>
          <w:szCs w:val="19"/>
          <w:color w:val="auto"/>
        </w:rPr>
      </w:pPr>
    </w:p>
    <w:p>
      <w:pPr>
        <w:jc w:val="both"/>
        <w:ind w:left="4" w:hanging="4"/>
        <w:spacing w:after="0"/>
        <w:tabs>
          <w:tab w:leader="none" w:pos="3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(O)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encumbrances and restrictions contained in any such amendment, modification, restatement, renewal, increase, supplement, refunding, replacement or refinancing are, in the good faith judgment of the U.S. Borrower, not materially more restrictive, taken as a whole, than the encumbrances and restrictions prior to such amendment, modification, restatement, renewal, increase, supplement, refunding, replacement or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only to such Restricted Subsidiary and to any Equity Interests in such Restricted Subsidiary, (ii)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shall not apply to restrictions or conditions imposed by any agreement relating to secured Indebtedness permitted by this Agreement if such restrictions or conditions apply only to the property or assets securing such Indebtedness, (iii)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shall not apply to customary provisions in leases and other contracts restricting the assignment thereof, (iv)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shall not apply to prohibitions, restrictions and conditions imposed on any Unrestricted Margin Stock and (v)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shall not apply to customary restrictions and conditions with respect to joint ventures.</w:t>
      </w:r>
    </w:p>
    <w:p>
      <w:pPr>
        <w:spacing w:after="0" w:line="18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Junior Indebtedness and Amendments to Junior Indebtedness Documents and Organizational Documents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(a)    Each Borrower will not and will not permit any Restricted Subsidiary to, directly or indirectly voluntarily prepay, defease or in substance defease, purchase, redeem, retire or otherwise acquire, any Junior Indebtedness or any Indebtedness from time to time outstanding under the Junior Indebtedness Documents (any of the foregoing, a “</w:t>
      </w:r>
      <w:r>
        <w:rPr>
          <w:rFonts w:ascii="Times New Roman" w:cs="Times New Roman" w:eastAsia="Times New Roman" w:hAnsi="Times New Roman"/>
          <w:sz w:val="20"/>
          <w:szCs w:val="20"/>
          <w:u w:val="single" w:color="auto"/>
          <w:color w:val="auto"/>
        </w:rPr>
        <w:t>Restricted Debt Payment</w:t>
      </w:r>
      <w:r>
        <w:rPr>
          <w:rFonts w:ascii="Times New Roman" w:cs="Times New Roman" w:eastAsia="Times New Roman" w:hAnsi="Times New Roman"/>
          <w:sz w:val="20"/>
          <w:szCs w:val="20"/>
          <w:color w:val="auto"/>
        </w:rPr>
        <w:t>”), other than each of the following:</w:t>
      </w:r>
    </w:p>
    <w:p>
      <w:pPr>
        <w:spacing w:after="0" w:line="180" w:lineRule="exact"/>
        <w:rPr>
          <w:sz w:val="20"/>
          <w:szCs w:val="20"/>
          <w:color w:val="auto"/>
        </w:rPr>
      </w:pPr>
    </w:p>
    <w:p>
      <w:pPr>
        <w:jc w:val="both"/>
        <w:ind w:left="544" w:firstLine="523"/>
        <w:spacing w:after="0" w:line="254" w:lineRule="auto"/>
        <w:rPr>
          <w:sz w:val="20"/>
          <w:szCs w:val="20"/>
          <w:color w:val="auto"/>
        </w:rPr>
      </w:pPr>
      <w:r>
        <w:rPr>
          <w:rFonts w:ascii="Times New Roman" w:cs="Times New Roman" w:eastAsia="Times New Roman" w:hAnsi="Times New Roman"/>
          <w:sz w:val="20"/>
          <w:szCs w:val="20"/>
          <w:color w:val="auto"/>
        </w:rPr>
        <w:t>(i)    regularly scheduled payments of principal, interest and fees (including any penalty interest, if applicable) and payments of fees, expenses and obligations as and when due (other than payments with respect to Junior Indebtedness that are prohibited by the intercreditor or subordination provisions thereof);</w:t>
      </w:r>
    </w:p>
    <w:p>
      <w:pPr>
        <w:spacing w:after="0" w:line="174" w:lineRule="exact"/>
        <w:rPr>
          <w:sz w:val="20"/>
          <w:szCs w:val="20"/>
          <w:color w:val="auto"/>
        </w:rPr>
      </w:pPr>
    </w:p>
    <w:p>
      <w:pPr>
        <w:jc w:val="both"/>
        <w:ind w:left="544" w:firstLine="523"/>
        <w:spacing w:after="0" w:line="249" w:lineRule="auto"/>
        <w:rPr>
          <w:sz w:val="20"/>
          <w:szCs w:val="20"/>
          <w:color w:val="auto"/>
        </w:rPr>
      </w:pPr>
      <w:r>
        <w:rPr>
          <w:rFonts w:ascii="Times New Roman" w:cs="Times New Roman" w:eastAsia="Times New Roman" w:hAnsi="Times New Roman"/>
          <w:sz w:val="20"/>
          <w:szCs w:val="20"/>
          <w:color w:val="auto"/>
        </w:rPr>
        <w:t xml:space="preserve">(ii)    other Restricted Debt Payments in an aggregate amount not to exceed the sum of (x) the greater of $84,200,000 and 20.0% of Consolidated EBITDA for the most recently ended Test Period and (y) the Available Restricted Payments Amount, so long as prior to making such Restricted Debt Payments and immediately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no Event of Default has occurred and is continuing;</w:t>
      </w:r>
    </w:p>
    <w:p>
      <w:pPr>
        <w:spacing w:after="0" w:line="180" w:lineRule="exact"/>
        <w:rPr>
          <w:sz w:val="20"/>
          <w:szCs w:val="20"/>
          <w:color w:val="auto"/>
        </w:rPr>
      </w:pPr>
    </w:p>
    <w:p>
      <w:pPr>
        <w:ind w:left="1064"/>
        <w:spacing w:after="0"/>
        <w:rPr>
          <w:sz w:val="20"/>
          <w:szCs w:val="20"/>
          <w:color w:val="auto"/>
        </w:rPr>
      </w:pPr>
      <w:r>
        <w:rPr>
          <w:rFonts w:ascii="Times New Roman" w:cs="Times New Roman" w:eastAsia="Times New Roman" w:hAnsi="Times New Roman"/>
          <w:sz w:val="20"/>
          <w:szCs w:val="20"/>
          <w:color w:val="auto"/>
        </w:rPr>
        <w:t>(iii)     [reserved];</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4"/>
          </w:cols>
          <w:pgMar w:left="436" w:top="265" w:right="439" w:bottom="1440" w:gutter="0" w:footer="0" w:header="0"/>
        </w:sectPr>
      </w:pPr>
    </w:p>
    <w:bookmarkStart w:id="150" w:name="page151"/>
    <w:bookmarkEnd w:id="150"/>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other Restricted Debt Payments so long so long as prior to making such Restricted Debt Payment and immediately after giving effect (including giving effect on a pro forma basis) thereto (i) no Event of Default has occurred and is continuing and (ii) the Secured Net Leverage Ratio does not exceed 2.75 to 1.00;</w:t>
      </w:r>
    </w:p>
    <w:p>
      <w:pPr>
        <w:spacing w:after="0" w:line="174"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(v)      Restricted Debt Payments in respect of any Junior Indebtedness with the proceeds of any Permitted Refinancing Indebtedness in respect thereof;</w:t>
      </w:r>
    </w:p>
    <w:p>
      <w:pPr>
        <w:spacing w:after="0" w:line="159" w:lineRule="exact"/>
        <w:rPr>
          <w:sz w:val="20"/>
          <w:szCs w:val="20"/>
          <w:color w:val="auto"/>
        </w:rPr>
      </w:pPr>
    </w:p>
    <w:p>
      <w:pPr>
        <w:jc w:val="both"/>
        <w:ind w:left="540" w:right="20" w:firstLine="523"/>
        <w:spacing w:after="0" w:line="258" w:lineRule="auto"/>
        <w:rPr>
          <w:sz w:val="20"/>
          <w:szCs w:val="20"/>
          <w:color w:val="auto"/>
        </w:rPr>
      </w:pPr>
      <w:r>
        <w:rPr>
          <w:rFonts w:ascii="Times New Roman" w:cs="Times New Roman" w:eastAsia="Times New Roman" w:hAnsi="Times New Roman"/>
          <w:sz w:val="19"/>
          <w:szCs w:val="19"/>
          <w:color w:val="auto"/>
        </w:rPr>
        <w:t xml:space="preserve">(vi)      in the case of Permitted Convertible Debt, (i) Restricted Debt Payments solely made or settled in Equity Interests (other than Disqualified Equity) of the TopCo Borrower and cash in lieu of fractional shares, (ii) payments and deliveries due upon conversion thereof (subject to the provisions of </w:t>
      </w:r>
      <w:r>
        <w:rPr>
          <w:rFonts w:ascii="Times New Roman" w:cs="Times New Roman" w:eastAsia="Times New Roman" w:hAnsi="Times New Roman"/>
          <w:sz w:val="19"/>
          <w:szCs w:val="19"/>
          <w:u w:val="single" w:color="auto"/>
          <w:color w:val="auto"/>
        </w:rPr>
        <w:t>Section 6.08</w:t>
      </w:r>
      <w:r>
        <w:rPr>
          <w:rFonts w:ascii="Times New Roman" w:cs="Times New Roman" w:eastAsia="Times New Roman" w:hAnsi="Times New Roman"/>
          <w:sz w:val="19"/>
          <w:szCs w:val="19"/>
          <w:color w:val="auto"/>
        </w:rPr>
        <w:t xml:space="preserve">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payment of cash (other than cash in lieu of fractional shares) upon such conversion does not exceed the principal amount of such Permitted Convertible Debt being converted,</w:t>
      </w:r>
    </w:p>
    <w:p>
      <w:pPr>
        <w:spacing w:after="0" w:line="1" w:lineRule="exact"/>
        <w:rPr>
          <w:sz w:val="20"/>
          <w:szCs w:val="20"/>
          <w:color w:val="auto"/>
        </w:rPr>
      </w:pPr>
    </w:p>
    <w:p>
      <w:pPr>
        <w:jc w:val="both"/>
        <w:ind w:left="540" w:right="20" w:firstLine="7"/>
        <w:spacing w:after="0"/>
        <w:tabs>
          <w:tab w:leader="none" w:pos="89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purchase, exchange, early termination or cancellation of Permitted Convertible Debt in an aggregate principal amount not to exceed the Net Proceeds received by the TopCo Borrower from the issuance of additional Permitted Convertible Debt or Equity Interests (other than Disqualified Equity) in connection with a refinancing of the Permitted Convertible Debt being redeemed, purchased, exchanged, terminated or cancelled, (iv) issuance of Equity Interests (other than Disqualified Equity) (and cash in lieu of fractional shares in connection with such issuance) of the TopCo Borrower in connection with any Permitted Warrant Transaction, and (v) payments of the initial purchase price for each Permitted Bond Hedge Transaction; and</w:t>
      </w:r>
    </w:p>
    <w:p>
      <w:pPr>
        <w:spacing w:after="0" w:line="191" w:lineRule="exact"/>
        <w:rPr>
          <w:sz w:val="20"/>
          <w:szCs w:val="20"/>
          <w:color w:val="auto"/>
        </w:rPr>
      </w:pPr>
    </w:p>
    <w:p>
      <w:pPr>
        <w:jc w:val="both"/>
        <w:ind w:left="540" w:firstLine="523"/>
        <w:spacing w:after="0" w:line="254" w:lineRule="auto"/>
        <w:rPr>
          <w:sz w:val="20"/>
          <w:szCs w:val="20"/>
          <w:color w:val="auto"/>
        </w:rPr>
      </w:pPr>
      <w:r>
        <w:rPr>
          <w:rFonts w:ascii="Times New Roman" w:cs="Times New Roman" w:eastAsia="Times New Roman" w:hAnsi="Times New Roman"/>
          <w:sz w:val="20"/>
          <w:szCs w:val="20"/>
          <w:color w:val="auto"/>
        </w:rPr>
        <w:t xml:space="preserve">(vii)      Restricted Debt Payments in an aggregate amount not to exceed the Available Amount at such time so long as prior to making any such Restricted Debt Payment and after giving effect (including giving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thereto (i) no Event of Default then has occurred and is continuing and (ii) the Secured Net Leverage Ratio does not exceed 3.75 to 1.00.</w:t>
      </w:r>
    </w:p>
    <w:p>
      <w:pPr>
        <w:spacing w:after="0" w:line="17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 a Restricted Debt Payment need not be made solely by reference to one category described in this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but is permitted to be made in part under any combination thereof and (B) in the event that a particular Restricted Debt Payment meets the criteria of more than one of the categories of Restricted Debt Payments described in clauses (i) through (vii) above, the Borrowers may, in their sole discretion, divide or classify all or a portion of such Restricted Debt Payment in a manner that complies with this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will only be required to include the amount and type of such Restricted Debt Payment (or any portion thereof) in one or more of the above clauses.</w:t>
      </w:r>
    </w:p>
    <w:p>
      <w:pPr>
        <w:spacing w:after="0" w:line="184"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(b)      Furthermore, each Borrower will not and will not permit any Restricted Subsidiary to, amend, modify or waive any provision of (x) any of its organizational documents (other than a change in registered agents) if such amendment, modification or waiver would be materially adverse to the Lenders or would otherwise breach any provision of the Loan Documents, (y) the Junior Indebtedness Documents (or any replacements, substitutions, extensions or renewals thereof) pursuant to which any Permitted Convertible Debt is issued that would result in such Permitted Convertible Debt no longer constituting Permitted Convertible Debt or (z) the Junior Indebtedness Documents (or any replacements, substitutions, extensions or renewals thereof) pursuant to which such Indebtedness (other than Permitted Convertible Debt) is issued, where in the case of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xml:space="preserve"> such amendment, modification or waiver provides for the following or which has any of the following effects:</w:t>
      </w:r>
    </w:p>
    <w:p>
      <w:pPr>
        <w:spacing w:after="0" w:line="189" w:lineRule="exact"/>
        <w:rPr>
          <w:sz w:val="20"/>
          <w:szCs w:val="20"/>
          <w:color w:val="auto"/>
        </w:rPr>
      </w:pPr>
    </w:p>
    <w:p>
      <w:pPr>
        <w:ind w:left="540" w:firstLine="523"/>
        <w:spacing w:after="0" w:line="269" w:lineRule="auto"/>
        <w:rPr>
          <w:sz w:val="20"/>
          <w:szCs w:val="20"/>
          <w:color w:val="auto"/>
        </w:rPr>
      </w:pPr>
      <w:r>
        <w:rPr>
          <w:rFonts w:ascii="Times New Roman" w:cs="Times New Roman" w:eastAsia="Times New Roman" w:hAnsi="Times New Roman"/>
          <w:sz w:val="20"/>
          <w:szCs w:val="20"/>
          <w:color w:val="auto"/>
        </w:rPr>
        <w:t xml:space="preserve">(i)      increases the overall principal amount of any such Indebtedness (except through payments-in-kind), except any such increase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0"/>
          </w:cols>
          <w:pgMar w:left="440" w:top="265" w:right="439" w:bottom="1440" w:gutter="0" w:footer="0" w:header="0"/>
        </w:sectPr>
      </w:pPr>
    </w:p>
    <w:bookmarkStart w:id="151" w:name="page152"/>
    <w:bookmarkEnd w:id="151"/>
    <w:p>
      <w:pPr>
        <w:jc w:val="both"/>
        <w:ind w:left="544" w:right="20" w:firstLine="523"/>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shortens or accelerates the date upon which any installment of principal or interest becomes due, increases the amount of any single scheduled installment of principal or interest or adds any additional mandatory redemption provisions, in each case, in a manner that would not have been permitted at the time of incurrence of such Indebtedness; or</w:t>
      </w:r>
    </w:p>
    <w:p>
      <w:pPr>
        <w:spacing w:after="0" w:line="174" w:lineRule="exact"/>
        <w:rPr>
          <w:sz w:val="20"/>
          <w:szCs w:val="20"/>
          <w:color w:val="auto"/>
        </w:rPr>
      </w:pPr>
    </w:p>
    <w:p>
      <w:pPr>
        <w:jc w:val="both"/>
        <w:ind w:left="544" w:right="20" w:firstLine="523"/>
        <w:spacing w:after="0" w:line="269" w:lineRule="auto"/>
        <w:rPr>
          <w:sz w:val="20"/>
          <w:szCs w:val="20"/>
          <w:color w:val="auto"/>
        </w:rPr>
      </w:pPr>
      <w:r>
        <w:rPr>
          <w:rFonts w:ascii="Times New Roman" w:cs="Times New Roman" w:eastAsia="Times New Roman" w:hAnsi="Times New Roman"/>
          <w:sz w:val="20"/>
          <w:szCs w:val="20"/>
          <w:color w:val="auto"/>
        </w:rPr>
        <w:t>(iii)      shortens the final maturity date of such Indebtedness or otherwise accelerates the amortization schedule with respect to such Indebtedness, in each case, in a manner that would not have been permitted at the time of incurrence of such Indebtedness.</w:t>
      </w:r>
    </w:p>
    <w:p>
      <w:pPr>
        <w:spacing w:after="0" w:line="159"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xml:space="preserve">. Each Borrower will not and will not permit any Restricted Subsidiary to, enter into any Sale and Leaseback Transaction, unless (a) the Disposition of the property thereunder is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(b) any Liens arising in connection therewith (including Liens deemed to arise in connection with any such Capital Lease Obligations and obligations under Synthetic Leases) are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4" w:right="20" w:firstLine="551"/>
        <w:spacing w:after="0" w:line="260" w:lineRule="auto"/>
        <w:rPr>
          <w:sz w:val="20"/>
          <w:szCs w:val="20"/>
          <w:color w:val="auto"/>
        </w:rPr>
      </w:pPr>
      <w:r>
        <w:rPr>
          <w:rFonts w:ascii="Times New Roman" w:cs="Times New Roman" w:eastAsia="Times New Roman" w:hAnsi="Times New Roman"/>
          <w:sz w:val="19"/>
          <w:szCs w:val="19"/>
          <w:color w:val="auto"/>
        </w:rPr>
        <w:t xml:space="preserve">Section 6.12      </w:t>
      </w:r>
      <w:r>
        <w:rPr>
          <w:rFonts w:ascii="Times New Roman" w:cs="Times New Roman" w:eastAsia="Times New Roman" w:hAnsi="Times New Roman"/>
          <w:sz w:val="19"/>
          <w:szCs w:val="19"/>
          <w:u w:val="single" w:color="auto"/>
          <w:color w:val="auto"/>
        </w:rPr>
        <w:t>Material Intellectual Property</w:t>
      </w:r>
      <w:r>
        <w:rPr>
          <w:rFonts w:ascii="Times New Roman" w:cs="Times New Roman" w:eastAsia="Times New Roman" w:hAnsi="Times New Roman"/>
          <w:sz w:val="19"/>
          <w:szCs w:val="19"/>
          <w:color w:val="auto"/>
        </w:rPr>
        <w:t>. Notwithstanding anything to the contrary, no Intellectual Property that is material to the business of the TopCo Borrower and its Restricted Subsidiaries, taken as a whole, that is owned by or exclusively licensed to (a) a Loan Party shall be assigned, transferred or exclusively licensed or exclusively sublicensed to (i) any Subsidiary that is not a Loan Party or</w:t>
      </w:r>
    </w:p>
    <w:p>
      <w:pPr>
        <w:jc w:val="both"/>
        <w:ind w:left="4" w:hanging="4"/>
        <w:spacing w:after="0" w:line="242" w:lineRule="auto"/>
        <w:tabs>
          <w:tab w:leader="none" w:pos="3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Affiliate of the TopCo Borrower or any of its Subsidiaries (other than a Loan Party) or (b) a Restricted Subsidiary that is not a Loan Party shall be assigned, transferred or exclusively licensed or sublicensed to any Unrestricted Subsidiary or other Affiliate of the TopCo Borrower or any of its Restricted Subsidiaries (other than a Restricted Subsidiary of the TopCo Borrower).</w:t>
      </w:r>
    </w:p>
    <w:p>
      <w:pPr>
        <w:spacing w:after="0" w:line="18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Maximum Secured Net Leverage Ratio</w:t>
      </w:r>
      <w:r>
        <w:rPr>
          <w:rFonts w:ascii="Times New Roman" w:cs="Times New Roman" w:eastAsia="Times New Roman" w:hAnsi="Times New Roman"/>
          <w:sz w:val="20"/>
          <w:szCs w:val="20"/>
          <w:color w:val="auto"/>
        </w:rPr>
        <w:t xml:space="preserve">. The TopCo Borrower will not permit the Secured Net Leverage Ratio, determined as of the last day of any fiscal quarter of the TopCo Borrower to be greater than (i) in the case of the first fiscal quarter ending after the Closing Date and each fiscal quarter thereafter ending prior to December 31, 2026, 4.25 to 1.00, (ii) in the case of the fiscal quarters ending on December 31, 2026 and March 31, 2027, 4.00 to 1.00 and (iii) in the case of each fiscal quarter ending on or after June 30, 2027, 3.75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a Covenant Holiday Period, the foregoing thresholds shall be increased to (x) in the case of the first fiscal quarter ending after the Closing Date and each fiscal quarter thereafter ending prior to June 30, 2027, 4.50 to 1.00 and (y) in the case of each fiscal quarter ending on or after June 30, 2027, 4.25 to 1.00.</w:t>
      </w:r>
    </w:p>
    <w:p>
      <w:pPr>
        <w:spacing w:after="0" w:line="186" w:lineRule="exact"/>
        <w:rPr>
          <w:sz w:val="20"/>
          <w:szCs w:val="20"/>
          <w:color w:val="auto"/>
        </w:rPr>
      </w:pPr>
    </w:p>
    <w:p>
      <w:pPr>
        <w:jc w:val="both"/>
        <w:ind w:left="4" w:right="20" w:firstLine="551"/>
        <w:spacing w:after="0" w:line="295"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Minimum Consolidated Interest Coverage Ratio</w:t>
      </w:r>
      <w:r>
        <w:rPr>
          <w:rFonts w:ascii="Times New Roman" w:cs="Times New Roman" w:eastAsia="Times New Roman" w:hAnsi="Times New Roman"/>
          <w:sz w:val="19"/>
          <w:szCs w:val="19"/>
          <w:color w:val="auto"/>
        </w:rPr>
        <w:t>. The TopCo Borrower will not permit the Consolidated Interest Coverage Ratio, determined as of the last day of any fiscal quarter of the TopCo Borrower ending after the Closing Date to be less than 2.50 to 1.00.</w:t>
      </w:r>
    </w:p>
    <w:p>
      <w:pPr>
        <w:spacing w:after="0" w:line="13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6.14       </w:t>
      </w:r>
      <w:r>
        <w:rPr>
          <w:rFonts w:ascii="Times New Roman" w:cs="Times New Roman" w:eastAsia="Times New Roman" w:hAnsi="Times New Roman"/>
          <w:sz w:val="20"/>
          <w:szCs w:val="20"/>
          <w:u w:val="single" w:color="auto"/>
          <w:color w:val="auto"/>
        </w:rPr>
        <w:t>Covenant Suspension Period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(a)      During a Covenant Suspension Period, (a) the TopCo Borrower and its Restricted Subsidiaries will not be subject to the provisions of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and (b) solely Restricted Subsidiaries that are not Loan Parties will be subject to the provisions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u w:val="single" w:color="auto"/>
          <w:color w:val="auto"/>
        </w:rPr>
        <w:t>Suspended Covenants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(b)      In the event that the Loan Parties and Restricted Subsidiaries are not subject to the applicable Suspended Covenants for any Covenant Suspension Period and, subsequently, the requirements of a Covenant Suspension Period Event cease to be satisfied (including as a result of either Moody’s or S&amp;P withdrawing its rating) (such date, a “</w:t>
      </w:r>
      <w:r>
        <w:rPr>
          <w:rFonts w:ascii="Times New Roman" w:cs="Times New Roman" w:eastAsia="Times New Roman" w:hAnsi="Times New Roman"/>
          <w:sz w:val="20"/>
          <w:szCs w:val="20"/>
          <w:u w:val="single" w:color="auto"/>
          <w:color w:val="auto"/>
        </w:rPr>
        <w:t>Reinstatement Date</w:t>
      </w:r>
      <w:r>
        <w:rPr>
          <w:rFonts w:ascii="Times New Roman" w:cs="Times New Roman" w:eastAsia="Times New Roman" w:hAnsi="Times New Roman"/>
          <w:sz w:val="20"/>
          <w:szCs w:val="20"/>
          <w:color w:val="auto"/>
        </w:rPr>
        <w:t>”), then the Loan Parties and Restricted</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24"/>
          </w:cols>
          <w:pgMar w:left="436" w:top="265" w:right="439" w:bottom="1440" w:gutter="0" w:footer="0" w:header="0"/>
        </w:sectPr>
      </w:pPr>
    </w:p>
    <w:bookmarkStart w:id="152" w:name="page153"/>
    <w:bookmarkEnd w:id="15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will, after the Reinstatement Date, again be subject to the Suspended Covenants with respect to future events (unless and until a Covenant Suspension Period Event again exists).</w:t>
      </w:r>
    </w:p>
    <w:p>
      <w:pPr>
        <w:spacing w:after="0" w:line="15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(c)      On the Reinstatement Date, all Indebtedness incurred during the Covenant Suspension Period shall be classified as having been outstanding on the Closing Date, so that it is classified as permitted under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(d)      Calculations made after the Reinstatement Date of the amount available to be made as Restricted Payments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shall be made as though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had been in effect prior to, but not during, the Covenant Suspension Period. Accordingly, Restricted Payments made during the Covenant Suspension Period shall not reduce the amount available to be made as Restricted Payments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(e)       Notwithstanding that the Suspended Covenants may be reinstated, no Default or Event of Default will be deemed to have occurred as a result of a failure to comply with the Suspended Covenants during a Covenant Suspension Period (or on the Reinstatement Date or after a Covenant Suspension Period based solely on events that occurred during the Covenant Suspension Period).</w:t>
      </w:r>
    </w:p>
    <w:p>
      <w:pPr>
        <w:spacing w:after="0" w:line="174"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(g)      The U.S. Borrower will provide prompt written notice to the Administrative Agent of any Covenant Suspension Period Event and any Reinstatement Date. The Administrative Agent is not required under this Agreement to monitor the ratings of the Term Loans or to give notice to the Lenders of the occurrence of any Covenant Suspension Period Event or any Reinstatement Date.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16" w:lineRule="exact"/>
        <w:rPr>
          <w:sz w:val="20"/>
          <w:szCs w:val="20"/>
          <w:color w:val="auto"/>
        </w:rPr>
      </w:pPr>
    </w:p>
    <w:p>
      <w:pPr>
        <w:jc w:val="both"/>
        <w:ind w:firstLine="551"/>
        <w:spacing w:after="0" w:line="269" w:lineRule="auto"/>
        <w:rPr>
          <w:sz w:val="20"/>
          <w:szCs w:val="20"/>
          <w:color w:val="auto"/>
        </w:rPr>
      </w:pPr>
      <w:r>
        <w:rPr>
          <w:rFonts w:ascii="Times New Roman" w:cs="Times New Roman" w:eastAsia="Times New Roman" w:hAnsi="Times New Roman"/>
          <w:sz w:val="20"/>
          <w:szCs w:val="20"/>
          <w:color w:val="auto"/>
        </w:rPr>
        <w:t>(a)      the Borrowers shall fail to pay any principal of any Loan when and as the same shall become due and payable, whether at the due date thereof or at a date fixed for prepayment thereof or otherwise;</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(b)      the Borrowers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payable under this Agreement or any other Loan Document, when and as the same shall become due and payable, and such failure shall continue unremedied for a period of five Business Days;</w:t>
      </w:r>
    </w:p>
    <w:p>
      <w:pPr>
        <w:spacing w:after="0" w:line="174"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(c)      any representation or warranty made or deemed made by or on behalf of any Borrower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when made or deemed made;</w:t>
      </w:r>
    </w:p>
    <w:p>
      <w:pPr>
        <w:spacing w:after="0" w:line="185"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(d)      any Borrower shall fail to observe or perform any covenant, condition or agreement applicable to it (or the Restricted Subsidiaries, to the extent applicable)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5.03</w:t>
      </w:r>
      <w:r>
        <w:rPr>
          <w:rFonts w:ascii="Times New Roman" w:cs="Times New Roman" w:eastAsia="Times New Roman" w:hAnsi="Times New Roman"/>
          <w:sz w:val="20"/>
          <w:szCs w:val="20"/>
          <w:color w:val="auto"/>
        </w:rPr>
        <w:t xml:space="preserve"> (solely with respect to the existence of any Borrower), </w:t>
      </w:r>
      <w:r>
        <w:rPr>
          <w:rFonts w:ascii="Times New Roman" w:cs="Times New Roman" w:eastAsia="Times New Roman" w:hAnsi="Times New Roman"/>
          <w:sz w:val="20"/>
          <w:szCs w:val="20"/>
          <w:u w:val="single" w:color="auto"/>
          <w:color w:val="auto"/>
        </w:rPr>
        <w:t>5.08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failure to comply with either Financial Covenant shall not constitute an Event of Default with respect to any Initial Tranche B Term Loans unless and until the Required Initial Tranche A Term Lenders have declared the Initial Tranche A Term Loans and all related Obligations to be immediately due and payable in accordance with this Agreement and such declaration has not been rescinded on or before the date the Initial Tranche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0"/>
          </w:cols>
          <w:pgMar w:left="440" w:top="265" w:right="439" w:bottom="1440" w:gutter="0" w:footer="0" w:header="0"/>
        </w:sectPr>
      </w:pPr>
    </w:p>
    <w:bookmarkStart w:id="153" w:name="page154"/>
    <w:bookmarkEnd w:id="153"/>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Term Lenders declare an Event of Default with respect to such Financial Covenant (which Event of Default with respect to the Initial Tranche B Term Loans shall be terminate automatically and immediately upon the Required Initial Tranche A Term Lenders rescinding such acceleration or waiving such Event of Default with respect to Initial Tranche A Term Loans);</w:t>
      </w:r>
    </w:p>
    <w:p>
      <w:pPr>
        <w:spacing w:after="0" w:line="174"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(e)    any Loan Party shall fail to observe or perform any covenant, condition or agreement applicable to it contained in this Agreement (other than those specified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any other Loan Document, and such failure shall continue unremedied for a period of 30 days after notice thereof from the Administrative Agent to the Borrowers (which notice will be given at the request of the Required Lenders);</w:t>
      </w:r>
    </w:p>
    <w:p>
      <w:pPr>
        <w:spacing w:after="0" w:line="180" w:lineRule="exact"/>
        <w:rPr>
          <w:sz w:val="20"/>
          <w:szCs w:val="20"/>
          <w:color w:val="auto"/>
        </w:rPr>
      </w:pPr>
    </w:p>
    <w:p>
      <w:pPr>
        <w:jc w:val="both"/>
        <w:ind w:right="20" w:firstLine="551"/>
        <w:spacing w:after="0" w:line="242" w:lineRule="auto"/>
        <w:rPr>
          <w:sz w:val="20"/>
          <w:szCs w:val="20"/>
          <w:color w:val="auto"/>
        </w:rPr>
      </w:pPr>
      <w:r>
        <w:rPr>
          <w:rFonts w:ascii="Times New Roman" w:cs="Times New Roman" w:eastAsia="Times New Roman" w:hAnsi="Times New Roman"/>
          <w:sz w:val="20"/>
          <w:szCs w:val="20"/>
          <w:color w:val="auto"/>
        </w:rPr>
        <w:t xml:space="preserve">(f)    the TopCo Borrower or any Restricted Subsidiary shall fail to make any payment (whether of principal or interest and regardless of amount) in respect of any Material Indebtedness (other than obligations in respect of Swap Agreements) of the TopCo Borrower or such Restricted Subsidiary, as applicable, when and as the same shall become due and payable, which is not cured within any applicable grace period provided for in the applicable agreement or instrument under which such Indebtedness was created;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that (i) secured Indebtedness that becomes due as a result of the voluntary sale or transfer of the property or assets securing such Indebtedness, in each case, shall not constitute an Event of Default under this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and (ii) any Indebtedness that becomes due as a result of a default under any agreement to the extent such default results solely from a sale, pledge or other disposition of Unrestricted Margin Stock, in each case, shall not constitute an Event of Default under this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 Event of Default under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continue only so long as the applicable event or condition constituting such Event of Default is not waived or rescinded or deemed cured by the holders of such Indebtedness;</w:t>
      </w:r>
    </w:p>
    <w:p>
      <w:pPr>
        <w:spacing w:after="0" w:line="192"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20"/>
          <w:szCs w:val="20"/>
          <w:color w:val="auto"/>
        </w:rPr>
        <w:t xml:space="preserve">(g)    (x) the TopCo Borrower or any Restricted Subsidiary fails to observe or perform any agreement or condition (other than payment obligations) that results in any Material Indebtedness (other than obligations in respect of Swap Agreements)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or (y) there occurs under any Swap Agreement constituting Material Indebtedness an Early Termination Date (as defined in such Swap Agreement) resulting from (A) any event of default under such Swap Agreement as to which a Loan Party or any Restricted Subsidiary thereof is the Defaulting Party (as defined in such Swap Agreement) or (B) any Termination Event (as so defined) under such Swap Agreement as to which a Loan Party or any Restricted Subsidiary thereof is an Affected Party (as so defined) and, in either event, the amount owed by such Loan Party or such Restricted Subsidiary as a result thereof is greater than $75,000,000;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the occurrence of any event that permits holders of any Permitted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20"/>
          </w:cols>
          <w:pgMar w:left="440" w:top="265" w:right="439" w:bottom="1440" w:gutter="0" w:footer="0" w:header="0"/>
        </w:sectPr>
      </w:pPr>
    </w:p>
    <w:bookmarkStart w:id="154" w:name="page155"/>
    <w:bookmarkEnd w:id="154"/>
    <w:p>
      <w:pPr>
        <w:jc w:val="both"/>
        <w:ind w:left="4"/>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Convertible Debt or Material Indebtedness constituting convertible Indebtedness to convert such Indebtedness or the conversion of Permitted Convertible Debt or Material Indebtedness constituting convertible Indebtedness, in either case, into common capital stock of the TopCo Borrower (or other securities or property following a merger event, reclassification or other change of the capital stock of the TopCo Borrower), cash or a combination thereof (and any termination of any related Swap Agreement or other hedging instrument) and</w:t>
      </w:r>
    </w:p>
    <w:p>
      <w:pPr>
        <w:spacing w:after="0" w:line="1" w:lineRule="exact"/>
        <w:rPr>
          <w:sz w:val="20"/>
          <w:szCs w:val="20"/>
          <w:color w:val="auto"/>
        </w:rPr>
      </w:pPr>
    </w:p>
    <w:p>
      <w:pPr>
        <w:jc w:val="both"/>
        <w:ind w:left="4" w:right="20" w:hanging="4"/>
        <w:spacing w:after="0"/>
        <w:tabs>
          <w:tab w:leader="none" w:pos="35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Indebtedness that becomes due as a result of a default under any agreement to the extent such default results solely from a sale, pledge or other disposition of Unrestricted Margin Stock;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 Event of Default under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continue only so long as the applicable event or condition constituting such Event of Default is not waived, or rescinded or deemed cured by the holders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any early payment requirement or unwinding or termination with respect to any Permitted Bond Hedge Transaction or Permitted Warrant Transaction, or satisfaction of any condition giving rise to or permitting the foregoing, in accordance with the terms thereof, so long as, in any such case, the TopCo Borrower is not the “defaulting party” (or substantially equivalent term) under the terms of such Permitted Bond Hedge Transaction or Permitted Warrant Transaction, as applicable; or</w:t>
      </w:r>
    </w:p>
    <w:p>
      <w:pPr>
        <w:spacing w:after="0" w:line="190"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(h)    an involuntary proceeding shall be commenced or an involuntary petition shall be filed seeking (i) liquidation, winding-up, reorganization, examinership, moratorium or other relief in respect of any Borrower or any Material Subsidiary or its debts, or of a substantial part of its assets, under any federal, state or foreign bankruptcy, insolvency, administration, examinership, receivership, administrative receivership, scheme or arrangement, restructuring plan or similar law or regulation now or hereafter in effect or a moratorium in respect of any Indebtedness of any Borrower or any Material Subsidiary or (ii) the appointment of a receiver, administrator, administrative receiver, examiner, liquidator, trustee, custodian, sequestrator, conservator or similar official for any Borrower or any Material Subsidiary or for a substantial part of its assets, and, in any such case, such proceeding or petition shall continue undismissed for 60 days or an order or decree approving or ordering any of the foregoing shall be entered;</w:t>
      </w:r>
    </w:p>
    <w:p>
      <w:pPr>
        <w:spacing w:after="0" w:line="189"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0"/>
          <w:szCs w:val="20"/>
          <w:color w:val="auto"/>
        </w:rPr>
        <w:t xml:space="preserve">(i)    any Borrower or any Material Subsidiary shall (i) voluntarily commence any proceeding or file any petition seeking liquidation, reorganization or other relief under any Federal, state or foreign bankruptcy, insolvency, receivership, examinership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(j)     [reserved];</w:t>
      </w:r>
    </w:p>
    <w:p>
      <w:pPr>
        <w:spacing w:after="0" w:line="216" w:lineRule="exact"/>
        <w:rPr>
          <w:sz w:val="20"/>
          <w:szCs w:val="20"/>
          <w:color w:val="auto"/>
        </w:rPr>
      </w:pPr>
    </w:p>
    <w:p>
      <w:pPr>
        <w:jc w:val="both"/>
        <w:ind w:left="4" w:firstLine="551"/>
        <w:spacing w:after="0" w:line="246" w:lineRule="auto"/>
        <w:rPr>
          <w:sz w:val="20"/>
          <w:szCs w:val="20"/>
          <w:color w:val="auto"/>
        </w:rPr>
      </w:pPr>
      <w:r>
        <w:rPr>
          <w:rFonts w:ascii="Times New Roman" w:cs="Times New Roman" w:eastAsia="Times New Roman" w:hAnsi="Times New Roman"/>
          <w:sz w:val="20"/>
          <w:szCs w:val="20"/>
          <w:color w:val="auto"/>
        </w:rPr>
        <w:t>(k)    one or more judgments for the payment of money in an aggregate amount in excess of $75,000,000 (to the extent not paid, fully bonded or covered (other than customary deductibles) by a solvent and unaffiliated insurer that has not denied coverage) shall be rendered against the TopCo Borrower, any Restricted Subsidiary or any combination thereof and the same shall remain undischarged, unvacated or undismissed for a period of 60 consecutive days during which execution shall not be effectively stayed (by reason of pending appeal or otherwise);</w:t>
      </w:r>
    </w:p>
    <w:p>
      <w:pPr>
        <w:spacing w:after="0" w:line="185" w:lineRule="exact"/>
        <w:rPr>
          <w:sz w:val="20"/>
          <w:szCs w:val="20"/>
          <w:color w:val="auto"/>
        </w:rPr>
      </w:pPr>
    </w:p>
    <w:p>
      <w:pPr>
        <w:jc w:val="both"/>
        <w:ind w:left="4" w:firstLine="551"/>
        <w:spacing w:after="0" w:line="269" w:lineRule="auto"/>
        <w:rPr>
          <w:sz w:val="20"/>
          <w:szCs w:val="20"/>
          <w:color w:val="auto"/>
        </w:rPr>
      </w:pPr>
      <w:r>
        <w:rPr>
          <w:rFonts w:ascii="Times New Roman" w:cs="Times New Roman" w:eastAsia="Times New Roman" w:hAnsi="Times New Roman"/>
          <w:sz w:val="20"/>
          <w:szCs w:val="20"/>
          <w:color w:val="auto"/>
        </w:rPr>
        <w:t>(l)    an ERISA Event shall have occurred that, when taken together with all other ERISA Events that have occurred, would reasonably be expected to result in a Material Adverse Effect;</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(m)     a Change in Control shall occur;</w:t>
      </w:r>
    </w:p>
    <w:p>
      <w:pPr>
        <w:spacing w:after="0" w:line="1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4"/>
          </w:cols>
          <w:pgMar w:left="436" w:top="265" w:right="439" w:bottom="1440" w:gutter="0" w:footer="0" w:header="0"/>
        </w:sectPr>
      </w:pPr>
    </w:p>
    <w:bookmarkStart w:id="155" w:name="page156"/>
    <w:bookmarkEnd w:id="155"/>
    <w:p>
      <w:pPr>
        <w:jc w:val="both"/>
        <w:ind w:right="20" w:firstLine="551"/>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    (i) any material provision of any Loan Document (subject to the Legal Reservations), at any time after its execution and delivery and for any reason other than as expressly permitted hereunder or thereunder, satisfaction in full of all Secured Obligations, or solely resulting from any action taken by the Administrative Agent or the Lenders, ceases to be in full force and effect; or (ii) a Loan Party contests in writing the validity or enforceability of any provision of any Loan Document for any reason; or a Loan Party denies in writing that it has any or further liability or obligation under any Loan Document, or purports in writing to revoke, terminate or rescind any Loan Document, in each case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for any reason other than as expressly permitted hereunder or thereunder (including as a result of a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and</w:t>
      </w:r>
    </w:p>
    <w:p>
      <w:pPr>
        <w:spacing w:after="0" w:line="186"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 xml:space="preserve">(o)    any Collateral Document, after execution thereof, shall for any reason fail to create a valid and perfected first priority security interest in any material portion of the Collateral purported to be covered thereby (subject to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to be prior and superior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to the Liens under the Collateral Documents), except (i) as permitted by the terms of any Loan Document (including as a result of a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or (ii) as a result of (A) the Administrative Agent no longer having possession of any stock certificates, promissory notes or other instruments delivered to it under the Collateral Documents, or (B) as a result of a UCC filing having lapsed because a UCC continuation or amendment statement was not filed in a timely manner.</w:t>
      </w:r>
    </w:p>
    <w:p>
      <w:pPr>
        <w:spacing w:after="0" w:line="18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Remedies Upon an Event of Default</w:t>
      </w:r>
      <w:r>
        <w:rPr>
          <w:rFonts w:ascii="Times New Roman" w:cs="Times New Roman" w:eastAsia="Times New Roman" w:hAnsi="Times New Roman"/>
          <w:sz w:val="20"/>
          <w:szCs w:val="20"/>
          <w:color w:val="auto"/>
        </w:rPr>
        <w:t xml:space="preserve">. If an Event of Default occurs (other than an event with respect to any Borrower described in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7.01(i)</w:t>
      </w:r>
      <w:r>
        <w:rPr>
          <w:rFonts w:ascii="Times New Roman" w:cs="Times New Roman" w:eastAsia="Times New Roman" w:hAnsi="Times New Roman"/>
          <w:sz w:val="20"/>
          <w:szCs w:val="20"/>
          <w:color w:val="auto"/>
        </w:rPr>
        <w:t xml:space="preserve">), and at any time thereafter during the continuance of such Event of Default, subject to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the Administrative Agent may with the consent of the Required Lenders (or, in the case of an Event of Default under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that is not yet an Event of Default with respect to the Initial Tranche B Term Loans, at the request of the Required Initial Tranche A Term Lenders, and in such case only with respect to the Initial Tranche A Term Commitments and the Initial Tranche A Term Loans) and shall at the request of the Required Lenders (or, in the case of an Event of Default under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that is not yet an Event of Default with respect to the Initial Tranche B Term Loans, at the request of the Required Initial Tranche A Term Lenders, and in such case only with respect to the Initial Tranche A Term Commitments and the Initial Tranche A Term Loans), by notice to the Borrowers, take any or all of the following actions, at the same or different times: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     terminate the Commitments, and thereupon the Commitments shall terminate immediately;</w:t>
      </w:r>
    </w:p>
    <w:p>
      <w:pPr>
        <w:spacing w:after="0" w:line="21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(b)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any other Loan Document, shall become due and payable immediately, without presentment, demand, protest or other notice of any kind, all of which are hereby waived by the Borrowers and the other Loan Parties;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     [reserved]; and</w:t>
      </w:r>
    </w:p>
    <w:p>
      <w:pPr>
        <w:spacing w:after="0" w:line="216"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exercise on behalf of itself and the Lenders all rights and remedies available to it and the Lenders under the Loan Documents and applicable law.</w:t>
      </w:r>
    </w:p>
    <w:p>
      <w:pPr>
        <w:spacing w:after="0" w:line="159"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9"/>
          <w:szCs w:val="19"/>
          <w:color w:val="auto"/>
        </w:rPr>
        <w:t xml:space="preserve">If an Event of Default described in </w:t>
      </w:r>
      <w:r>
        <w:rPr>
          <w:rFonts w:ascii="Times New Roman" w:cs="Times New Roman" w:eastAsia="Times New Roman" w:hAnsi="Times New Roman"/>
          <w:sz w:val="19"/>
          <w:szCs w:val="19"/>
          <w:u w:val="single" w:color="auto"/>
          <w:color w:val="auto"/>
        </w:rPr>
        <w:t>Section 7.01(h)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7.01(i)</w:t>
      </w:r>
      <w:r>
        <w:rPr>
          <w:rFonts w:ascii="Times New Roman" w:cs="Times New Roman" w:eastAsia="Times New Roman" w:hAnsi="Times New Roman"/>
          <w:sz w:val="19"/>
          <w:szCs w:val="19"/>
          <w:color w:val="auto"/>
        </w:rPr>
        <w:t xml:space="preserve"> occurs with respect to any Borrower, subject to </w:t>
      </w:r>
      <w:r>
        <w:rPr>
          <w:rFonts w:ascii="Times New Roman" w:cs="Times New Roman" w:eastAsia="Times New Roman" w:hAnsi="Times New Roman"/>
          <w:sz w:val="19"/>
          <w:szCs w:val="19"/>
          <w:u w:val="single" w:color="auto"/>
          <w:color w:val="auto"/>
        </w:rPr>
        <w:t>Section 4.03</w:t>
      </w:r>
      <w:r>
        <w:rPr>
          <w:rFonts w:ascii="Times New Roman" w:cs="Times New Roman" w:eastAsia="Times New Roman" w:hAnsi="Times New Roman"/>
          <w:sz w:val="19"/>
          <w:szCs w:val="19"/>
          <w:color w:val="auto"/>
        </w:rPr>
        <w:t>, the Commitments shall automatically terminate and the principal of the Loans then outstanding, together with accrued interest thereon and all fees and other Secured Obligations accrued hereunder and under any other Loan Document, shall automatically become due and payable, in each case, without presentment, demand, protest or other notice of any kind, all of which are hereby waived by the Borrowers.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0"/>
          </w:cols>
          <w:pgMar w:left="440" w:top="265" w:right="439" w:bottom="1440" w:gutter="0" w:footer="0" w:header="0"/>
        </w:sectPr>
      </w:pPr>
    </w:p>
    <w:bookmarkStart w:id="156" w:name="page157"/>
    <w:bookmarkEnd w:id="156"/>
    <w:p>
      <w:pPr>
        <w:jc w:val="both"/>
        <w:ind w:firstLine="551"/>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any other rights and remedies granted to the Administrative Agent and the Lenders in the Loan Documents, the Administrative Agent on behalf of the Lenders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each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each Borrower on behalf of itself and its Subsidiaries. Each Borrower further agrees on behalf of itself and its Subsidiaries, at the Administrative Agent’s request, to assemble the Collateral and make it available to the Administrative Agent at places which the Administrative Agent shall reasonably select, whether at the premises of any Borrower, another Loan Party or elsewhere. The Administrative Agent shall apply the net proceeds of any action taken by it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after deducting all reasonable and documented out-of-pocket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Secured Obligations, in such order as set forth in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each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ten (10) days before such sale or other disposition.</w:t>
      </w:r>
    </w:p>
    <w:p>
      <w:pPr>
        <w:spacing w:after="0" w:line="203"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xml:space="preserve">. Notwithstanding anything herein to the contrary, following the occurrence and during the continuance of an Event of Default, and notice thereof to the Administrative Agent by any Borrower or the Required Lenders, all payments received on account of the Secured Obligations shall, subject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be applied by the Administrative Agent as follows:</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Secured Obligations constituting fees, indemnities, expenses and other amounts payable to the Administrative Agent (including fees and disbursements and other charges of counsel to the Administrative Agent payable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amounts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payable to the Administrative Agent in its capacity as such);</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Secured Obligations constituting fees, expenses, indemnities and other amounts (other than principal and interest) payable to the Lenders and the other Secured Parties (including fees and disbursements and other charges of counsel to the Lenders payable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arising under the Loan Documents, ratably among them in proportion to the respective amounts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payable to them;</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440" w:top="265" w:right="439" w:bottom="1440" w:gutter="0" w:footer="0" w:header="0"/>
        </w:sectPr>
      </w:pPr>
    </w:p>
    <w:bookmarkStart w:id="157" w:name="page158"/>
    <w:bookmarkEnd w:id="157"/>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Secured Obligations constituting accrued and unpaid charges and interest on the Loans, ratably among the Lenders in proportion to the respective amounts described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payable to them;</w:t>
      </w:r>
    </w:p>
    <w:p>
      <w:pPr>
        <w:spacing w:after="0" w:line="159"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 to payment of that portion of the Secured Obligations constituting unpaid principal of the Loans and (B) to any other amounts owing with respect to Banking Services Obligations and Swap Obligations, in each case, ratably among the Lenders and any other applicable Secured Parties in proportion to the respective amounts described in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in full of all other Secured Obligations, in each case ratably among the Administrative Agent, the Lenders and the other Secured Parties based upon the respective aggregate amounts of all such Secured Obligations owing to them in accordance with the respective amounts thereof then due and payable;</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finally</w:t>
      </w:r>
      <w:r>
        <w:rPr>
          <w:rFonts w:ascii="Times New Roman" w:cs="Times New Roman" w:eastAsia="Times New Roman" w:hAnsi="Times New Roman"/>
          <w:sz w:val="20"/>
          <w:szCs w:val="20"/>
          <w:color w:val="auto"/>
        </w:rPr>
        <w:t>, the balance, if any, after all Secured Obligations have been paid in full, to the Borrowers or as otherwise required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ADMINISTRATIVE AGENT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Authorization and Action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(a)    Each Lender hereby irrevocably appoints the entity named as Administrative Agent in the heading of this Agreement and its successors and assigns to serve as the administrative agent and collateral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on behalf of itself and any of its Affiliates that are Secured Parties, hereby irrevocably empower and authorize JPMorgan Chase Bank, N.A. (in its capacity as Administrative Agent) to execute and deliver the Collateral Documents and all related documents or instruments as shall be necessary or appropriate to effect the purposes of the Collateral Documents. In addition, to the extent required under the laws of any jurisdiction other than within the United States, each Lender hereby grants to the Administrative Agent any required powers of attorney to execute and enforce any Collateral Document governed by the laws of such jurisdiction on such Lender’s behalf.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7"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0"/>
          </w:cols>
          <w:pgMar w:left="440" w:top="265" w:right="439" w:bottom="1440" w:gutter="0" w:footer="0" w:header="0"/>
        </w:sectPr>
      </w:pPr>
    </w:p>
    <w:bookmarkStart w:id="158" w:name="page159"/>
    <w:bookmarkEnd w:id="158"/>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Restricted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(c)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174" w:lineRule="exact"/>
        <w:rPr>
          <w:sz w:val="20"/>
          <w:szCs w:val="20"/>
          <w:color w:val="auto"/>
        </w:rPr>
      </w:pPr>
    </w:p>
    <w:p>
      <w:pPr>
        <w:jc w:val="both"/>
        <w:ind w:left="540" w:firstLine="523"/>
        <w:spacing w:after="0" w:line="243" w:lineRule="auto"/>
        <w:rPr>
          <w:sz w:val="20"/>
          <w:szCs w:val="20"/>
          <w:color w:val="auto"/>
        </w:rPr>
      </w:pPr>
      <w:r>
        <w:rPr>
          <w:rFonts w:ascii="Times New Roman" w:cs="Times New Roman" w:eastAsia="Times New Roman" w:hAnsi="Times New Roman"/>
          <w:sz w:val="20"/>
          <w:szCs w:val="20"/>
          <w:color w:val="auto"/>
        </w:rPr>
        <w:t>(i)    the Administrative Agent does not assume and shall not be deemed to have assumed any obligation or duty or any other relationship as the agent, fiduciary or trustee of or for any Lender or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186" w:lineRule="exact"/>
        <w:rPr>
          <w:sz w:val="20"/>
          <w:szCs w:val="20"/>
          <w:color w:val="auto"/>
        </w:rPr>
      </w:pPr>
    </w:p>
    <w:p>
      <w:pPr>
        <w:jc w:val="both"/>
        <w:ind w:left="540" w:right="20" w:firstLine="523"/>
        <w:spacing w:after="0" w:line="246" w:lineRule="auto"/>
        <w:rPr>
          <w:sz w:val="20"/>
          <w:szCs w:val="20"/>
          <w:color w:val="auto"/>
        </w:rPr>
      </w:pPr>
      <w:r>
        <w:rPr>
          <w:rFonts w:ascii="Times New Roman" w:cs="Times New Roman" w:eastAsia="Times New Roman" w:hAnsi="Times New Roman"/>
          <w:sz w:val="20"/>
          <w:szCs w:val="20"/>
          <w:color w:val="auto"/>
        </w:rPr>
        <w:t>(ii)    where the Administrative Agent is required or deemed to act as a trustee in respect of any Collateral over which a security interest has been created pursuant to a Loan Document expressed to be governed by the laws of any jurisdiction other than the United States of America, or is required or deemed to hold any Collateral “on trust” pursuant to the foregoing, the obligations and liabilities of the Administrative Agent to the Secured Parties in its capacity as trustee shall be excluded to the fullest extent permitted by applicable law; and</w:t>
      </w:r>
    </w:p>
    <w:p>
      <w:pPr>
        <w:spacing w:after="0" w:line="185"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(iii)    nothing in this Agreement or any Loan Document shall require the Administrative Agent to account to any Lender for any sum or the profit element of any sum received by the Administrative Agent for its own account.</w:t>
      </w:r>
    </w:p>
    <w:p>
      <w:pPr>
        <w:spacing w:after="0" w:line="159"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0"/>
          <w:szCs w:val="20"/>
          <w:color w:val="auto"/>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20"/>
          </w:cols>
          <w:pgMar w:left="440" w:top="26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that the Administrative Agent acted with gross negligence or willful misconduct in the selection of such sub-agent.</w:t>
      </w:r>
    </w:p>
    <w:p>
      <w:pPr>
        <w:spacing w:after="0" w:line="216"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(e)    The Arrangers, the Syndication Agent and the Co-Documentation Agents shall not have obligations or duties whatsoever in such capacities under this Agreement or any other Loan Document and shall incur no liability hereunder or thereunder in such capacities, but all such persons shall have the benefit of the indemnities provided for hereunder.</w:t>
      </w:r>
    </w:p>
    <w:p>
      <w:pPr>
        <w:spacing w:after="0" w:line="174"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(f)    In case of the pendency of any proceeding with respect to any Loan Party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spacing w:after="0" w:line="185"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 xml:space="preserve">(i)    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allowed in such judicial proceeding; and</w:t>
      </w:r>
    </w:p>
    <w:p>
      <w:pPr>
        <w:spacing w:after="0" w:line="18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(ii)     to collect and receive any monies or other property payable or deliverable on any such claims and to distribute the</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same;</w:t>
      </w:r>
    </w:p>
    <w:p>
      <w:pPr>
        <w:spacing w:after="0" w:line="19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Nothing contained herein shall be deemed to authorize the Administrative Agent to authorize or consent to or accept or adopt on behalf of any Lender any plan of reorganization, arrangement, adjustment or composition affecting the Secured Obligations or the rights of any Lender or to authorize the Administrative Agent to vote in respect of the claim of any Lender in any such proceeding.</w:t>
      </w:r>
    </w:p>
    <w:p>
      <w:pPr>
        <w:spacing w:after="0" w:line="186"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(g)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are solely for the benefit of the Administrative Agent and the Lenders, and, except solely to the extent of the Borrowers’ rights to consent pursuant to and subject to the conditions set forth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none of the TopCo Borrower or any Restricted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Administrative Agent’s Reliance, Limitation of Liability, etc.</w:t>
      </w:r>
    </w:p>
    <w:p>
      <w:pPr>
        <w:spacing w:after="0" w:line="216"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0"/>
          </w:cols>
          <w:pgMar w:left="440" w:top="265" w:right="439" w:bottom="1440" w:gutter="0" w:footer="0" w:header="0"/>
        </w:sectPr>
      </w:pPr>
    </w:p>
    <w:bookmarkStart w:id="160" w:name="page161"/>
    <w:bookmarkEnd w:id="160"/>
    <w:p>
      <w:pPr>
        <w:jc w:val="both"/>
        <w:ind w:left="4"/>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86" w:lineRule="exact"/>
        <w:rPr>
          <w:sz w:val="20"/>
          <w:szCs w:val="20"/>
          <w:color w:val="auto"/>
        </w:rPr>
      </w:pPr>
    </w:p>
    <w:p>
      <w:pPr>
        <w:jc w:val="both"/>
        <w:ind w:left="4" w:firstLine="551"/>
        <w:spacing w:after="0" w:line="256" w:lineRule="auto"/>
        <w:rPr>
          <w:sz w:val="20"/>
          <w:szCs w:val="20"/>
          <w:color w:val="auto"/>
        </w:rPr>
      </w:pPr>
      <w:r>
        <w:rPr>
          <w:rFonts w:ascii="Times New Roman" w:cs="Times New Roman" w:eastAsia="Times New Roman" w:hAnsi="Times New Roman"/>
          <w:sz w:val="19"/>
          <w:szCs w:val="19"/>
          <w:color w:val="auto"/>
        </w:rPr>
        <w:t xml:space="preserve">(b)    The Administrative Agent shall be deemed not to have knowledge of any (i) notice of any of the events or circumstances set forth or described in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 xml:space="preserve"> unless and until written notice thereof (stating that it is a “notice under Section 5.02” in respect of this Agreement and identifying the specific clause under said Section) is given to the Administrative Agent by any Borrower or (ii) notice of any Default or Event of Default unless and until written notice thereof (stating that it is a “notice of Default” or a “notice of an Event of Default”) is given to the Administrative Agent by any Borrower or a Lender, and the Administrative Agent shall not be responsible for or have any duty to ascertain or inquire into (i) any statement, warranty or representation made in or in connection with any Loan Document,</w:t>
      </w:r>
    </w:p>
    <w:p>
      <w:pPr>
        <w:spacing w:after="0" w:line="1" w:lineRule="exact"/>
        <w:rPr>
          <w:sz w:val="20"/>
          <w:szCs w:val="20"/>
          <w:color w:val="auto"/>
        </w:rPr>
      </w:pPr>
    </w:p>
    <w:p>
      <w:pPr>
        <w:jc w:val="both"/>
        <w:ind w:left="4" w:right="20" w:hanging="4"/>
        <w:spacing w:after="0" w:line="255" w:lineRule="auto"/>
        <w:tabs>
          <w:tab w:leader="none" w:pos="32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or the existence of the Collateral.</w:t>
      </w:r>
    </w:p>
    <w:p>
      <w:pPr>
        <w:spacing w:after="0" w:line="176"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 xml:space="preserve">(c)    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(ii) may rely on the Register to the extent set forth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9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Posting of Communications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551"/>
        <w:spacing w:after="0" w:line="268" w:lineRule="auto"/>
        <w:rPr>
          <w:sz w:val="20"/>
          <w:szCs w:val="20"/>
          <w:color w:val="auto"/>
        </w:rPr>
      </w:pPr>
      <w:r>
        <w:rPr>
          <w:rFonts w:ascii="Times New Roman" w:cs="Times New Roman" w:eastAsia="Times New Roman" w:hAnsi="Times New Roman"/>
          <w:sz w:val="20"/>
          <w:szCs w:val="20"/>
          <w:color w:val="auto"/>
        </w:rPr>
        <w:t>(a)    The Borrowers agree that the Administrative Agent may, but shall not be obligated to, make any Communications available to the Lenders by posting the Communications on IntraLinks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24"/>
          </w:cols>
          <w:pgMar w:left="436" w:top="265" w:right="439" w:bottom="1440" w:gutter="0" w:footer="0" w:header="0"/>
        </w:sectPr>
      </w:pPr>
    </w:p>
    <w:bookmarkStart w:id="161" w:name="page162"/>
    <w:bookmarkEnd w:id="16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(b)    The Administrative Agent and the Lenders agree that, pursuant to procedures approved by the Administrative Agent, the Borrowers may, but shall not be obligated to, make any Communications to the Administrative Agent through an Approved Electronic Platform.</w:t>
      </w:r>
    </w:p>
    <w:p>
      <w:pPr>
        <w:spacing w:after="0" w:line="174"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(c)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each of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each of the Borrowers hereby approves distribution of the Communications through the Approved Electronic Platform and understands and assumes the risks of such distribution.</w:t>
      </w:r>
    </w:p>
    <w:p>
      <w:pPr>
        <w:spacing w:after="0" w:line="18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(d)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COMMUNICATIONS OR THE APPROVED ELECTRONIC PLATFORM. IN NO EVENT SHALL THE ADMINISTRATIVE AGENT, THE ARRANGERS, THE SYNDICATION AGENT, THE CO-DOCUMENTATION AGENTS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96"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(e)    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85"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(f)    Each of the Lenders and each of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440" w:top="265" w:right="439" w:bottom="1440" w:gutter="0" w:footer="0" w:header="0"/>
        </w:sectPr>
      </w:pPr>
    </w:p>
    <w:bookmarkStart w:id="162" w:name="page163"/>
    <w:bookmarkEnd w:id="162"/>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Nothing herein shall prejudice the right of the Administrative Agent or any Lender to give any notice or other communication pursuant to any Loan Document in any other manner specified in such Loan Document.</w:t>
      </w:r>
    </w:p>
    <w:p>
      <w:pPr>
        <w:spacing w:after="0" w:line="159"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The Administrative Agent Individually</w:t>
      </w:r>
      <w:r>
        <w:rPr>
          <w:rFonts w:ascii="Times New Roman" w:cs="Times New Roman" w:eastAsia="Times New Roman" w:hAnsi="Times New Roman"/>
          <w:sz w:val="20"/>
          <w:szCs w:val="20"/>
          <w:color w:val="auto"/>
        </w:rPr>
        <w:t>. With respect to its Commitments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The Person serving as the Administrative Agent and its Affiliates may accept deposits from, lend money to, own securities of, act as the financial advisor or in any other advisory capacity for and generally engage in any kind of banking, trust or other business with, the TopCo Borrower, any Subsidiary or any Affiliate of any of the foregoing as if such Person was not acting as the Administrative Agent and without any duty to account therefor to the Lenders.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(a)    The Administrative Agent may resign at any time by giving 30 days’ prior written notice thereof to the Lenders and the U.S.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either case, such appointment shall be subject to the prior written approval of the Borrowers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6"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(b)    Notwithstanding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U.S. Borrower,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0"/>
          </w:cols>
          <w:pgMar w:left="440" w:top="265" w:right="439" w:bottom="1440" w:gutter="0" w:footer="0" w:header="0"/>
        </w:sectPr>
      </w:pPr>
    </w:p>
    <w:bookmarkStart w:id="163" w:name="page164"/>
    <w:bookmarkEnd w:id="163"/>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w:t>
      </w:r>
      <w:r>
        <w:rPr>
          <w:rFonts w:ascii="Times New Roman" w:cs="Times New Roman" w:eastAsia="Times New Roman" w:hAnsi="Times New Roman"/>
          <w:sz w:val="20"/>
          <w:szCs w:val="20"/>
          <w:i w:val="1"/>
          <w:iCs w:val="1"/>
          <w:color w:val="auto"/>
        </w:rPr>
        <w:t>proviso</w:t>
      </w:r>
      <w:r>
        <w:rPr>
          <w:rFonts w:ascii="Times New Roman" w:cs="Times New Roman" w:eastAsia="Times New Roman" w:hAnsi="Times New Roman"/>
          <w:sz w:val="20"/>
          <w:szCs w:val="20"/>
          <w:color w:val="auto"/>
        </w:rPr>
        <w:t xml:space="preserve">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8.06     </w:t>
      </w:r>
      <w:r>
        <w:rPr>
          <w:rFonts w:ascii="Times New Roman" w:cs="Times New Roman" w:eastAsia="Times New Roman" w:hAnsi="Times New Roman"/>
          <w:sz w:val="20"/>
          <w:szCs w:val="20"/>
          <w:u w:val="single" w:color="auto"/>
          <w:color w:val="auto"/>
        </w:rPr>
        <w:t>Acknowledgements of Lenders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(a)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Borrowers,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securities laws concerning the Borrowers and their respective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2"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80" w:lineRule="exact"/>
        <w:rPr>
          <w:sz w:val="20"/>
          <w:szCs w:val="20"/>
          <w:color w:val="auto"/>
        </w:rPr>
      </w:pPr>
    </w:p>
    <w:p>
      <w:pPr>
        <w:jc w:val="both"/>
        <w:ind w:firstLine="551"/>
        <w:spacing w:after="0" w:line="259" w:lineRule="auto"/>
        <w:rPr>
          <w:sz w:val="20"/>
          <w:szCs w:val="20"/>
          <w:color w:val="auto"/>
        </w:rPr>
      </w:pPr>
      <w:r>
        <w:rPr>
          <w:rFonts w:ascii="Times New Roman" w:cs="Times New Roman" w:eastAsia="Times New Roman" w:hAnsi="Times New Roman"/>
          <w:sz w:val="19"/>
          <w:szCs w:val="19"/>
          <w:color w:val="auto"/>
        </w:rPr>
        <w:t>(c)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20"/>
          </w:cols>
          <w:pgMar w:left="440" w:top="265" w:right="439" w:bottom="1440" w:gutter="0" w:footer="0" w:header="0"/>
        </w:sectPr>
      </w:pPr>
    </w:p>
    <w:bookmarkStart w:id="164" w:name="page165"/>
    <w:bookmarkEnd w:id="164"/>
    <w:p>
      <w:pPr>
        <w:jc w:val="both"/>
        <w:ind w:left="4"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20"/>
          <w:szCs w:val="20"/>
          <w:u w:val="single" w:color="auto"/>
          <w:color w:val="auto"/>
        </w:rPr>
        <w:t>Section 8.06(c)</w:t>
      </w:r>
      <w:r>
        <w:rPr>
          <w:rFonts w:ascii="Times New Roman" w:cs="Times New Roman" w:eastAsia="Times New Roman" w:hAnsi="Times New Roman"/>
          <w:sz w:val="20"/>
          <w:szCs w:val="20"/>
          <w:color w:val="auto"/>
        </w:rPr>
        <w:t xml:space="preserve"> shall be conclusive, absent manifest error.</w:t>
      </w:r>
    </w:p>
    <w:p>
      <w:pPr>
        <w:spacing w:after="0" w:line="184"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0"/>
          <w:szCs w:val="20"/>
          <w:color w:val="auto"/>
        </w:rPr>
        <w:t>(d)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0" w:lineRule="exact"/>
        <w:rPr>
          <w:sz w:val="20"/>
          <w:szCs w:val="20"/>
          <w:color w:val="auto"/>
        </w:rPr>
      </w:pPr>
    </w:p>
    <w:p>
      <w:pPr>
        <w:jc w:val="both"/>
        <w:ind w:left="4" w:firstLine="551"/>
        <w:spacing w:after="0" w:line="249" w:lineRule="auto"/>
        <w:rPr>
          <w:sz w:val="20"/>
          <w:szCs w:val="20"/>
          <w:color w:val="auto"/>
        </w:rPr>
      </w:pPr>
      <w:r>
        <w:rPr>
          <w:rFonts w:ascii="Times New Roman" w:cs="Times New Roman" w:eastAsia="Times New Roman" w:hAnsi="Times New Roman"/>
          <w:sz w:val="20"/>
          <w:szCs w:val="20"/>
          <w:color w:val="auto"/>
        </w:rPr>
        <w:t>(e)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any Borrower or any other Loan Party.</w:t>
      </w:r>
    </w:p>
    <w:p>
      <w:pPr>
        <w:spacing w:after="0" w:line="180" w:lineRule="exact"/>
        <w:rPr>
          <w:sz w:val="20"/>
          <w:szCs w:val="20"/>
          <w:color w:val="auto"/>
        </w:rPr>
      </w:pPr>
    </w:p>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t xml:space="preserve">(f)    Each party’s obligations under this </w:t>
      </w:r>
      <w:r>
        <w:rPr>
          <w:rFonts w:ascii="Times New Roman" w:cs="Times New Roman" w:eastAsia="Times New Roman" w:hAnsi="Times New Roman"/>
          <w:sz w:val="20"/>
          <w:szCs w:val="20"/>
          <w:u w:val="single" w:color="auto"/>
          <w:color w:val="auto"/>
        </w:rPr>
        <w:t>Section 8.06(f)</w:t>
      </w:r>
      <w:r>
        <w:rPr>
          <w:rFonts w:ascii="Times New Roman" w:cs="Times New Roman" w:eastAsia="Times New Roman" w:hAnsi="Times New Roman"/>
          <w:sz w:val="20"/>
          <w:szCs w:val="20"/>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8.07     </w:t>
      </w:r>
      <w:r>
        <w:rPr>
          <w:rFonts w:ascii="Times New Roman" w:cs="Times New Roman" w:eastAsia="Times New Roman" w:hAnsi="Times New Roman"/>
          <w:sz w:val="20"/>
          <w:szCs w:val="20"/>
          <w:u w:val="single" w:color="auto"/>
          <w:color w:val="auto"/>
        </w:rPr>
        <w:t>Collateral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1" w:lineRule="auto"/>
        <w:rPr>
          <w:sz w:val="20"/>
          <w:szCs w:val="20"/>
          <w:color w:val="auto"/>
        </w:rPr>
      </w:pPr>
      <w:r>
        <w:rPr>
          <w:rFonts w:ascii="Times New Roman" w:cs="Times New Roman" w:eastAsia="Times New Roman" w:hAnsi="Times New Roman"/>
          <w:sz w:val="20"/>
          <w:szCs w:val="20"/>
          <w:color w:val="auto"/>
        </w:rPr>
        <w:t xml:space="preserve">(a)    Except with respect to the exercise of setoff rights in accordance with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and the Administrative Agent agrees, to release any Lien granted to or held by the Administrative Agent upon any Collateral (i) as described in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w:t>
      </w:r>
    </w:p>
    <w:p>
      <w:pPr>
        <w:spacing w:after="0" w:line="8" w:lineRule="exact"/>
        <w:rPr>
          <w:sz w:val="20"/>
          <w:szCs w:val="20"/>
          <w:color w:val="auto"/>
        </w:rPr>
      </w:pPr>
    </w:p>
    <w:p>
      <w:pPr>
        <w:ind w:left="284" w:hanging="284"/>
        <w:spacing w:after="0"/>
        <w:tabs>
          <w:tab w:leader="none" w:pos="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permitted by, but only in accordance with, the terms of the applicable Loan Document; or (iii) if</w:t>
      </w:r>
    </w:p>
    <w:p>
      <w:pPr>
        <w:spacing w:after="0" w:line="130" w:lineRule="exact"/>
        <w:rPr>
          <w:rFonts w:ascii="Times New Roman" w:cs="Times New Roman" w:eastAsia="Times New Roman" w:hAnsi="Times New Roman"/>
          <w:sz w:val="20"/>
          <w:szCs w:val="20"/>
          <w:color w:val="auto"/>
        </w:rPr>
      </w:pPr>
    </w:p>
    <w:p>
      <w:pPr>
        <w:ind w:left="536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24"/>
          </w:cols>
          <w:pgMar w:left="436" w:top="265" w:right="439" w:bottom="1440" w:gutter="0" w:footer="0" w:header="0"/>
        </w:sectPr>
      </w:pPr>
    </w:p>
    <w:bookmarkStart w:id="165" w:name="page166"/>
    <w:bookmarkEnd w:id="165"/>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to any Person other than a Loan Party which is permitted pursuant to the terms of the Loan Documents (as certified by the U.S. Borrower (and the Administrative Agent may rely conclusively on any such certificate, without further inquiry)), or consented to in writing by the Required Lenders or all of the Lenders, as applicable, and upon at least three Business Days’ prior written request by the U.S. Borrower to the Administrative Agent (or such later date as may be reasonably agreed upon by the Administrative Agent), the Administrative Agent shall (and is hereby irrevocably authorized by the Lenders to), at the Borrowers’ expense, execute such documents as may be necessary to evidence the release of the Liens granted to the Administrative Agent for the benefit of the Secured Parties herein or pursuant hereto upon the Collateral that was sold or transferred;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the Administrative Agent shall not be required to execute any such document on terms which, in the Administrative Agent’s reasonable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Loan Parties in respect of) all interests retained by any Loan Party,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3"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(b)    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4"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(c)    The Secured Parties irrevocably authorize the Administrative Agent, and the Administrative Agent agrees, at the Borrowers’ expense, to (x)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or (to the extent constituting similar Liens on fixed or capital assets (including capital leases) that would otherwise be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save for the basket limitations of </w:t>
      </w:r>
      <w:r>
        <w:rPr>
          <w:rFonts w:ascii="Times New Roman" w:cs="Times New Roman" w:eastAsia="Times New Roman" w:hAnsi="Times New Roman"/>
          <w:sz w:val="20"/>
          <w:szCs w:val="20"/>
          <w:u w:val="single" w:color="auto"/>
          <w:color w:val="auto"/>
        </w:rPr>
        <w:t>Section 6.01(e)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in each case, if the U.S. Borrower certifies that (i) such Lien is permitted by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(ii) such Lien constitutes a Lien on fixed or capital assets (including capital leases) that would otherwise be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save for the basket limitations of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and is permitted by Section 6.02</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as applicable (and the Administrative Agent may rely conclusively on any such certificate, without further inquiry), and (y) execute such documents as may be necessary to evidence the subordination of such Liens in accordance with the terms of the Loan Documents and this </w:t>
      </w:r>
      <w:r>
        <w:rPr>
          <w:rFonts w:ascii="Times New Roman" w:cs="Times New Roman" w:eastAsia="Times New Roman" w:hAnsi="Times New Roman"/>
          <w:sz w:val="20"/>
          <w:szCs w:val="20"/>
          <w:u w:val="single" w:color="auto"/>
          <w:color w:val="auto"/>
        </w:rPr>
        <w:t>Section 8.07(c)</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20"/>
          </w:cols>
          <w:pgMar w:left="440" w:top="265" w:right="439" w:bottom="1440" w:gutter="0" w:footer="0" w:header="0"/>
        </w:sectPr>
      </w:pPr>
    </w:p>
    <w:bookmarkStart w:id="166" w:name="page167"/>
    <w:bookmarkEnd w:id="166"/>
    <w:p>
      <w:pPr>
        <w:jc w:val="both"/>
        <w:ind w:left="4" w:firstLine="551"/>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8.08    </w:t>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w:t>
      </w:r>
    </w:p>
    <w:p>
      <w:pPr>
        <w:spacing w:after="0" w:line="11" w:lineRule="exact"/>
        <w:rPr>
          <w:sz w:val="20"/>
          <w:szCs w:val="20"/>
          <w:color w:val="auto"/>
        </w:rPr>
      </w:pPr>
    </w:p>
    <w:p>
      <w:pPr>
        <w:jc w:val="both"/>
        <w:ind w:left="4" w:hanging="4"/>
        <w:spacing w:after="0" w:line="252" w:lineRule="auto"/>
        <w:tabs>
          <w:tab w:leader="none" w:pos="31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 w:cs="Times New Roman" w:eastAsia="Times New Roman" w:hAnsi="Times New Roman"/>
          <w:sz w:val="19"/>
          <w:szCs w:val="19"/>
          <w:u w:val="single" w:color="auto"/>
          <w:color w:val="auto"/>
        </w:rPr>
        <w:t>clause</w:t>
      </w:r>
    </w:p>
    <w:p>
      <w:pPr>
        <w:spacing w:after="0" w:line="1" w:lineRule="exact"/>
        <w:rPr>
          <w:rFonts w:ascii="Times New Roman" w:cs="Times New Roman" w:eastAsia="Times New Roman" w:hAnsi="Times New Roman"/>
          <w:sz w:val="19"/>
          <w:szCs w:val="19"/>
          <w:color w:val="auto"/>
        </w:rPr>
      </w:pPr>
    </w:p>
    <w:p>
      <w:pPr>
        <w:jc w:val="both"/>
        <w:ind w:left="4" w:hanging="4"/>
        <w:spacing w:after="0" w:line="241" w:lineRule="auto"/>
        <w:tabs>
          <w:tab w:leader="none" w:pos="331" w:val="left"/>
        </w:tabs>
        <w:numPr>
          <w:ilvl w:val="0"/>
          <w:numId w:val="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8.09 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(a)    Each Lender (x) represents and warrants, as of the date such Person becomes a Lender party hereto and (y) covenants, from the date such Person becomes a Lender party hereto, to the date such</w:t>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24"/>
          </w:cols>
          <w:pgMar w:left="436" w:top="265" w:right="439" w:bottom="1440" w:gutter="0" w:footer="0" w:header="0"/>
        </w:sectPr>
      </w:pPr>
    </w:p>
    <w:bookmarkStart w:id="167" w:name="page168"/>
    <w:bookmarkEnd w:id="167"/>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ceases being a Lender party hereto, for the benefit of, the Administrative Agent, the Arrangers and their respective Affiliates, and not, for the avoidance of doubt, to or for the benefit of any Borrower or any other Loan Party, that at least one of the following is and will be true:</w:t>
      </w:r>
    </w:p>
    <w:p>
      <w:pPr>
        <w:spacing w:after="0" w:line="1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such Lender is not using Plan Assets in connection with the Loans or the Commitments,</w:t>
      </w:r>
    </w:p>
    <w:p>
      <w:pPr>
        <w:spacing w:after="0" w:line="216" w:lineRule="exact"/>
        <w:rPr>
          <w:sz w:val="20"/>
          <w:szCs w:val="20"/>
          <w:color w:val="auto"/>
        </w:rPr>
      </w:pPr>
    </w:p>
    <w:p>
      <w:pPr>
        <w:jc w:val="both"/>
        <w:ind w:left="540" w:firstLine="523"/>
        <w:spacing w:after="0" w:line="244" w:lineRule="auto"/>
        <w:rPr>
          <w:sz w:val="20"/>
          <w:szCs w:val="20"/>
          <w:color w:val="auto"/>
        </w:rPr>
      </w:pPr>
      <w:r>
        <w:rPr>
          <w:rFonts w:ascii="Times New Roman" w:cs="Times New Roman" w:eastAsia="Times New Roman" w:hAnsi="Times New Roman"/>
          <w:sz w:val="20"/>
          <w:szCs w:val="20"/>
          <w:color w:val="auto"/>
        </w:rPr>
        <w:t>(ii)    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Commitments and this Agreement,</w:t>
      </w:r>
    </w:p>
    <w:p>
      <w:pPr>
        <w:spacing w:after="0" w:line="186" w:lineRule="exact"/>
        <w:rPr>
          <w:sz w:val="20"/>
          <w:szCs w:val="20"/>
          <w:color w:val="auto"/>
        </w:rPr>
      </w:pPr>
    </w:p>
    <w:p>
      <w:pPr>
        <w:jc w:val="both"/>
        <w:ind w:left="540" w:right="20" w:firstLine="523"/>
        <w:spacing w:after="0" w:line="244" w:lineRule="auto"/>
        <w:rPr>
          <w:sz w:val="20"/>
          <w:szCs w:val="20"/>
          <w:color w:val="auto"/>
        </w:rPr>
      </w:pPr>
      <w:r>
        <w:rPr>
          <w:rFonts w:ascii="Times New Roman" w:cs="Times New Roman" w:eastAsia="Times New Roman" w:hAnsi="Times New Roman"/>
          <w:sz w:val="20"/>
          <w:szCs w:val="20"/>
          <w:color w:val="auto"/>
        </w:rPr>
        <w:t>(iii)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 Sections (b) through (g) of Section I of PTE 84-14 and (D) to the best knowledge of such Lender, the requirements of sub-Section (a) of Section I of PTE 84-14 are satisfied with respect to such Lender’s entrance into, participation in, administration of and performance of the Loans, the Commitments and this Agreement, or</w:t>
      </w:r>
    </w:p>
    <w:p>
      <w:pPr>
        <w:spacing w:after="0" w:line="186" w:lineRule="exact"/>
        <w:rPr>
          <w:sz w:val="20"/>
          <w:szCs w:val="20"/>
          <w:color w:val="auto"/>
        </w:rPr>
      </w:pPr>
    </w:p>
    <w:p>
      <w:pPr>
        <w:jc w:val="both"/>
        <w:ind w:left="540" w:firstLine="523"/>
        <w:spacing w:after="0" w:line="269" w:lineRule="auto"/>
        <w:rPr>
          <w:sz w:val="20"/>
          <w:szCs w:val="20"/>
          <w:color w:val="auto"/>
        </w:rPr>
      </w:pPr>
      <w:r>
        <w:rPr>
          <w:rFonts w:ascii="Times New Roman" w:cs="Times New Roman" w:eastAsia="Times New Roman" w:hAnsi="Times New Roman"/>
          <w:sz w:val="20"/>
          <w:szCs w:val="20"/>
          <w:color w:val="auto"/>
        </w:rPr>
        <w:t>(iv)    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(b)    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provided another representation, warranty and covenant as provided in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becomes a Lender party hereto and (y) covenants, from the date such Person becomes a Lender party hereto, to the date such Person ceases being a Lender party hereto, for the benefit of, the Administrative Agent, the Arrangers or any of their respective Affiliates, and not, for the avoidance of doubt, to or for the benefit of any Borrower or any other Loan Party, that none of the Administrative Agent, the Arrangers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189" w:lineRule="exact"/>
        <w:rPr>
          <w:sz w:val="20"/>
          <w:szCs w:val="20"/>
          <w:color w:val="auto"/>
        </w:rPr>
      </w:pPr>
    </w:p>
    <w:p>
      <w:pPr>
        <w:jc w:val="both"/>
        <w:ind w:firstLine="551"/>
        <w:spacing w:after="0" w:line="259" w:lineRule="auto"/>
        <w:rPr>
          <w:sz w:val="20"/>
          <w:szCs w:val="20"/>
          <w:color w:val="auto"/>
        </w:rPr>
      </w:pPr>
      <w:r>
        <w:rPr>
          <w:rFonts w:ascii="Times New Roman" w:cs="Times New Roman" w:eastAsia="Times New Roman" w:hAnsi="Times New Roman"/>
          <w:sz w:val="19"/>
          <w:szCs w:val="19"/>
          <w:color w:val="auto"/>
        </w:rPr>
        <w:t>(c)    Each of the Administrative Agent and the Arrangers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arrangement fees, facility fees, commitment fees, upfront fees, underwriting fees,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20"/>
          </w:cols>
          <w:pgMar w:left="440" w:top="265" w:right="439" w:bottom="1440" w:gutter="0" w:footer="0" w:header="0"/>
        </w:sectPr>
      </w:pPr>
    </w:p>
    <w:bookmarkStart w:id="168" w:name="page169"/>
    <w:bookmarkEnd w:id="168"/>
    <w:p>
      <w:pPr>
        <w:jc w:val="both"/>
        <w:ind w:left="4"/>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(a)     Except in the case of notices and other communications expressly permitted to be given by telephone (and subject to </w:t>
      </w:r>
      <w:r>
        <w:rPr>
          <w:rFonts w:ascii="Times New Roman" w:cs="Times New Roman" w:eastAsia="Times New Roman" w:hAnsi="Times New Roman"/>
          <w:sz w:val="20"/>
          <w:szCs w:val="20"/>
          <w:u w:val="single" w:color="auto"/>
          <w:color w:val="auto"/>
        </w:rPr>
        <w:t>clause</w:t>
      </w:r>
    </w:p>
    <w:p>
      <w:pPr>
        <w:spacing w:after="0" w:line="22" w:lineRule="exact"/>
        <w:rPr>
          <w:sz w:val="20"/>
          <w:szCs w:val="20"/>
          <w:color w:val="auto"/>
        </w:rPr>
      </w:pPr>
    </w:p>
    <w:p>
      <w:pPr>
        <w:ind w:left="4" w:hanging="4"/>
        <w:spacing w:after="0" w:line="246" w:lineRule="auto"/>
        <w:tabs>
          <w:tab w:leader="none" w:pos="312" w:val="left"/>
        </w:tabs>
        <w:numPr>
          <w:ilvl w:val="0"/>
          <w:numId w:val="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below), all notices and other communications provided for herein shall be in writing and shall be delivered by hand or overnight courier service, mailed by certified or registered mail or sent by telecopy, as follows: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65" w:right="459" w:bottom="1440" w:gutter="0" w:footer="0" w:header="0"/>
        </w:sectPr>
      </w:pPr>
    </w:p>
    <w:bookmarkStart w:id="169" w:name="page170"/>
    <w:bookmarkEnd w:id="169"/>
    <w:p>
      <w:pPr>
        <w:ind w:left="60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if to the TopCo Borrower, to it at:</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ALKERMES PLC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Connaught House</w:t>
      </w:r>
    </w:p>
    <w:p>
      <w:pPr>
        <w:ind w:left="600"/>
        <w:spacing w:after="0"/>
        <w:rPr>
          <w:sz w:val="20"/>
          <w:szCs w:val="20"/>
          <w:color w:val="auto"/>
        </w:rPr>
      </w:pPr>
      <w:r>
        <w:rPr>
          <w:rFonts w:ascii="Times New Roman" w:cs="Times New Roman" w:eastAsia="Times New Roman" w:hAnsi="Times New Roman"/>
          <w:sz w:val="20"/>
          <w:szCs w:val="20"/>
          <w:color w:val="auto"/>
        </w:rPr>
        <w:t>1 Burlington Road</w:t>
      </w:r>
    </w:p>
    <w:p>
      <w:pPr>
        <w:ind w:left="600"/>
        <w:spacing w:after="0"/>
        <w:rPr>
          <w:sz w:val="20"/>
          <w:szCs w:val="20"/>
          <w:color w:val="auto"/>
        </w:rPr>
      </w:pPr>
      <w:r>
        <w:rPr>
          <w:rFonts w:ascii="Times New Roman" w:cs="Times New Roman" w:eastAsia="Times New Roman" w:hAnsi="Times New Roman"/>
          <w:sz w:val="20"/>
          <w:szCs w:val="20"/>
          <w:color w:val="auto"/>
        </w:rPr>
        <w:t>Dublin 4, Ireland D04 C5Y6</w:t>
      </w:r>
    </w:p>
    <w:p>
      <w:pPr>
        <w:ind w:left="600"/>
        <w:spacing w:after="0"/>
        <w:rPr>
          <w:sz w:val="20"/>
          <w:szCs w:val="20"/>
          <w:color w:val="auto"/>
        </w:rPr>
      </w:pPr>
      <w:r>
        <w:rPr>
          <w:rFonts w:ascii="Times New Roman" w:cs="Times New Roman" w:eastAsia="Times New Roman" w:hAnsi="Times New Roman"/>
          <w:sz w:val="20"/>
          <w:szCs w:val="20"/>
          <w:color w:val="auto"/>
        </w:rPr>
        <w:t>Attention: Joshua Reed</w:t>
      </w:r>
    </w:p>
    <w:p>
      <w:pPr>
        <w:ind w:left="600" w:right="3939" w:firstLine="621"/>
        <w:spacing w:after="0" w:line="246" w:lineRule="auto"/>
        <w:tabs>
          <w:tab w:leader="none" w:pos="142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Senior Vice President, Chief Financial Officer Email: [****]</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Cleary Gottlieb Steen &amp; Hamilton LLP</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One Liberty Plaza,</w:t>
      </w:r>
    </w:p>
    <w:p>
      <w:pPr>
        <w:ind w:left="600"/>
        <w:spacing w:after="0"/>
        <w:rPr>
          <w:sz w:val="20"/>
          <w:szCs w:val="20"/>
          <w:color w:val="auto"/>
        </w:rPr>
      </w:pPr>
      <w:r>
        <w:rPr>
          <w:rFonts w:ascii="Times New Roman" w:cs="Times New Roman" w:eastAsia="Times New Roman" w:hAnsi="Times New Roman"/>
          <w:sz w:val="20"/>
          <w:szCs w:val="20"/>
          <w:color w:val="auto"/>
        </w:rPr>
        <w:t>New York NY 10006</w:t>
      </w:r>
    </w:p>
    <w:p>
      <w:pPr>
        <w:ind w:left="600"/>
        <w:spacing w:after="0"/>
        <w:rPr>
          <w:sz w:val="20"/>
          <w:szCs w:val="20"/>
          <w:color w:val="auto"/>
        </w:rPr>
      </w:pPr>
      <w:r>
        <w:rPr>
          <w:rFonts w:ascii="Times New Roman" w:cs="Times New Roman" w:eastAsia="Times New Roman" w:hAnsi="Times New Roman"/>
          <w:sz w:val="20"/>
          <w:szCs w:val="20"/>
          <w:color w:val="auto"/>
        </w:rPr>
        <w:t>Attention: Amy R. Shapiro</w:t>
      </w:r>
    </w:p>
    <w:p>
      <w:pPr>
        <w:ind w:left="6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(ii)     if to the U.S. Borrower, to it at:</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ALKERMES, INC.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900 Winter Street</w:t>
      </w:r>
    </w:p>
    <w:p>
      <w:pPr>
        <w:ind w:left="600"/>
        <w:spacing w:after="0"/>
        <w:rPr>
          <w:sz w:val="20"/>
          <w:szCs w:val="20"/>
          <w:color w:val="auto"/>
        </w:rPr>
      </w:pPr>
      <w:r>
        <w:rPr>
          <w:rFonts w:ascii="Times New Roman" w:cs="Times New Roman" w:eastAsia="Times New Roman" w:hAnsi="Times New Roman"/>
          <w:sz w:val="20"/>
          <w:szCs w:val="20"/>
          <w:color w:val="auto"/>
        </w:rPr>
        <w:t>Waltham, MA 02451</w:t>
      </w:r>
    </w:p>
    <w:p>
      <w:pPr>
        <w:ind w:left="600"/>
        <w:spacing w:after="0"/>
        <w:rPr>
          <w:sz w:val="20"/>
          <w:szCs w:val="20"/>
          <w:color w:val="auto"/>
        </w:rPr>
      </w:pPr>
      <w:r>
        <w:rPr>
          <w:rFonts w:ascii="Times New Roman" w:cs="Times New Roman" w:eastAsia="Times New Roman" w:hAnsi="Times New Roman"/>
          <w:sz w:val="20"/>
          <w:szCs w:val="20"/>
          <w:color w:val="auto"/>
        </w:rPr>
        <w:t>Attention: Joshua Reed</w:t>
      </w:r>
    </w:p>
    <w:p>
      <w:pPr>
        <w:ind w:left="600" w:right="3939" w:firstLine="621"/>
        <w:spacing w:after="0" w:line="246" w:lineRule="auto"/>
        <w:tabs>
          <w:tab w:leader="none" w:pos="142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Senior Vice President, Chief Financial Officer Email:  [****]</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Cleary Gottlieb Steen &amp; Hamilton LLP</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One Liberty Plaza,</w:t>
      </w:r>
    </w:p>
    <w:p>
      <w:pPr>
        <w:ind w:left="600"/>
        <w:spacing w:after="0"/>
        <w:rPr>
          <w:sz w:val="20"/>
          <w:szCs w:val="20"/>
          <w:color w:val="auto"/>
        </w:rPr>
      </w:pPr>
      <w:r>
        <w:rPr>
          <w:rFonts w:ascii="Times New Roman" w:cs="Times New Roman" w:eastAsia="Times New Roman" w:hAnsi="Times New Roman"/>
          <w:sz w:val="20"/>
          <w:szCs w:val="20"/>
          <w:color w:val="auto"/>
        </w:rPr>
        <w:t>New York NY 10006</w:t>
      </w:r>
    </w:p>
    <w:p>
      <w:pPr>
        <w:ind w:left="600"/>
        <w:spacing w:after="0"/>
        <w:rPr>
          <w:sz w:val="20"/>
          <w:szCs w:val="20"/>
          <w:color w:val="auto"/>
        </w:rPr>
      </w:pPr>
      <w:r>
        <w:rPr>
          <w:rFonts w:ascii="Times New Roman" w:cs="Times New Roman" w:eastAsia="Times New Roman" w:hAnsi="Times New Roman"/>
          <w:sz w:val="20"/>
          <w:szCs w:val="20"/>
          <w:color w:val="auto"/>
        </w:rPr>
        <w:t>Attention: Amy R. Shapiro</w:t>
      </w:r>
    </w:p>
    <w:p>
      <w:pPr>
        <w:ind w:left="60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(iii)     if to the U.S. Co-Borrower, to it at:</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ALKERMES, INC.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900 Winter Street</w:t>
      </w:r>
    </w:p>
    <w:p>
      <w:pPr>
        <w:ind w:left="600"/>
        <w:spacing w:after="0"/>
        <w:rPr>
          <w:sz w:val="20"/>
          <w:szCs w:val="20"/>
          <w:color w:val="auto"/>
        </w:rPr>
      </w:pPr>
      <w:r>
        <w:rPr>
          <w:rFonts w:ascii="Times New Roman" w:cs="Times New Roman" w:eastAsia="Times New Roman" w:hAnsi="Times New Roman"/>
          <w:sz w:val="20"/>
          <w:szCs w:val="20"/>
          <w:color w:val="auto"/>
        </w:rPr>
        <w:t>Waltham, MA 02451</w:t>
      </w:r>
    </w:p>
    <w:p>
      <w:pPr>
        <w:ind w:left="600"/>
        <w:spacing w:after="0"/>
        <w:rPr>
          <w:sz w:val="20"/>
          <w:szCs w:val="20"/>
          <w:color w:val="auto"/>
        </w:rPr>
      </w:pPr>
      <w:r>
        <w:rPr>
          <w:rFonts w:ascii="Times New Roman" w:cs="Times New Roman" w:eastAsia="Times New Roman" w:hAnsi="Times New Roman"/>
          <w:sz w:val="20"/>
          <w:szCs w:val="20"/>
          <w:color w:val="auto"/>
        </w:rPr>
        <w:t>Attention: Joshua Reed</w:t>
      </w:r>
    </w:p>
    <w:p>
      <w:pPr>
        <w:ind w:left="600" w:right="3939" w:firstLine="621"/>
        <w:spacing w:after="0" w:line="246" w:lineRule="auto"/>
        <w:tabs>
          <w:tab w:leader="none" w:pos="142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Senior Vice President, Chief Financial Officer Email:  [****]</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Cleary Gottlieb Steen &amp; Hamilton LLP</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One Liberty Plaza,</w:t>
      </w:r>
    </w:p>
    <w:p>
      <w:pPr>
        <w:ind w:left="600"/>
        <w:spacing w:after="0"/>
        <w:rPr>
          <w:sz w:val="20"/>
          <w:szCs w:val="20"/>
          <w:color w:val="auto"/>
        </w:rPr>
      </w:pPr>
      <w:r>
        <w:rPr>
          <w:rFonts w:ascii="Times New Roman" w:cs="Times New Roman" w:eastAsia="Times New Roman" w:hAnsi="Times New Roman"/>
          <w:sz w:val="20"/>
          <w:szCs w:val="20"/>
          <w:color w:val="auto"/>
        </w:rPr>
        <w:t>New York NY 10006</w:t>
      </w:r>
    </w:p>
    <w:p>
      <w:pPr>
        <w:ind w:left="600"/>
        <w:spacing w:after="0"/>
        <w:rPr>
          <w:sz w:val="20"/>
          <w:szCs w:val="20"/>
          <w:color w:val="auto"/>
        </w:rPr>
      </w:pPr>
      <w:r>
        <w:rPr>
          <w:rFonts w:ascii="Times New Roman" w:cs="Times New Roman" w:eastAsia="Times New Roman" w:hAnsi="Times New Roman"/>
          <w:sz w:val="20"/>
          <w:szCs w:val="20"/>
          <w:color w:val="auto"/>
        </w:rPr>
        <w:t>Attention: Amy R. Shapiro</w:t>
      </w:r>
    </w:p>
    <w:p>
      <w:pPr>
        <w:ind w:left="600"/>
        <w:spacing w:after="0"/>
        <w:rPr>
          <w:sz w:val="20"/>
          <w:szCs w:val="20"/>
          <w:color w:val="auto"/>
        </w:rPr>
      </w:pPr>
      <w:r>
        <w:rPr>
          <w:rFonts w:ascii="Times New Roman" w:cs="Times New Roman" w:eastAsia="Times New Roman" w:hAnsi="Times New Roman"/>
          <w:sz w:val="20"/>
          <w:szCs w:val="20"/>
          <w:color w:val="auto"/>
        </w:rPr>
        <w:t>Email: [****]</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9019"/>
          </w:cols>
          <w:pgMar w:left="1440" w:top="265" w:right="1440" w:bottom="1440" w:gutter="0" w:footer="0" w:header="0"/>
        </w:sectPr>
      </w:pPr>
    </w:p>
    <w:bookmarkStart w:id="170" w:name="page171"/>
    <w:bookmarkEnd w:id="170"/>
    <w:p>
      <w:pPr>
        <w:jc w:val="both"/>
        <w:ind w:left="540" w:right="20" w:firstLine="523"/>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(A) if to the Administrative Agent from any Borrower, to JPMorgan Chase Bank, N.A., at the address separately provided to the Borrowers and (B) if to the Administrative Agent from the Lenders, at the address separately provided to such Lender; and</w:t>
      </w:r>
    </w:p>
    <w:p>
      <w:pPr>
        <w:spacing w:after="0" w:line="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(v)       if to any other Lender, to it at its address (or telecopy number) set forth in its Administrative Questionnaire.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said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551"/>
        <w:spacing w:after="0" w:line="263" w:lineRule="auto"/>
        <w:rPr>
          <w:sz w:val="20"/>
          <w:szCs w:val="20"/>
          <w:color w:val="auto"/>
        </w:rPr>
      </w:pPr>
      <w:r>
        <w:rPr>
          <w:rFonts w:ascii="Times New Roman" w:cs="Times New Roman" w:eastAsia="Times New Roman" w:hAnsi="Times New Roman"/>
          <w:sz w:val="19"/>
          <w:szCs w:val="19"/>
          <w:color w:val="auto"/>
        </w:rPr>
        <w:t xml:space="preserve">(b)      Notices and other communications to any Loan Party and the Lenders hereunder may be delivered or furnished by using Approved Electronic Platforms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unless otherwise agreed by the Administrative Agent and the applicable Lender.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6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(d)      Any party hereto may change its address or telecopy number for notices and other communications hereunder by notice to the other parties hereto.</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440" w:top="265" w:right="439" w:bottom="1440" w:gutter="0" w:footer="0" w:header="0"/>
        </w:sectPr>
      </w:pPr>
    </w:p>
    <w:bookmarkStart w:id="171" w:name="page172"/>
    <w:bookmarkEnd w:id="171"/>
    <w:p>
      <w:pPr>
        <w:jc w:val="both"/>
        <w:ind w:left="4" w:firstLine="551"/>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Except as provided in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with respect to an Incremental Amendment,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with respect to a Refinancing Facility Agreement,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with respect to an Extension Amendment,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2.14(d)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6.03(c)</w:t>
      </w:r>
      <w:r>
        <w:rPr>
          <w:rFonts w:ascii="Times New Roman" w:cs="Times New Roman" w:eastAsia="Times New Roman" w:hAnsi="Times New Roman"/>
          <w:sz w:val="19"/>
          <w:szCs w:val="19"/>
          <w:color w:val="auto"/>
        </w:rPr>
        <w:t xml:space="preserve">, neither this Agreement nor any provision hereof may be waived, amended or modified except pursuant to an agreement or agreements in writing entered into by the Borrowers and the Required Lenders or by the Borrowers and the Administrative Agent with the written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 (i) increase the Commitment of any Lender without the written consent of such Lender (it being understood and agreed that a waiver of any condition precedent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or of any Default or Event of Default is not considered an extension or increase in Commitment of any Lender), (ii) reduce or forgive the principal amount of any Loan or reduce the rate of interest thereon, or reduce or forgive any interest, fees or other amounts payable hereunder, without the written consent of each Lender directly affected thereby (except that none of (A) any amendment or modification of the Financial Covenants (or defined terms used in the Financial Covenants), (B) the waiver or reduction of the obligation of the Borrowers to pay interest or fees at the applicable default rate set forth in </w:t>
      </w:r>
      <w:r>
        <w:rPr>
          <w:rFonts w:ascii="Times New Roman" w:cs="Times New Roman" w:eastAsia="Times New Roman" w:hAnsi="Times New Roman"/>
          <w:sz w:val="19"/>
          <w:szCs w:val="19"/>
          <w:u w:val="single" w:color="auto"/>
          <w:color w:val="auto"/>
        </w:rPr>
        <w:t>Section 2.13(d)</w:t>
      </w:r>
      <w:r>
        <w:rPr>
          <w:rFonts w:ascii="Times New Roman" w:cs="Times New Roman" w:eastAsia="Times New Roman" w:hAnsi="Times New Roman"/>
          <w:sz w:val="19"/>
          <w:szCs w:val="19"/>
          <w:color w:val="auto"/>
        </w:rPr>
        <w:t xml:space="preserve"> or (C) a waiver of (or amendment to the terms of)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shall constitute a reduction in the rate of interest, fees or other amounts for purposes of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(iii) postpone the scheduled date of payment of the principal amount of any Loan, or any interest thereon (other than interest payable at the applicable default rate set forth in </w:t>
      </w:r>
      <w:r>
        <w:rPr>
          <w:rFonts w:ascii="Times New Roman" w:cs="Times New Roman" w:eastAsia="Times New Roman" w:hAnsi="Times New Roman"/>
          <w:sz w:val="19"/>
          <w:szCs w:val="19"/>
          <w:u w:val="single" w:color="auto"/>
          <w:color w:val="auto"/>
        </w:rPr>
        <w:t>Section 2.13(d)</w:t>
      </w:r>
      <w:r>
        <w:rPr>
          <w:rFonts w:ascii="Times New Roman" w:cs="Times New Roman" w:eastAsia="Times New Roman" w:hAnsi="Times New Roman"/>
          <w:sz w:val="19"/>
          <w:szCs w:val="19"/>
          <w:color w:val="auto"/>
        </w:rPr>
        <w:t xml:space="preserve">),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and the application thereof shall not constitute a postponement of such scheduled payment), (iv) change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2.11(f), 2.18(b)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2.18(d)</w:t>
      </w:r>
      <w:r>
        <w:rPr>
          <w:rFonts w:ascii="Times New Roman" w:cs="Times New Roman" w:eastAsia="Times New Roman" w:hAnsi="Times New Roman"/>
          <w:sz w:val="19"/>
          <w:szCs w:val="19"/>
          <w:color w:val="auto"/>
        </w:rPr>
        <w:t xml:space="preserve"> in a manner that would alter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sharing or application of payments required thereby, without the written consent of each Lender, (v) change the payment waterfall provisions of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7.03</w:t>
      </w:r>
      <w:r>
        <w:rPr>
          <w:rFonts w:ascii="Times New Roman" w:cs="Times New Roman" w:eastAsia="Times New Roman" w:hAnsi="Times New Roman"/>
          <w:sz w:val="19"/>
          <w:szCs w:val="19"/>
          <w:color w:val="auto"/>
        </w:rPr>
        <w:t xml:space="preserve"> without the written consent of each Lender, (vi) (A)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to be parties to an Incremental Amendment, Incremental Term Loans may be included in the determination of Required Lenders on substantially the same basis as the Commitments and the Loans are included on the Closing Date and Incremental Revolving Commitments and Incremental Revolving Loans may be included in the determination of Required Lenders on a customary basis) or (B) change the definition of “Required Initial Tranche A Term Lenders” without the written consent of all Initial Tranche A Term Lenders, (vii) (A) [reserved], (B) release any Borrower from its obligations as a Loan Party or from its obligations under </w:t>
      </w:r>
      <w:r>
        <w:rPr>
          <w:rFonts w:ascii="Times New Roman" w:cs="Times New Roman" w:eastAsia="Times New Roman" w:hAnsi="Times New Roman"/>
          <w:sz w:val="19"/>
          <w:szCs w:val="19"/>
          <w:u w:val="single" w:color="auto"/>
          <w:color w:val="auto"/>
        </w:rPr>
        <w:t>Section 9.21</w:t>
      </w:r>
      <w:r>
        <w:rPr>
          <w:rFonts w:ascii="Times New Roman" w:cs="Times New Roman" w:eastAsia="Times New Roman" w:hAnsi="Times New Roman"/>
          <w:sz w:val="19"/>
          <w:szCs w:val="19"/>
          <w:color w:val="auto"/>
        </w:rPr>
        <w:t xml:space="preserve"> or (C) release all or substantially all of the Subsidiary Guarantors from their obligations under the Guaranty, in each case, without the written consent of each Lender, (viii) except as provided in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this Section or in any Collateral Document, release all or substantially all of the Collateral, without the written consent of each Lender, (ix) subordinate the Lien on a material portion of the Collateral, taken as a whole, securing the Secured Obligations to the Lien securing any other Indebtedness (other than any Lien permitted pursuant to </w:t>
      </w:r>
      <w:r>
        <w:rPr>
          <w:rFonts w:ascii="Times New Roman" w:cs="Times New Roman" w:eastAsia="Times New Roman" w:hAnsi="Times New Roman"/>
          <w:sz w:val="19"/>
          <w:szCs w:val="19"/>
          <w:u w:val="single" w:color="auto"/>
          <w:color w:val="auto"/>
        </w:rPr>
        <w:t>Section 6.02(c)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6.02(e)</w:t>
      </w:r>
      <w:r>
        <w:rPr>
          <w:rFonts w:ascii="Times New Roman" w:cs="Times New Roman" w:eastAsia="Times New Roman" w:hAnsi="Times New Roman"/>
          <w:sz w:val="19"/>
          <w:szCs w:val="19"/>
          <w:color w:val="auto"/>
        </w:rPr>
        <w:t>), without the written consent of each Lender directly affected thereby,</w:t>
      </w:r>
    </w:p>
    <w:p>
      <w:pPr>
        <w:spacing w:after="0" w:line="227" w:lineRule="exact"/>
        <w:rPr>
          <w:sz w:val="20"/>
          <w:szCs w:val="20"/>
          <w:color w:val="auto"/>
        </w:rPr>
      </w:pPr>
    </w:p>
    <w:p>
      <w:pPr>
        <w:jc w:val="both"/>
        <w:ind w:left="4" w:right="20" w:hanging="4"/>
        <w:spacing w:after="0"/>
        <w:tabs>
          <w:tab w:leader="none" w:pos="2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subordinate the Secured Obligations (or any Class thereof) in right of payment to any other Indebtedness, without the written consent of each Lender directly affected thereby, (xi) amend, waive or otherwise modify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any definition related thereto (as any such definition is used therein but not as otherwise used in this Agreement or any other Loan Document) or waive any Default or Event of Default resulting from a failure to perform or observe any Financial Covenant without the written consent of the Required Initial Tranche A Term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waivers described in this clause (xi) shall not require the consent of any Lenders other than the Required Initial Tranche A Term Lenders) or (xii) add additional foreign borrowers (other than entities that are incorporated or organized under the laws of Ireland) without the written consent of each Lender directly affected thereby;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 no such agreement shall amend, modify or otherwise affect the rights or duties of the Administrative Agent without the prior written consent of the Administrative Agent (it being understood that any change to</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4"/>
          </w:cols>
          <w:pgMar w:left="436" w:top="265" w:right="439" w:bottom="1440" w:gutter="0" w:footer="0" w:header="0"/>
        </w:sectPr>
      </w:pPr>
    </w:p>
    <w:bookmarkStart w:id="172" w:name="page173"/>
    <w:bookmarkEnd w:id="172"/>
    <w:p>
      <w:pPr>
        <w:jc w:val="both"/>
        <w:ind w:left="4" w:right="20"/>
        <w:spacing w:after="0" w:line="244" w:lineRule="auto"/>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2.21</w:t>
      </w:r>
      <w:r>
        <w:rPr>
          <w:rFonts w:ascii="Times New Roman" w:cs="Times New Roman" w:eastAsia="Times New Roman" w:hAnsi="Times New Roman"/>
          <w:sz w:val="20"/>
          <w:szCs w:val="20"/>
          <w:color w:val="auto"/>
        </w:rPr>
        <w:t xml:space="preserve"> shall require the consent of the Administrative Agent) and (B)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Notwithstanding the foregoing, no consent with respect to any amendment, waiver or other modification of this Agreement shall be required of any Defaulting Lender, except with respect to any amendment, waiver or other modification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the first </w:t>
      </w:r>
      <w:r>
        <w:rPr>
          <w:rFonts w:ascii="Times New Roman" w:cs="Times New Roman" w:eastAsia="Times New Roman" w:hAnsi="Times New Roman"/>
          <w:sz w:val="20"/>
          <w:szCs w:val="20"/>
          <w:i w:val="1"/>
          <w:iCs w:val="1"/>
          <w:color w:val="auto"/>
        </w:rPr>
        <w:t>proviso</w:t>
      </w:r>
      <w:r>
        <w:rPr>
          <w:rFonts w:ascii="Times New Roman" w:cs="Times New Roman" w:eastAsia="Times New Roman" w:hAnsi="Times New Roman"/>
          <w:sz w:val="20"/>
          <w:szCs w:val="20"/>
          <w:color w:val="auto"/>
        </w:rPr>
        <w:t xml:space="preserve"> of this paragraph and then only in the event such Defaulting Lender shall be directly affected by such amendment, waiver or other modification.</w:t>
      </w:r>
    </w:p>
    <w:p>
      <w:pPr>
        <w:spacing w:after="0" w:line="186" w:lineRule="exact"/>
        <w:rPr>
          <w:sz w:val="20"/>
          <w:szCs w:val="20"/>
          <w:color w:val="auto"/>
        </w:rPr>
      </w:pPr>
    </w:p>
    <w:p>
      <w:pPr>
        <w:jc w:val="both"/>
        <w:ind w:left="4" w:right="20" w:firstLine="551"/>
        <w:spacing w:after="0" w:line="242" w:lineRule="auto"/>
        <w:rPr>
          <w:sz w:val="20"/>
          <w:szCs w:val="20"/>
          <w:color w:val="auto"/>
        </w:rPr>
      </w:pPr>
      <w:r>
        <w:rPr>
          <w:rFonts w:ascii="Times New Roman" w:cs="Times New Roman" w:eastAsia="Times New Roman" w:hAnsi="Times New Roman"/>
          <w:sz w:val="20"/>
          <w:szCs w:val="20"/>
          <w:color w:val="auto"/>
        </w:rPr>
        <w:t xml:space="preserve">(c)      Notwithstanding the foregoing, this Agreement and any other Loan Document may be amended (or amended and restated) with the written consent of the Required Lenders, the Administrative Agent and each applicable Borrower (x) to add one or more credit facilities (in addition to Incremental Commitments and/or Incremental Loans pursuant to an Incremental Amendment) to this Agreement and to permit extensions of credit from time to time outstanding thereunder and the accrued interest and fees in respect thereof to share ratably in the benefits of this Agreement and the other Loan Documents with the Term Loans, Incremental Loans and the accrued interest and fees in respect thereof and (y) to include appropriately the Lenders holding such credit facilities in any determination of the Required Lenders and Lenders (it being understood and agreed that any such amendment in connection with Incremental Commitments or Incremental Loans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Refinancing Term Loan Commitments or Refinancing Term Loans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require solely the consent of the parties prescribed by such Section and shall not require the consent of the Required Lenders).</w:t>
      </w:r>
    </w:p>
    <w:p>
      <w:pPr>
        <w:spacing w:after="0" w:line="192" w:lineRule="exact"/>
        <w:rPr>
          <w:sz w:val="20"/>
          <w:szCs w:val="20"/>
          <w:color w:val="auto"/>
        </w:rPr>
      </w:pPr>
    </w:p>
    <w:p>
      <w:pPr>
        <w:jc w:val="both"/>
        <w:ind w:left="4" w:right="20" w:firstLine="551"/>
        <w:spacing w:after="0" w:line="250" w:lineRule="auto"/>
        <w:rPr>
          <w:sz w:val="20"/>
          <w:szCs w:val="20"/>
          <w:color w:val="auto"/>
        </w:rPr>
      </w:pPr>
      <w:r>
        <w:rPr>
          <w:rFonts w:ascii="Times New Roman" w:cs="Times New Roman" w:eastAsia="Times New Roman" w:hAnsi="Times New Roman"/>
          <w:sz w:val="20"/>
          <w:szCs w:val="20"/>
          <w:color w:val="auto"/>
        </w:rPr>
        <w:t>(d)      The Lenders hereby irrevocably authorize the Administrative Agent, and the Administrative Agent agrees, to release any Liens granted to the Administrative Agent by the Loan Parties on any Collateral (i) upon the satisfaction of the Final Release Conditions,</w:t>
      </w:r>
    </w:p>
    <w:p>
      <w:pPr>
        <w:spacing w:after="0" w:line="2" w:lineRule="exact"/>
        <w:rPr>
          <w:sz w:val="20"/>
          <w:szCs w:val="20"/>
          <w:color w:val="auto"/>
        </w:rPr>
      </w:pPr>
    </w:p>
    <w:p>
      <w:pPr>
        <w:jc w:val="both"/>
        <w:ind w:left="4" w:hanging="4"/>
        <w:spacing w:after="0" w:line="239" w:lineRule="auto"/>
        <w:tabs>
          <w:tab w:leader="none" w:pos="31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termination of all the Commitments, payment and satisfaction in full in cash of all Secured Obligations (other than Swap Obligations not yet due and payable, Banking Services Obligations not yet due and payable, Unliquidated Obligations for which no claim has been made and other Obligations expressly stated to survive such payment and termination), (iii) constituting property being sold or disposed of to any Person other than a Loan Party or that becomes Excluded Assets if the U.S. Borrower certifies to the Administrative Agent that the sale or disposition is made in compliance with the terms of this Agreement or that such property constitutes Excluded Assets (and the Administrative Agent may rely conclusively on any such certificate, without further inquiry), (iv) constituting property leased to any Borrower or any Restricted Subsidiary under a lease which has expired or been terminated in a transaction permitted under this Agreement, or (v)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 (except to the extent any of the foregoing constitutes Excluded Assets). In addition, each of the Lenders, on behalf of itself and any of its Affiliates that are Secured Parties, irrevocably authorizes the Administrative Agent, and the Administrative Agent agrees, (i) to subordinate any Lien on any assets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or (to the extent constituting similar Liens on fixed or capital assets (including capital leases) that would otherwise be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save for the basket limitations of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in each case, if the U.S. Borrower certifies that (A) such Lien is permitted by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(B) such Lien constitutes a Lien on fixed or capital assets (including capital leases) that would otherwise be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save for the basket limitations of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and is permitted by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as applicable (and the Administrative Agent may rely conclusively on any such certificate, without further inquiry), (ii) in the</w:t>
      </w:r>
    </w:p>
    <w:p>
      <w:pPr>
        <w:spacing w:after="0" w:line="1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4"/>
          </w:cols>
          <w:pgMar w:left="436" w:top="265" w:right="439" w:bottom="1440" w:gutter="0" w:footer="0" w:header="0"/>
        </w:sectPr>
      </w:pPr>
    </w:p>
    <w:bookmarkStart w:id="173" w:name="page174"/>
    <w:bookmarkEnd w:id="173"/>
    <w:p>
      <w:pPr>
        <w:jc w:val="both"/>
        <w:ind w:left="4"/>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event that the U.S. Borrower shall have advised the Administrative Agent that, notwithstanding the use by each Borrower of commercially reasonable efforts to obtain the consent of such holder (but without the requirement to pay any sums to obtain such consent) to permit the Administrative Agent to retain its liens (on a subordinated basis as contemplated by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the holder of such other Indebtedness that is to be subject to a Lien on property that is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or (to the extent constituting similar Liens on fixed or capital assets (including capital leases) that would otherwise be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save for the basket limitations of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6.02(u)</w:t>
      </w:r>
      <w:r>
        <w:rPr>
          <w:rFonts w:ascii="Times New Roman" w:cs="Times New Roman" w:eastAsia="Times New Roman" w:hAnsi="Times New Roman"/>
          <w:sz w:val="20"/>
          <w:szCs w:val="20"/>
          <w:color w:val="auto"/>
        </w:rPr>
        <w:t xml:space="preserve">, as applicable, requires, as a condition to the extension of such credit, that the Liens on such assets granted to or held by the Administrative Agent under any Loan Document be released, to release the Administrative Agent’s Liens on such assets or (iii) enter into any First Lien Intercreditor Agreement, Junior Lien Intercreditor Agreement, other intercreditor agreement, subordination agreement or arrangement expressly permitted under this Agreement, and any amendment, modification, supplement or joinder with respect thereto, and the Lenders acknowledge that any such First Lien Intercreditor Agreement, Junior Lien Intercreditor Agreement, other intercreditor agreement, subordination agreement or other arrangement is binding upon the Lenders. In each case as specified in this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 xml:space="preserve">, the Administrative Agent will, at the Borrowers’ expense, execute and deliver to the applicable Loan Party such documents as such Loan Party may reasonably request, and in form and substance reasonably satisfactory to the Administrative Agent, to evidence the (x) release of such item of Collateral from the assignment and security interest granted under the Loan Documents and deliver to the Borrowers, at the expense of the Borrowers, any portion of such Collateral so released that is in possession of the Administrative Agent or (y) subordination of its interest in such item, in each case in accordance with the terms of the Loan Documents and this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19"/>
          <w:szCs w:val="19"/>
          <w:color w:val="auto"/>
        </w:rPr>
        <w:t>(e)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then the Borrowers may elect to replace a Non-Consenting Lender as a Lender party to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concurrently with such replacement,</w:t>
      </w:r>
    </w:p>
    <w:p>
      <w:pPr>
        <w:spacing w:after="0" w:line="1" w:lineRule="exact"/>
        <w:rPr>
          <w:sz w:val="20"/>
          <w:szCs w:val="20"/>
          <w:color w:val="auto"/>
        </w:rPr>
      </w:pPr>
    </w:p>
    <w:p>
      <w:pPr>
        <w:jc w:val="both"/>
        <w:ind w:left="4" w:right="20" w:hanging="4"/>
        <w:spacing w:after="0" w:line="252" w:lineRule="auto"/>
        <w:tabs>
          <w:tab w:leader="none" w:pos="241"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another bank or other entity which is reasonably satisfactory to the Borrowers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had the Loans of such Non-Consenting Lender been prepaid on such date rather than sold to the replacement Lender, (iii) such Non-Consenting Lender shall have received the outstanding principal amount of its Loans and (iv) such other bank or other entity consents to such proposed amendment, waiver or consent. Each party hereto agrees that</w:t>
      </w:r>
    </w:p>
    <w:p>
      <w:pPr>
        <w:spacing w:after="0" w:line="1" w:lineRule="exact"/>
        <w:rPr>
          <w:rFonts w:ascii="Times New Roman" w:cs="Times New Roman" w:eastAsia="Times New Roman" w:hAnsi="Times New Roman"/>
          <w:sz w:val="19"/>
          <w:szCs w:val="19"/>
          <w:color w:val="auto"/>
        </w:rPr>
      </w:pPr>
    </w:p>
    <w:p>
      <w:pPr>
        <w:jc w:val="both"/>
        <w:ind w:left="4" w:right="20" w:hanging="4"/>
        <w:spacing w:after="0"/>
        <w:tabs>
          <w:tab w:leader="none" w:pos="27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assignment required pursuant to this paragraph may be effected pursuant to an Assignment and Assumption executed by the Borrowers,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24"/>
          </w:cols>
          <w:pgMar w:left="436" w:top="265" w:right="439" w:bottom="1440" w:gutter="0" w:footer="0" w:header="0"/>
        </w:sectPr>
      </w:pPr>
    </w:p>
    <w:bookmarkStart w:id="174" w:name="page175"/>
    <w:bookmarkEnd w:id="174"/>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Notwithstanding anything to the contrary herein the Administrative Agent may, with the consent of the Borrowers or other applicable Loan Parties only, amend, modify or supplement this Agreement or any of the other Loan Documents (i) to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or (iii) to effect the granting, perfection, protection, expansion or enhancement of any security interest in any Collateral or additional property to become Collateral for the benefit of the Secured Parties.</w:t>
      </w:r>
    </w:p>
    <w:p>
      <w:pPr>
        <w:spacing w:after="0" w:line="186" w:lineRule="exact"/>
        <w:rPr>
          <w:sz w:val="20"/>
          <w:szCs w:val="20"/>
          <w:color w:val="auto"/>
        </w:rPr>
      </w:pPr>
    </w:p>
    <w:p>
      <w:pPr>
        <w:jc w:val="both"/>
        <w:ind w:right="20" w:firstLine="551"/>
        <w:spacing w:after="0" w:line="245" w:lineRule="auto"/>
        <w:rPr>
          <w:sz w:val="20"/>
          <w:szCs w:val="20"/>
          <w:color w:val="auto"/>
        </w:rPr>
      </w:pPr>
      <w:r>
        <w:rPr>
          <w:rFonts w:ascii="Times New Roman" w:cs="Times New Roman" w:eastAsia="Times New Roman" w:hAnsi="Times New Roman"/>
          <w:sz w:val="20"/>
          <w:szCs w:val="20"/>
          <w:color w:val="auto"/>
        </w:rPr>
        <w:t>(g)    Notwithstanding the foregoing, no Lender consent is required to effect any amendment, modification or supplement to any First Lien Intercreditor Agreement, any Junior Lien Intercreditor Agreement or other intercreditor agreement or arrangement permitted under this Agreement that is expressly contemplated by any First Lien Intercreditor Agreement, any Junior Lien Intercreditor Agreement or other intercreditor agreement or arrangement permitted under this Agreement; provided, further, that no such agreement shall amend, modify or otherwise adversely affect the rights or duties of the Administrative Agent hereunder or under any other Loan Document without the prior written consent of the Administrative Agent.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Expenses; Limitation of Liability; Indemnity, etc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Borrowers shall pay (i) all reasonable and documented out-of-pocket expenses incurred by the Administrative Agent, the Arrangers, the Syndication Agent, the Co-Documentation Agents and their respective Affiliates (which shall be limited, in the case of legal fees and expenses, to the reasonable and documented fees, disbursements and other charges of a single firm as primary counsel, along with a single firm of local counsel in each applicable jurisdiction), in connection with the syndication and distribution (including, without limitation, via the Internet or through a service such as Intralinks and any virtual data room fees)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(ii) [reserved] and (iii) all reasonable and documented out-of-pocket expenses incurred by the Administrative Agent or any Lender (which shall be limited, in the case of legal fees and expenses, to the reasonable and documented fees, disbursements and other charges of a single firm as primary counsel, along with a single firm of local counsel in each applicable jurisdiction, for the Administrative Agent, and, in the event of an actual or reasonably perceived conflict of interest (as reasonably determined by the Administrative Agent or the applicable Lender), after consultation with the U.S. Borrower, one additional firm of primary counsel for each group of similarly affected persons, and to the extent required, one firm of local counsel in each relevant jurisdiction (which may include a single special counsel acting in multiple jurisdictions)) in connection with the enforcement or protection of its rights in connection with this Agreement and any other Loan Document, including its rights under this Section, or in connection with the Loans made hereunder, including all such out-of-pocket expenses (subject to the foregoing limitations with respect to legal fees and expenses) incurred during any workout, restructuring or negotiations in respect of such Loans.</w:t>
      </w:r>
    </w:p>
    <w:p>
      <w:pPr>
        <w:spacing w:after="0" w:line="192" w:lineRule="exact"/>
        <w:rPr>
          <w:sz w:val="20"/>
          <w:szCs w:val="20"/>
          <w:color w:val="auto"/>
        </w:rPr>
      </w:pPr>
    </w:p>
    <w:p>
      <w:pPr>
        <w:jc w:val="both"/>
        <w:ind w:right="20" w:firstLine="551"/>
        <w:spacing w:after="0" w:line="246"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To the extent permitted by applicable law (i) each Borrower and each other Loan Party shall not assert, and each Borrower and each other Loan Party hereby waives, any claim against the Administrative Agent, any Arranger, the Syndication Agent, any Co-Documentation Agent, any Lender, and any Related Party of any of the foregoing Persons (each such Person being called a “</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for any Liabilities arising from the use by others of information or other materials (including, without limitation, any personal data) obtained through telecommunications,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440" w:top="265" w:right="439" w:bottom="1440" w:gutter="0" w:footer="0" w:header="0"/>
        </w:sectPr>
      </w:pPr>
    </w:p>
    <w:bookmarkStart w:id="175" w:name="page176"/>
    <w:bookmarkEnd w:id="175"/>
    <w:p>
      <w:pPr>
        <w:jc w:val="both"/>
        <w:ind w:left="4"/>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or other information transmission systems (including the Internet), (ii) in no event shall any Borrower or any of its affiliates or any of its or their respective officers, directors, employees, advisors or agents (each a “</w:t>
      </w:r>
      <w:r>
        <w:rPr>
          <w:rFonts w:ascii="Times New Roman" w:cs="Times New Roman" w:eastAsia="Times New Roman" w:hAnsi="Times New Roman"/>
          <w:sz w:val="19"/>
          <w:szCs w:val="19"/>
          <w:u w:val="single" w:color="auto"/>
          <w:color w:val="auto"/>
        </w:rPr>
        <w:t>Borrower-Related Person</w:t>
      </w:r>
      <w:r>
        <w:rPr>
          <w:rFonts w:ascii="Times New Roman" w:cs="Times New Roman" w:eastAsia="Times New Roman" w:hAnsi="Times New Roman"/>
          <w:sz w:val="19"/>
          <w:szCs w:val="19"/>
          <w:color w:val="auto"/>
        </w:rPr>
        <w:t xml:space="preserve">”) have any Liabilities, on any theory of liability, for any special, indirect, consequential or punitive damages incurred by us, our affiliates or our respective equity holders arising out of, in connection with, or as a result of, this Agreement, any other Loan Document or any other agreement or instrument contemplated hereby or thereby and (iii)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 9.03(b)</w:t>
      </w:r>
      <w:r>
        <w:rPr>
          <w:rFonts w:ascii="Times New Roman" w:cs="Times New Roman" w:eastAsia="Times New Roman" w:hAnsi="Times New Roman"/>
          <w:sz w:val="19"/>
          <w:szCs w:val="19"/>
          <w:color w:val="auto"/>
        </w:rPr>
        <w:t xml:space="preserve"> shall relieve any Borrower or any other Loan Party of any obligation it may have to indemnify an Indemnitee, as provided in </w:t>
      </w:r>
      <w:r>
        <w:rPr>
          <w:rFonts w:ascii="Times New Roman" w:cs="Times New Roman" w:eastAsia="Times New Roman" w:hAnsi="Times New Roman"/>
          <w:sz w:val="19"/>
          <w:szCs w:val="19"/>
          <w:u w:val="single" w:color="auto"/>
          <w:color w:val="auto"/>
        </w:rPr>
        <w:t>Section 9.03(c)</w:t>
      </w:r>
      <w:r>
        <w:rPr>
          <w:rFonts w:ascii="Times New Roman" w:cs="Times New Roman" w:eastAsia="Times New Roman" w:hAnsi="Times New Roman"/>
          <w:sz w:val="19"/>
          <w:szCs w:val="19"/>
          <w:color w:val="auto"/>
        </w:rPr>
        <w:t>, against any special, indirect, consequential or punitive damages asserted against such Indemnitee by a third party.</w:t>
      </w:r>
    </w:p>
    <w:p>
      <w:pPr>
        <w:spacing w:after="0" w:line="181" w:lineRule="exact"/>
        <w:rPr>
          <w:sz w:val="20"/>
          <w:szCs w:val="20"/>
          <w:color w:val="auto"/>
        </w:rPr>
      </w:pPr>
    </w:p>
    <w:p>
      <w:pPr>
        <w:jc w:val="both"/>
        <w:ind w:left="4" w:firstLine="551"/>
        <w:spacing w:after="0" w:line="253" w:lineRule="auto"/>
        <w:rPr>
          <w:sz w:val="20"/>
          <w:szCs w:val="20"/>
          <w:color w:val="auto"/>
        </w:rPr>
      </w:pPr>
      <w:r>
        <w:rPr>
          <w:rFonts w:ascii="Times New Roman" w:cs="Times New Roman" w:eastAsia="Times New Roman" w:hAnsi="Times New Roman"/>
          <w:sz w:val="19"/>
          <w:szCs w:val="19"/>
          <w:color w:val="auto"/>
        </w:rPr>
        <w:t xml:space="preserve">(c)      </w:t>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The Borrowers shall indemnify the Administrative Agent, each Arranger, the Syndication Agent, each Co-Documentation Agent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Liabilities and related expenses (which shall be limited, in the case of legal fees and expenses, to the reasonable and documented fees, disbursements and other charges of a single firm of primary counsel, along with such specialist counsel as may reasonably be required by the Administrative Agent, and a single firm of local counsel in each applicable jurisdiction for all Indemnitees and, in the event of an actual or reasonably perceived conflict of interest (as reasonably determined by the applicable Indemnitee), one additional firm of counsel to each group of similarly affected Indemnitees and to the extent required, one firm or local counsel in each relevant jurisdiction (which may include a single special counsel acting in multiple jurisdictions), but no third party advisors without prior written consent of the U.S. Borrower,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action taken in connection with this Agreement, including, but not limited to, the payment of principal, interest and fees, (iv) any Loan or the use of the proceeds therefrom, (v) any act or omission of the Administrative Agent in connection with the administration of this Agreement, any other Loan Document, or any agreement or instrument contemplated hereby or thereby, (vi) any release of Hazardous Materials on or from any property owned or operated by the TopCo Borrower or any of its Restricted Subsidiaries, or any Environmental Liability incurred by, or to the extent relating to, the TopCo Borrower or any of its Restricted Subsidiaries, or (vii) any actual or prospective Proceeding in any jurisdiction relating to any of the foregoing (including in relation to enforcing the terms of the limitation of liability and indemnification referred to above), whether or not such Proceeding is brought by any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(i) the gross negligence, bad faith or willful misconduct of such Indemnitee or any of its Controlled Related Parties in performing its activities or in furnishing its commitments or services under this Agreement or the other Loan Documents, (ii) a breach by such Indemnitee or any of its Controlled Related Parties of its material obligations under this Agreement or the other Loan Documents or</w:t>
      </w:r>
    </w:p>
    <w:p>
      <w:pPr>
        <w:spacing w:after="0" w:line="232" w:lineRule="exact"/>
        <w:rPr>
          <w:sz w:val="20"/>
          <w:szCs w:val="20"/>
          <w:color w:val="auto"/>
        </w:rPr>
      </w:pPr>
    </w:p>
    <w:p>
      <w:pPr>
        <w:jc w:val="both"/>
        <w:ind w:left="4" w:right="20" w:hanging="4"/>
        <w:spacing w:after="0" w:line="241" w:lineRule="auto"/>
        <w:tabs>
          <w:tab w:leader="none" w:pos="35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solely among Indemnitees (not arising from any act or omission of any Borrower or any of its Affiliates) other than claims against an Indemnitee acting in its capacity as, or in fulfilling its role as, the Administrative Agent, an Arranger, the Syndication Agent, or a Co-Documentation Agent under this Agreement or the other Loan Documents). As used above, a “</w:t>
      </w:r>
      <w:r>
        <w:rPr>
          <w:rFonts w:ascii="Times New Roman" w:cs="Times New Roman" w:eastAsia="Times New Roman" w:hAnsi="Times New Roman"/>
          <w:sz w:val="20"/>
          <w:szCs w:val="20"/>
          <w:u w:val="single" w:color="auto"/>
          <w:color w:val="auto"/>
        </w:rPr>
        <w:t>Controlled Related Party</w:t>
      </w:r>
      <w:r>
        <w:rPr>
          <w:rFonts w:ascii="Times New Roman" w:cs="Times New Roman" w:eastAsia="Times New Roman" w:hAnsi="Times New Roman"/>
          <w:sz w:val="20"/>
          <w:szCs w:val="20"/>
          <w:color w:val="auto"/>
        </w:rPr>
        <w:t>” of an Indemnitee means (1) any Controlling Person or Controlled Affiliate of</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24"/>
          </w:cols>
          <w:pgMar w:left="436" w:top="265" w:right="439" w:bottom="1440" w:gutter="0" w:footer="0" w:header="0"/>
        </w:sectPr>
      </w:pPr>
    </w:p>
    <w:bookmarkStart w:id="176" w:name="page177"/>
    <w:bookmarkEnd w:id="176"/>
    <w:p>
      <w:pPr>
        <w:jc w:val="both"/>
        <w:ind w:left="4"/>
        <w:spacing w:after="0" w:line="255"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w:t>
      </w:r>
      <w:r>
        <w:rPr>
          <w:rFonts w:ascii="Times New Roman" w:cs="Times New Roman" w:eastAsia="Times New Roman" w:hAnsi="Times New Roman"/>
          <w:sz w:val="19"/>
          <w:szCs w:val="19"/>
          <w:u w:val="single" w:color="auto"/>
          <w:color w:val="auto"/>
        </w:rPr>
        <w:t>clause (3)</w:t>
      </w:r>
      <w:r>
        <w:rPr>
          <w:rFonts w:ascii="Times New Roman" w:cs="Times New Roman" w:eastAsia="Times New Roman" w:hAnsi="Times New Roman"/>
          <w:sz w:val="19"/>
          <w:szCs w:val="19"/>
          <w:color w:val="auto"/>
        </w:rPr>
        <w:t xml:space="preserve">, acting at the instructions of such Indemnitee, Controlling Person or Controlled Affiliate;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reference to a Controlling Person, Controlled Affiliate, director, officer or employee in this sentence pertains to a Controlling Person, Controlled Affiliate, director, officer or employee involved in the arrangement, negotiation or syndication of the credit facilities evidenced by this Agreement. This </w:t>
      </w:r>
      <w:r>
        <w:rPr>
          <w:rFonts w:ascii="Times New Roman" w:cs="Times New Roman" w:eastAsia="Times New Roman" w:hAnsi="Times New Roman"/>
          <w:sz w:val="19"/>
          <w:szCs w:val="19"/>
          <w:u w:val="single" w:color="auto"/>
          <w:color w:val="auto"/>
        </w:rPr>
        <w:t>Section 9.03(c)</w:t>
      </w:r>
      <w:r>
        <w:rPr>
          <w:rFonts w:ascii="Times New Roman" w:cs="Times New Roman" w:eastAsia="Times New Roman" w:hAnsi="Times New Roman"/>
          <w:sz w:val="19"/>
          <w:szCs w:val="19"/>
          <w:color w:val="auto"/>
        </w:rPr>
        <w:t xml:space="preserve"> shall not apply with respect to Taxes other than any Taxes that represent losses, claims or damages arising from any non-Tax claim;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further that, the Borrowers shall not be liable for any settlement of any claim, litigation, investigation, arbitration or administrative, judicial or regulatory action or proceeding effected without the U.S. Borrower’s prior written consent (such consent not to be unreasonably withheld or delayed). The Borrowers shall not, without the prior written consent of each affected Indemnitee (which consent shall not be unreasonably withheld, conditioned or delayed), effect any settlement of any pending or threatened Proceedings in respect of which indemnity could have been sought hereunder by such Indemnitee unless (i) such settlement includes an unconditional release of such Indemnitee in form and substance reasonably satisfactory to such Indemnitee from all liability on claims that are the subject matter of such Proceedings and (ii) does not include any statement as to or any admission of fault, culpability or a failure to act by or on behalf of such Indemnitee or any injunctive relief or other non-monetary remedy binding on such Indemnitee.</w:t>
      </w:r>
    </w:p>
    <w:p>
      <w:pPr>
        <w:spacing w:after="0" w:line="17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xml:space="preserve">. To the extent that the Borrowers fail to pay any amount required to be paid by them under </w:t>
      </w:r>
      <w:r>
        <w:rPr>
          <w:rFonts w:ascii="Times New Roman" w:cs="Times New Roman" w:eastAsia="Times New Roman" w:hAnsi="Times New Roman"/>
          <w:sz w:val="20"/>
          <w:szCs w:val="20"/>
          <w:u w:val="single" w:color="auto"/>
          <w:color w:val="auto"/>
        </w:rPr>
        <w:t>clause</w:t>
      </w:r>
    </w:p>
    <w:p>
      <w:pPr>
        <w:spacing w:after="0" w:line="22" w:lineRule="exact"/>
        <w:rPr>
          <w:sz w:val="20"/>
          <w:szCs w:val="20"/>
          <w:color w:val="auto"/>
        </w:rPr>
      </w:pPr>
    </w:p>
    <w:p>
      <w:pPr>
        <w:jc w:val="both"/>
        <w:ind w:left="4" w:hanging="4"/>
        <w:spacing w:after="0" w:line="241" w:lineRule="auto"/>
        <w:tabs>
          <w:tab w:leader="none" w:pos="293" w:val="left"/>
        </w:tabs>
        <w:numPr>
          <w:ilvl w:val="0"/>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each Lender severally agrees to pay to the Administrative Agent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as the case may be, such Lender’s Applicable Facilities Percentage (determined as of the time that the applicable payment is sought) of such unpaid amount (it being understood that the Borrowers’ failure to pay any such amount shall not relieve the Borrowers of any default in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w:t>
      </w:r>
    </w:p>
    <w:p>
      <w:pPr>
        <w:spacing w:after="0" w:line="187"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be payable not later than thirty (30) days after written demand therefor.</w:t>
      </w:r>
    </w:p>
    <w:p>
      <w:pPr>
        <w:spacing w:after="0" w:line="15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(a)      The provisions of this Agreement shall be binding upon and inure to the benefit of the parties hereto and their respective successors and assigns permitted hereby,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89" w:lineRule="exact"/>
        <w:rPr>
          <w:sz w:val="20"/>
          <w:szCs w:val="20"/>
          <w:color w:val="auto"/>
        </w:rPr>
      </w:pPr>
    </w:p>
    <w:p>
      <w:pPr>
        <w:jc w:val="both"/>
        <w:ind w:left="4" w:firstLine="551"/>
        <w:spacing w:after="0" w:line="274" w:lineRule="auto"/>
        <w:rPr>
          <w:sz w:val="20"/>
          <w:szCs w:val="20"/>
          <w:color w:val="auto"/>
        </w:rPr>
      </w:pPr>
      <w:r>
        <w:rPr>
          <w:rFonts w:ascii="Times New Roman" w:cs="Times New Roman" w:eastAsia="Times New Roman" w:hAnsi="Times New Roman"/>
          <w:sz w:val="19"/>
          <w:szCs w:val="19"/>
          <w:color w:val="auto"/>
        </w:rPr>
        <w:t xml:space="preserve">(b)      Subject to the conditions set forth in </w:t>
      </w:r>
      <w:r>
        <w:rPr>
          <w:rFonts w:ascii="Times New Roman" w:cs="Times New Roman" w:eastAsia="Times New Roman" w:hAnsi="Times New Roman"/>
          <w:sz w:val="19"/>
          <w:szCs w:val="19"/>
          <w:u w:val="single" w:color="auto"/>
          <w:color w:val="auto"/>
        </w:rPr>
        <w:t>clause (b)(ii)</w:t>
      </w:r>
      <w:r>
        <w:rPr>
          <w:rFonts w:ascii="Times New Roman" w:cs="Times New Roman" w:eastAsia="Times New Roman" w:hAnsi="Times New Roman"/>
          <w:sz w:val="19"/>
          <w:szCs w:val="19"/>
          <w:color w:val="auto"/>
        </w:rPr>
        <w:t xml:space="preserve">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conditioned or delayed) of:</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24"/>
          </w:cols>
          <w:pgMar w:left="436" w:top="265" w:right="439" w:bottom="1440" w:gutter="0" w:footer="0" w:header="0"/>
        </w:sectPr>
      </w:pPr>
    </w:p>
    <w:bookmarkStart w:id="177" w:name="page178"/>
    <w:bookmarkEnd w:id="177"/>
    <w:p>
      <w:pPr>
        <w:jc w:val="both"/>
        <w:ind w:right="20" w:firstLine="523"/>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 the U.S. Borrower (x) during the Certain Funds Period, in the U.S. Borrower’s sole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U.S. Borrower shall be required for an assignment to a Lender (other than an assignment of an Initial Tranche A Term Commitment to an Initial Tranche B Term Lender that is not also an Initial Tranche A Term Lender) and (y) after the Certain Funds Period, such consent not to be unreasonably withheld, conditioned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solely in the case of this clause</w:t>
      </w:r>
    </w:p>
    <w:p>
      <w:pPr>
        <w:spacing w:after="0" w:line="1" w:lineRule="exact"/>
        <w:rPr>
          <w:sz w:val="20"/>
          <w:szCs w:val="20"/>
          <w:color w:val="auto"/>
        </w:rPr>
      </w:pPr>
    </w:p>
    <w:p>
      <w:pPr>
        <w:jc w:val="both"/>
        <w:ind w:firstLine="7"/>
        <w:spacing w:after="0" w:line="241" w:lineRule="auto"/>
        <w:tabs>
          <w:tab w:leader="none" w:pos="28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U.S. Borrower shall be deemed to have consented to any such assignment unless it shall object thereto by written notice to the Administrative Agent within 10 Business Days after having received written notice thereof and (II) no consent of the U.S. Borrower shall be required for an assignment to a Lender, an Affiliate of a Lender or an Approved Fund (in each case, other than an assignment of an Initial Tranche A Term Loan to an Initial Tranche B Term Lender that is not also an Initial Tranche A Term Lender) or, if a Specified Event of Default has occurred and is continuing, any other assignee);</w:t>
      </w:r>
    </w:p>
    <w:p>
      <w:pPr>
        <w:spacing w:after="0" w:line="187" w:lineRule="exact"/>
        <w:rPr>
          <w:sz w:val="20"/>
          <w:szCs w:val="20"/>
          <w:color w:val="auto"/>
        </w:rPr>
      </w:pPr>
    </w:p>
    <w:p>
      <w:pPr>
        <w:jc w:val="both"/>
        <w:ind w:left="560" w:right="20" w:firstLine="496"/>
        <w:spacing w:after="0" w:line="269" w:lineRule="auto"/>
        <w:rPr>
          <w:sz w:val="20"/>
          <w:szCs w:val="20"/>
          <w:color w:val="auto"/>
        </w:rPr>
      </w:pPr>
      <w:r>
        <w:rPr>
          <w:rFonts w:ascii="Times New Roman" w:cs="Times New Roman" w:eastAsia="Times New Roman" w:hAnsi="Times New Roman"/>
          <w:sz w:val="20"/>
          <w:szCs w:val="20"/>
          <w:color w:val="auto"/>
        </w:rPr>
        <w:t xml:space="preserve">(B)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 Lender, an Affiliate of a Lender, an Approved Fund; and</w:t>
      </w:r>
    </w:p>
    <w:p>
      <w:pPr>
        <w:spacing w:after="0" w:line="1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(C)       [reserved].</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(ii)       Assignments shall be subject to the following additional conditions:</w:t>
      </w:r>
    </w:p>
    <w:p>
      <w:pPr>
        <w:spacing w:after="0" w:line="216" w:lineRule="exact"/>
        <w:rPr>
          <w:sz w:val="20"/>
          <w:szCs w:val="20"/>
          <w:color w:val="auto"/>
        </w:rPr>
      </w:pPr>
    </w:p>
    <w:p>
      <w:pPr>
        <w:jc w:val="both"/>
        <w:ind w:left="560" w:firstLine="496"/>
        <w:spacing w:after="0" w:line="243" w:lineRule="auto"/>
        <w:rPr>
          <w:sz w:val="20"/>
          <w:szCs w:val="20"/>
          <w:color w:val="auto"/>
        </w:rPr>
      </w:pPr>
      <w:r>
        <w:rPr>
          <w:rFonts w:ascii="Times New Roman" w:cs="Times New Roman" w:eastAsia="Times New Roman" w:hAnsi="Times New Roman"/>
          <w:sz w:val="20"/>
          <w:szCs w:val="20"/>
          <w:color w:val="auto"/>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 in each case unless each of the U.S.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U.S. Borrower shall be required if a Specified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concurrent assignments to or from Affiliates and groups of funds will be aggregated and treated as a single assignment for purposes of determining whether such minimum amount has been met;</w:t>
      </w:r>
    </w:p>
    <w:p>
      <w:pPr>
        <w:spacing w:after="0" w:line="189" w:lineRule="exact"/>
        <w:rPr>
          <w:sz w:val="20"/>
          <w:szCs w:val="20"/>
          <w:color w:val="auto"/>
        </w:rPr>
      </w:pPr>
    </w:p>
    <w:p>
      <w:pPr>
        <w:jc w:val="both"/>
        <w:ind w:left="560" w:right="20" w:firstLine="496"/>
        <w:spacing w:after="0" w:line="254" w:lineRule="auto"/>
        <w:rPr>
          <w:sz w:val="20"/>
          <w:szCs w:val="20"/>
          <w:color w:val="auto"/>
        </w:rPr>
      </w:pPr>
      <w:r>
        <w:rPr>
          <w:rFonts w:ascii="Times New Roman" w:cs="Times New Roman" w:eastAsia="Times New Roman" w:hAnsi="Times New Roman"/>
          <w:sz w:val="20"/>
          <w:szCs w:val="20"/>
          <w:color w:val="auto"/>
        </w:rPr>
        <w:t xml:space="preserve">(B)      each partial assignment shall be made as an assignment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be construed to prohibit the assignment of a proportionate part of all the assigning Lender’s rights and obligations in respect of one Class of Commitments or Loans;</w:t>
      </w:r>
    </w:p>
    <w:p>
      <w:pPr>
        <w:spacing w:after="0" w:line="174" w:lineRule="exact"/>
        <w:rPr>
          <w:sz w:val="20"/>
          <w:szCs w:val="20"/>
          <w:color w:val="auto"/>
        </w:rPr>
      </w:pPr>
    </w:p>
    <w:p>
      <w:pPr>
        <w:jc w:val="both"/>
        <w:ind w:left="560" w:right="20" w:firstLine="496"/>
        <w:spacing w:after="0" w:line="246" w:lineRule="auto"/>
        <w:rPr>
          <w:sz w:val="20"/>
          <w:szCs w:val="20"/>
          <w:color w:val="auto"/>
        </w:rPr>
      </w:pPr>
      <w:r>
        <w:rPr>
          <w:rFonts w:ascii="Times New Roman" w:cs="Times New Roman" w:eastAsia="Times New Roman" w:hAnsi="Times New Roman"/>
          <w:sz w:val="20"/>
          <w:szCs w:val="20"/>
          <w:color w:val="auto"/>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85" w:lineRule="exact"/>
        <w:rPr>
          <w:sz w:val="20"/>
          <w:szCs w:val="20"/>
          <w:color w:val="auto"/>
        </w:rPr>
      </w:pPr>
    </w:p>
    <w:p>
      <w:pPr>
        <w:jc w:val="both"/>
        <w:ind w:left="560" w:right="20" w:firstLine="496"/>
        <w:spacing w:after="0" w:line="254" w:lineRule="auto"/>
        <w:rPr>
          <w:sz w:val="20"/>
          <w:szCs w:val="20"/>
          <w:color w:val="auto"/>
        </w:rPr>
      </w:pPr>
      <w:r>
        <w:rPr>
          <w:rFonts w:ascii="Times New Roman" w:cs="Times New Roman" w:eastAsia="Times New Roman" w:hAnsi="Times New Roman"/>
          <w:sz w:val="20"/>
          <w:szCs w:val="20"/>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respective Affiliates and their Related Parties</w:t>
      </w:r>
    </w:p>
    <w:p>
      <w:pPr>
        <w:spacing w:after="0" w:line="11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480"/>
          </w:cols>
          <w:pgMar w:left="980" w:top="265" w:right="439" w:bottom="1440" w:gutter="0" w:footer="0" w:header="0"/>
        </w:sectPr>
      </w:pPr>
    </w:p>
    <w:bookmarkStart w:id="178" w:name="page179"/>
    <w:bookmarkEnd w:id="178"/>
    <w:p>
      <w:pPr>
        <w:ind w:left="110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respective securities of each of the foregoing) will be made available and who may receive such information in accordance with the assignee’s compliance procedures and applicable laws, including federal and state securities laws.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the terms “Approved Fund” and “Ineligible Institution” have the following meanings:</w:t>
      </w:r>
    </w:p>
    <w:p>
      <w:pPr>
        <w:spacing w:after="0" w:line="21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or a Disqualified Institution)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any Borrower, any Subsidiary of any Borrower or any Affiliate of any Borrower, (c) a Defaulting Lender or its Lender Parent, (d) a company, investment vehicle or trust for, or owned and operated for the primary benefit of, a natural person or relative(s) thereof or (e) a Disqualified Institution.</w:t>
      </w:r>
    </w:p>
    <w:p>
      <w:pPr>
        <w:spacing w:after="0" w:line="174" w:lineRule="exact"/>
        <w:rPr>
          <w:sz w:val="20"/>
          <w:szCs w:val="20"/>
          <w:color w:val="auto"/>
        </w:rPr>
      </w:pPr>
    </w:p>
    <w:p>
      <w:pPr>
        <w:jc w:val="both"/>
        <w:ind w:left="540" w:firstLine="523"/>
        <w:spacing w:after="0" w:line="243" w:lineRule="auto"/>
        <w:rPr>
          <w:sz w:val="20"/>
          <w:szCs w:val="20"/>
          <w:color w:val="auto"/>
        </w:rPr>
      </w:pPr>
      <w:r>
        <w:rPr>
          <w:rFonts w:ascii="Times New Roman" w:cs="Times New Roman" w:eastAsia="Times New Roman" w:hAnsi="Times New Roman"/>
          <w:sz w:val="20"/>
          <w:szCs w:val="20"/>
          <w:color w:val="auto"/>
        </w:rPr>
        <w:t xml:space="preserve">(i)      Subject to acceptance and recording thereof pursuant to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Section.</w:t>
      </w:r>
    </w:p>
    <w:p>
      <w:pPr>
        <w:spacing w:after="0" w:line="186" w:lineRule="exact"/>
        <w:rPr>
          <w:sz w:val="20"/>
          <w:szCs w:val="20"/>
          <w:color w:val="auto"/>
        </w:rPr>
      </w:pPr>
    </w:p>
    <w:p>
      <w:pPr>
        <w:jc w:val="both"/>
        <w:ind w:left="540" w:firstLine="523"/>
        <w:spacing w:after="0" w:line="242" w:lineRule="auto"/>
        <w:rPr>
          <w:sz w:val="20"/>
          <w:szCs w:val="20"/>
          <w:color w:val="auto"/>
        </w:rPr>
      </w:pPr>
      <w:r>
        <w:rPr>
          <w:rFonts w:ascii="Times New Roman" w:cs="Times New Roman" w:eastAsia="Times New Roman" w:hAnsi="Times New Roman"/>
          <w:sz w:val="20"/>
          <w:szCs w:val="20"/>
          <w:color w:val="auto"/>
        </w:rPr>
        <w:t>(ii)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Borrower and any Lender, at any reasonable time and from time to time upon reasonable prior notice. This Agreement shall be construed so that the Loans and the Commitments are at all times maintained in “registered form” within the meaning of the Code and Treasury Regulations, including without limitation Sections 163(f), 165(j), 871(h)(2), 881(c)(2) and 4701 of the Code.</w:t>
      </w:r>
    </w:p>
    <w:p>
      <w:pPr>
        <w:spacing w:after="0" w:line="192" w:lineRule="exact"/>
        <w:rPr>
          <w:sz w:val="20"/>
          <w:szCs w:val="20"/>
          <w:color w:val="auto"/>
        </w:rPr>
      </w:pPr>
    </w:p>
    <w:p>
      <w:pPr>
        <w:jc w:val="both"/>
        <w:ind w:left="540" w:right="20" w:firstLine="523"/>
        <w:spacing w:after="0" w:line="245" w:lineRule="auto"/>
        <w:rPr>
          <w:sz w:val="20"/>
          <w:szCs w:val="20"/>
          <w:color w:val="auto"/>
        </w:rPr>
      </w:pPr>
      <w:r>
        <w:rPr>
          <w:rFonts w:ascii="Times New Roman" w:cs="Times New Roman" w:eastAsia="Times New Roman" w:hAnsi="Times New Roman"/>
          <w:sz w:val="20"/>
          <w:szCs w:val="20"/>
          <w:color w:val="auto"/>
        </w:rPr>
        <w:t xml:space="preserve">(iii)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and any written consent to such assignment required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the Administrative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20"/>
          </w:cols>
          <w:pgMar w:left="440" w:top="265" w:right="439" w:bottom="1440" w:gutter="0" w:footer="0" w:header="0"/>
        </w:sectPr>
      </w:pPr>
    </w:p>
    <w:bookmarkStart w:id="179" w:name="page180"/>
    <w:bookmarkEnd w:id="179"/>
    <w:p>
      <w:pPr>
        <w:jc w:val="both"/>
        <w:ind w:left="540"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auto"/>
        </w:rPr>
        <w:t>Section 2.06(d)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2.18(e)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9.03(d)</w:t>
      </w:r>
      <w:r>
        <w:rPr>
          <w:rFonts w:ascii="Times New Roman" w:cs="Times New Roman" w:eastAsia="Times New Roman" w:hAnsi="Times New Roman"/>
          <w:sz w:val="20"/>
          <w:szCs w:val="20"/>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4" w:lineRule="exact"/>
        <w:rPr>
          <w:sz w:val="20"/>
          <w:szCs w:val="20"/>
          <w:color w:val="auto"/>
        </w:rPr>
      </w:pPr>
    </w:p>
    <w:p>
      <w:pPr>
        <w:jc w:val="both"/>
        <w:ind w:firstLine="551"/>
        <w:spacing w:after="0"/>
        <w:rPr>
          <w:sz w:val="20"/>
          <w:szCs w:val="20"/>
          <w:color w:val="auto"/>
        </w:rPr>
      </w:pPr>
      <w:r>
        <w:rPr>
          <w:rFonts w:ascii="Times New Roman" w:cs="Times New Roman" w:eastAsia="Times New Roman" w:hAnsi="Times New Roman"/>
          <w:sz w:val="20"/>
          <w:szCs w:val="20"/>
          <w:color w:val="auto"/>
        </w:rPr>
        <w:t>(c)      Any Lender may, without the consent of, or notice to, the Borrowers or the Administrative Agent,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w:t>
      </w:r>
      <w:r>
        <w:rPr>
          <w:rFonts w:ascii="Times New Roman" w:cs="Times New Roman" w:eastAsia="Times New Roman" w:hAnsi="Times New Roman"/>
          <w:sz w:val="20"/>
          <w:szCs w:val="20"/>
          <w:i w:val="1"/>
          <w:iCs w:val="1"/>
          <w:color w:val="auto"/>
        </w:rPr>
        <w:t>proviso</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affects such Participant. The Borrowers agree that each Participant shall be entitled to the benefits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(it being understood that the documentation and confirmations required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and shall not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any Borrower’s request and expense, to use reasonable efforts to cooperate with the Borrowers to effectuate the provisions of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2.18(d)</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the Code and Treasury Regulations, including without limitation Section 5f.103-1(c) of the United States Treasury Regulations or Section 1.163-5(b) of the Proposed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20"/>
          </w:cols>
          <w:pgMar w:left="440" w:top="265" w:right="439" w:bottom="1440" w:gutter="0" w:footer="0" w:header="0"/>
        </w:sectPr>
      </w:pPr>
    </w:p>
    <w:bookmarkStart w:id="180" w:name="page181"/>
    <w:bookmarkEnd w:id="180"/>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Any Lender may at any time pledge or assign a security interest in all or any portion of its rights under this Agreement to secure obligations of such Lender, including any pledge or assignment to secure obligations to a Federal Reserve Bank or other central banking authority having jurisdiction over such Lender,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540" w:firstLine="523"/>
        <w:spacing w:after="0" w:line="242" w:lineRule="auto"/>
        <w:rPr>
          <w:sz w:val="20"/>
          <w:szCs w:val="20"/>
          <w:color w:val="auto"/>
        </w:rPr>
      </w:pPr>
      <w:r>
        <w:rPr>
          <w:rFonts w:ascii="Times New Roman" w:cs="Times New Roman" w:eastAsia="Times New Roman" w:hAnsi="Times New Roman"/>
          <w:sz w:val="20"/>
          <w:szCs w:val="20"/>
          <w:color w:val="auto"/>
        </w:rPr>
        <w:t>(i)      No assignment or participation shall be made to any Person that was a Disqualified Institution as of the date (the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on which the assigning Lender entered into a binding agreement to sell and assign or grant a participation in all or a portion of its rights and obligations under this Agreement to such Person (unless the U.S.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written supplement to the list of “Disqualified Institutions” referred to in, the definition of “Disqualified Institution”), (x) such assignee or Participant shall not retroactively be disqualified from becoming a Lender or Participant and (y) the execution by the U.S. Borrower of an Assignment and Assumption with respect to such assignee will not by itself result in such assignee no longer being considered a Disqualified Institution. Any assignment or participation in violation of this </w:t>
      </w:r>
      <w:r>
        <w:rPr>
          <w:rFonts w:ascii="Times New Roman" w:cs="Times New Roman" w:eastAsia="Times New Roman" w:hAnsi="Times New Roman"/>
          <w:sz w:val="20"/>
          <w:szCs w:val="20"/>
          <w:u w:val="single" w:color="auto"/>
          <w:color w:val="auto"/>
        </w:rPr>
        <w:t>clause (e)(i)</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apply.</w:t>
      </w:r>
    </w:p>
    <w:p>
      <w:pPr>
        <w:spacing w:after="0" w:line="190" w:lineRule="exact"/>
        <w:rPr>
          <w:sz w:val="20"/>
          <w:szCs w:val="20"/>
          <w:color w:val="auto"/>
        </w:rPr>
      </w:pPr>
    </w:p>
    <w:p>
      <w:pPr>
        <w:jc w:val="both"/>
        <w:ind w:left="540" w:firstLine="523"/>
        <w:spacing w:after="0" w:line="243" w:lineRule="auto"/>
        <w:rPr>
          <w:sz w:val="20"/>
          <w:szCs w:val="20"/>
          <w:color w:val="auto"/>
        </w:rPr>
      </w:pPr>
      <w:r>
        <w:rPr>
          <w:rFonts w:ascii="Times New Roman" w:cs="Times New Roman" w:eastAsia="Times New Roman" w:hAnsi="Times New Roman"/>
          <w:sz w:val="20"/>
          <w:szCs w:val="20"/>
          <w:color w:val="auto"/>
        </w:rPr>
        <w:t xml:space="preserve">(ii)      If any assignment or participation is made to any Disqualified Institution without the U.S. Borrower’s prior written consent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if any Person becomes a Disqualified Institution after the applicable Trade Date, the Borrowers may, at their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of its interest, rights and obligations under this Agreement to one or more Persons (other than an Ineligible Institution, any Borrower, any Subsidiary of any Borrower or any of Affiliate of any Borrower) at the lesser of (x) the principal amount thereof and (y) the amount that such Disqualified Institution paid to acquire such interests, rights and obligations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w:t>
      </w:r>
    </w:p>
    <w:p>
      <w:pPr>
        <w:spacing w:after="0" w:line="189" w:lineRule="exact"/>
        <w:rPr>
          <w:sz w:val="20"/>
          <w:szCs w:val="20"/>
          <w:color w:val="auto"/>
        </w:rPr>
      </w:pPr>
    </w:p>
    <w:p>
      <w:pPr>
        <w:jc w:val="both"/>
        <w:ind w:left="540" w:firstLine="523"/>
        <w:spacing w:after="0" w:line="242" w:lineRule="auto"/>
        <w:rPr>
          <w:sz w:val="20"/>
          <w:szCs w:val="20"/>
          <w:color w:val="auto"/>
        </w:rPr>
      </w:pPr>
      <w:r>
        <w:rPr>
          <w:rFonts w:ascii="Times New Roman" w:cs="Times New Roman" w:eastAsia="Times New Roman" w:hAnsi="Times New Roman"/>
          <w:sz w:val="20"/>
          <w:szCs w:val="20"/>
          <w:color w:val="auto"/>
        </w:rPr>
        <w:t xml:space="preserve">(iii)      Notwithstanding anything to the contrary contained in this Agreement, Disqualified Institutions to whom an assignment or participation is made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 will not have the right to (x)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if such Disqualified Institution does vote on such plan of reorganization notwithstanding the restriction in the foregoing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such vote will be deemed not to be in good faith and shall be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20"/>
          </w:cols>
          <w:pgMar w:left="440" w:top="265" w:right="439" w:bottom="1440" w:gutter="0" w:footer="0" w:header="0"/>
        </w:sectPr>
      </w:pPr>
    </w:p>
    <w:bookmarkStart w:id="181" w:name="page182"/>
    <w:bookmarkEnd w:id="181"/>
    <w:p>
      <w:pPr>
        <w:jc w:val="both"/>
        <w:ind w:left="540"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(2)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540" w:firstLine="523"/>
        <w:spacing w:after="0" w:line="266" w:lineRule="auto"/>
        <w:rPr>
          <w:sz w:val="20"/>
          <w:szCs w:val="20"/>
          <w:color w:val="auto"/>
        </w:rPr>
      </w:pPr>
      <w:r>
        <w:rPr>
          <w:rFonts w:ascii="Times New Roman" w:cs="Times New Roman" w:eastAsia="Times New Roman" w:hAnsi="Times New Roman"/>
          <w:sz w:val="19"/>
          <w:szCs w:val="19"/>
          <w:color w:val="auto"/>
        </w:rPr>
        <w:t>(iv)    The Administrative Agent shall have the right, and each Borrower hereby expressly authorizes the Administrative Agent, to (A) post the list of Disqualified Institutions provided by the Borrowers and any updates thereto from time to time (collectively, the “</w:t>
      </w:r>
      <w:r>
        <w:rPr>
          <w:rFonts w:ascii="Times New Roman" w:cs="Times New Roman" w:eastAsia="Times New Roman" w:hAnsi="Times New Roman"/>
          <w:sz w:val="19"/>
          <w:szCs w:val="19"/>
          <w:u w:val="single" w:color="auto"/>
          <w:color w:val="auto"/>
        </w:rPr>
        <w:t>DQ List</w:t>
      </w:r>
      <w:r>
        <w:rPr>
          <w:rFonts w:ascii="Times New Roman" w:cs="Times New Roman" w:eastAsia="Times New Roman" w:hAnsi="Times New Roman"/>
          <w:sz w:val="19"/>
          <w:szCs w:val="19"/>
          <w:color w:val="auto"/>
        </w:rPr>
        <w:t>”) on an Approved Electronic Platform, including that portion of such Approved Electronic Platform that is designated for “public side” Lenders and/or (B) provide the DQ List to each Lender or potential Lender requesting the same.</w:t>
      </w:r>
    </w:p>
    <w:p>
      <w:pPr>
        <w:spacing w:after="0" w:line="165" w:lineRule="exact"/>
        <w:rPr>
          <w:sz w:val="20"/>
          <w:szCs w:val="20"/>
          <w:color w:val="auto"/>
        </w:rPr>
      </w:pPr>
    </w:p>
    <w:p>
      <w:pPr>
        <w:jc w:val="both"/>
        <w:ind w:left="540" w:right="20" w:firstLine="523"/>
        <w:spacing w:after="0" w:line="245" w:lineRule="auto"/>
        <w:rPr>
          <w:sz w:val="20"/>
          <w:szCs w:val="20"/>
          <w:color w:val="auto"/>
        </w:rPr>
      </w:pPr>
      <w:r>
        <w:rPr>
          <w:rFonts w:ascii="Times New Roman" w:cs="Times New Roman" w:eastAsia="Times New Roman" w:hAnsi="Times New Roman"/>
          <w:sz w:val="20"/>
          <w:szCs w:val="20"/>
          <w:color w:val="auto"/>
        </w:rPr>
        <w:t>(v)    The Administrative Agent and the Lenders shall not be responsible or have any liability for, or have any duty to ascertain, inquire into, monitor or enforce, compliance with the provisions hereof relating to Disqualified Institutions. Without limiting the generality of the foregoing, neither the Administrative Agent nor any Lender shall (x)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spacing w:after="0" w:line="184"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and so long as the Commitments have not expired or terminated.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other Loan Document or any provision hereof or thereof.</w:t>
      </w:r>
    </w:p>
    <w:p>
      <w:pPr>
        <w:spacing w:after="0" w:line="190"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Counterparts; Integration; Effectiveness; Electronic Execution</w:t>
      </w:r>
      <w:r>
        <w:rPr>
          <w:rFonts w:ascii="Times New Roman" w:cs="Times New Roman" w:eastAsia="Times New Roman" w:hAnsi="Times New Roman"/>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certificate, request,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20"/>
          </w:cols>
          <w:pgMar w:left="440" w:top="265" w:right="439" w:bottom="1440" w:gutter="0" w:footer="0" w:header="0"/>
        </w:sectPr>
      </w:pPr>
    </w:p>
    <w:bookmarkStart w:id="182" w:name="page183"/>
    <w:bookmarkEnd w:id="182"/>
    <w:p>
      <w:pPr>
        <w:jc w:val="both"/>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other Loan Party hereby (i) agrees that, for all purposes, including without limitation, in connection with any workout, restructuring, enforcement of remedies, bankruptcy proceedings or litigation among the Administrative Agent, the Lenders,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w:t>
      </w:r>
    </w:p>
    <w:p>
      <w:pPr>
        <w:spacing w:after="0" w:line="201"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551"/>
        <w:spacing w:after="0" w:line="249" w:lineRule="auto"/>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each Lender and each of their respective Affiliates is hereby authorized at any time and from time to time, to the fullest extent permitted by law, to setoff and apply any and all deposits (general or special, time or demand, provisional or final) at any time held, and other obligations at any time owing, by such Lender or any such Affiliate, to or for the credit or the account of any Borrower against any and all of the obligations of such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20"/>
          </w:cols>
          <w:pgMar w:left="440" w:top="265" w:right="439" w:bottom="1440" w:gutter="0" w:footer="0" w:header="0"/>
        </w:sectPr>
      </w:pPr>
    </w:p>
    <w:bookmarkStart w:id="183" w:name="page184"/>
    <w:bookmarkEnd w:id="183"/>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now or hereafter existing under this Agreement or any other Loan Document to such Lender or any of its Affiliates, irrespective of whether or not such Lender or Affiliate shall have made any demand under this Agreement or any other Loan Document and although such obligations of such Borrower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Borrowers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9.09     </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(a)    THIS AGREEMENT AND THE OTHER LOAN DOCUMENTS (EXCEPT AS OTHERWISE EXPRESSLY SET FORTH IN ANY SUCH OTHER LOAN DOCUMENT) SHALL BE CONSTRUED IN ACCORDANCE WITH AND GOVERNED BY THE LAW OF THE STATE OF NEW YORK.</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(b)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80" w:lineRule="exact"/>
        <w:rPr>
          <w:sz w:val="20"/>
          <w:szCs w:val="20"/>
          <w:color w:val="auto"/>
        </w:rPr>
      </w:pPr>
    </w:p>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t>(c)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(whether in contract or tort or otherwise)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87"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 xml:space="preserve">(d)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0"/>
          </w:cols>
          <w:pgMar w:left="440" w:top="265" w:right="439" w:bottom="1440" w:gutter="0" w:footer="0" w:header="0"/>
        </w:sectPr>
      </w:pPr>
    </w:p>
    <w:bookmarkStart w:id="184" w:name="page185"/>
    <w:bookmarkEnd w:id="184"/>
    <w:p>
      <w:pPr>
        <w:jc w:val="both"/>
        <w:ind w:left="4" w:right="20" w:firstLine="55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Each of the parties hereto hereby irrevocably consents to service of process in the manner provided for notices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Nothing in this Agreement or any other Loan Document will affect the right of any party to this Agreement to serve process in any other manner permitted by law.</w:t>
      </w:r>
    </w:p>
    <w:p>
      <w:pPr>
        <w:spacing w:after="0" w:line="174"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jc w:val="both"/>
        <w:ind w:left="4" w:right="20" w:firstLine="551"/>
        <w:spacing w:after="0" w:line="295" w:lineRule="auto"/>
        <w:rPr>
          <w:sz w:val="20"/>
          <w:szCs w:val="20"/>
          <w:color w:val="auto"/>
        </w:rPr>
      </w:pPr>
      <w:r>
        <w:rPr>
          <w:rFonts w:ascii="Times New Roman" w:cs="Times New Roman" w:eastAsia="Times New Roman" w:hAnsi="Times New Roman"/>
          <w:sz w:val="19"/>
          <w:szCs w:val="19"/>
          <w:color w:val="auto"/>
        </w:rPr>
        <w:t xml:space="preserve">Section 9.11 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8" w:lineRule="exact"/>
        <w:rPr>
          <w:sz w:val="20"/>
          <w:szCs w:val="20"/>
          <w:color w:val="auto"/>
        </w:rPr>
      </w:pPr>
    </w:p>
    <w:p>
      <w:pPr>
        <w:jc w:val="both"/>
        <w:ind w:left="4" w:firstLine="551"/>
        <w:spacing w:after="0" w:line="253"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Each of the Administrative Agent and the Lenders agrees to maintain the confidentiality of, and not disclose to any Person, the Information (as defined below), except that Information may be disclosed (a) to its and its Affiliates’ directors, officers, employees and agents, including accountants, legal counsel and other advisors on a need-to-know basis (it being understood that the Persons to whom such disclosure is made will be informed of the confidential nature of such Information and instructed to keep such Information confidential);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disclosing Administrative Agent or Lender, as applicable, shall be responsible for compliance by such Persons with the provisions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(b) to the extent requested by any Governmental Authority (including any self-regulatory authority, such as the National Association of Insurance Commissioners) purporting to have jurisdiction over the Administrative Agent, the applicable Lender or its or their applicable Affiliates, (c) to the extent required by applicable laws or regulations or by any subpoena or similar legal process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U.S. Borrower promptly thereof, unless such notification is prohibited by law, rule or regulation),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and only during the Certain Funds Period, to customary undertakings with respect to confidentiality and no front running, to</w:t>
      </w:r>
    </w:p>
    <w:p>
      <w:pPr>
        <w:spacing w:after="0" w:line="10" w:lineRule="exact"/>
        <w:rPr>
          <w:sz w:val="20"/>
          <w:szCs w:val="20"/>
          <w:color w:val="auto"/>
        </w:rPr>
      </w:pPr>
    </w:p>
    <w:p>
      <w:pPr>
        <w:jc w:val="both"/>
        <w:ind w:left="4" w:hanging="4"/>
        <w:spacing w:after="0" w:line="254" w:lineRule="auto"/>
        <w:tabs>
          <w:tab w:leader="none" w:pos="28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upon request by such assignee or Participant, or such prospective assignee of Participant) or (2) any actual or prospective counterparty (or its advisors) to any swap or derivative transaction relating to any Borrower and its obligations, (g) on a confidential basis to (1) any rating agency in connection with rating any Borrower, any of the Restricted Subsidiaries or the credit facilities provided for herein or (2) the CUSIP Service Bureau or any similar agency in connection with the issuance and monitoring of identification numbers with respect to the credit facilities provided for herein, (h) with the prior written consent of the U.S. Borrower, (i) to the extent such Information (1) becomes publicly available other than as a result of a breach of this Section or (2) becomes available to the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24"/>
          </w:cols>
          <w:pgMar w:left="436" w:top="265" w:right="439" w:bottom="1440" w:gutter="0" w:footer="0" w:header="0"/>
        </w:sectPr>
      </w:pPr>
    </w:p>
    <w:bookmarkStart w:id="185" w:name="page186"/>
    <w:bookmarkEnd w:id="185"/>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or any Lender on a non-confidential basis from a source other than any Borrower that is not, to the Administrative Agent’s or such Lender’s knowledge, subject to confidentiality obligations in favor of any Borrower or (j) subject to an agreement containing provisions substantially the same as those in this Section (or otherwise reasonably acceptable to the Borrowers), to the extent required, to a potential or actual insurer or reinsurer in connection with providing insurance, reinsurance or credit risk mitigation coverage under which payments are to be made or may be made by reference to this Agreement.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each of the Borrowers relating to the Borrowers or their respective businesses, other than any such information that is available to the Administrative Agent or any Lender on a non-confidential basis prior to disclosure by any Borrower and other than information pertaining to this Agreement routinely provided by arrangers to data service providers, including league table providers, that serve the lending industry.</w:t>
      </w:r>
    </w:p>
    <w:p>
      <w:pPr>
        <w:spacing w:after="0" w:line="186"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EACH LENDER ACKNOWLEDGES THAT INFORMATION AS DEFINED IN THE IMMEDIATELY PRECEDING PARAGRAPH FURNISHED TO IT PURSUANT TO THIS AGREEMENT MAY INCLUDE MATERIAL NON-PUBLIC INFORMATION CONCERNING THE BORROWERS, THE MEMBERS OF THE TARGET GROUP AND THEIR RESPECTIVE AFFILIATES AND RELATED PARTIES OR THE RESPECTIVE SECURITIES OF EACH OF THE FOREGOING,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ANY BORROWER OR THE ADMINISTRATIVE AGENT PURSUANT TO, OR IN THE COURSE OF ADMINISTERING, THIS AGREEMENT WILL BE SYNDICATE-LEVEL INFORMATION, WHICH MAY CONTAIN MATERIAL NON-PUBLIC INFORMATION ABOUT THE BORROWERS, THE OTHER LOAN PARTIES, THE MEMBERS OF THE TARGET GROUP AND THEIR RESPECTIVE AFFILIATES AND RELATED PARTIES OR THE RESPECTIVE SECURITIES OF EACH OF THE FOREGOING.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6"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 xml:space="preserve">For the avoidance of doubt, nothing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prohibit any person from voluntarily disclosing or providing any information within the scope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to any governmental, regulatory or self-regulatory organization to the extent that any such prohibition on disclosure set forth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be prohibited by the laws or regulations applicable to such governmental, regulatory or self-regulatory organization.</w:t>
      </w:r>
    </w:p>
    <w:p>
      <w:pPr>
        <w:spacing w:after="0" w:line="18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Patriot Act and the requirements of the Beneficial Ownership Regulation hereby notifies each Borrower and each other Loan Party that, pursuant to the requirements of the Patriot Act and the Beneficial Ownership Regulation, it is required to obtain, verify and record information that identifies such Borrower or such Loan Party, which information includes the name, address and tax identification number of such Borrower and such Loan Party and other information that will allow such Lender to identify such Borrower and such Loan Party in accordance with the Patriot Act and the Beneficial Ownership Regulation and other applicable “know your customer” and anti-money laundering rules and regulations.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20"/>
          </w:cols>
          <w:pgMar w:left="440" w:top="265" w:right="439" w:bottom="1440" w:gutter="0" w:footer="0" w:header="0"/>
        </w:sectPr>
      </w:pPr>
    </w:p>
    <w:bookmarkStart w:id="186" w:name="page187"/>
    <w:bookmarkEnd w:id="186"/>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20"/>
          <w:szCs w:val="20"/>
          <w:u w:val="single" w:color="auto"/>
          <w:color w:val="auto"/>
        </w:rPr>
        <w:t>Releases of Subsidiary Guarantors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551"/>
        <w:spacing w:after="0" w:line="243" w:lineRule="auto"/>
        <w:rPr>
          <w:sz w:val="20"/>
          <w:szCs w:val="20"/>
          <w:color w:val="auto"/>
        </w:rPr>
      </w:pPr>
      <w:r>
        <w:rPr>
          <w:rFonts w:ascii="Times New Roman" w:cs="Times New Roman" w:eastAsia="Times New Roman" w:hAnsi="Times New Roman"/>
          <w:sz w:val="20"/>
          <w:szCs w:val="20"/>
          <w:color w:val="auto"/>
        </w:rPr>
        <w:t xml:space="preserve">(a)    A Subsidiary Guarantor (which shall not, for the avoidance of doubt, include the U.S. Borrower) shall automatically be released from its obligations under the Loan Documents upon the consummation of any transaction permitted by this Agreement as a result of which such Subsidiary Guarantor ceases to be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Upon any sale or other disposition (other than any lease or license) by any Loan Party (other than to any Borrower or any other Loan Party) of any Collateral in a transaction permitted under this Agreement, or upon the effectiveness of any written consent to the release of the security interest created under any Collateral Document in any Collateral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the security interests in such Collateral created by the Collateral Documents shall be automatically released.</w:t>
      </w:r>
    </w:p>
    <w:p>
      <w:pPr>
        <w:spacing w:after="0" w:line="189"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(b)    Further, the Administrative Agent shall (and is hereby irrevocably authorized by each Lender to), upon the request of any Borrower, release any Subsidiary Guarantor from its obligations under the Guaranty if (i) such Subsidiary Guarantor is no longer a Material Domestic Subsidiary or Material Irish Subsidiary, becomes an Excluded Subsidiary, is designated an Unrestricted Subsidiary or is otherwise not required pursuant to the terms of this Agreement to be a Subsidiary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less than 100% of the Equity Interests in such Restricted Subsidiary is sold, disposed of or otherwise transferred and such entity remains a Restricted Subsidiary, release under this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 xml:space="preserve"> shall only be given effect if (x) such sale, disposition or transfer has been consummated for a bona fide business purpose and (y) the applicable transferee shall not be an Affiliate of any Borrower or (ii) such release is approved, authorized or ratified by the requisite Lenders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0"/>
          <w:szCs w:val="20"/>
          <w:color w:val="auto"/>
        </w:rPr>
        <w:t>(c)    At such time as the principal and interest on the Loans, the fees, expenses and other amounts payable under the Loan Documents and the other Secured Obligations (other than Swap Obligations not yet due and payable, Banking Services Obligations not yet due and payable, Unliquidated Obligations for which no claim has been made and other Obligations expressly stated to survive such payment and termination) shall have been paid in full in cash and the Commitments shall have been terminated (the foregoing, collectively, the “</w:t>
      </w:r>
      <w:r>
        <w:rPr>
          <w:rFonts w:ascii="Times New Roman" w:cs="Times New Roman" w:eastAsia="Times New Roman" w:hAnsi="Times New Roman"/>
          <w:sz w:val="20"/>
          <w:szCs w:val="20"/>
          <w:u w:val="single" w:color="auto"/>
          <w:color w:val="auto"/>
        </w:rPr>
        <w:t>Final Release Conditions</w:t>
      </w:r>
      <w:r>
        <w:rPr>
          <w:rFonts w:ascii="Times New Roman" w:cs="Times New Roman" w:eastAsia="Times New Roman" w:hAnsi="Times New Roman"/>
          <w:sz w:val="20"/>
          <w:szCs w:val="20"/>
          <w:color w:val="auto"/>
        </w:rPr>
        <w:t>”), the Guaranty and all obligations (other than those expressly stated to survive such termination) of each Subsidiary Guarantor thereunder shall automatically terminate, all without delivery of any instrument or performance of any act by any Person.</w:t>
      </w:r>
    </w:p>
    <w:p>
      <w:pPr>
        <w:spacing w:after="0" w:line="186"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(d)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and deliver to the Borrowers any portion of such Collateral so released that is in possession of the Administrative Agent. Any execution and delivery of documents pursuant to this Section shall be without recourse to or warranty by the Administrative Agent except as may otherwise be expressly agreed in writing by the Administrative Agent and such Loan Party. The Administrative Agent may rely conclusively as to any of the matters described in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on a certificate provided to it by the U.S. Borrower without further inquiry, which certificate shall be delivered to the Administrative Agent by the U.S. Borrower upon request.</w:t>
      </w:r>
    </w:p>
    <w:p>
      <w:pPr>
        <w:spacing w:after="0" w:line="189"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9"/>
          <w:szCs w:val="19"/>
          <w:color w:val="auto"/>
        </w:rPr>
        <w:t xml:space="preserve">Section 9.15    </w:t>
      </w:r>
      <w:r>
        <w:rPr>
          <w:rFonts w:ascii="Times New Roman" w:cs="Times New Roman" w:eastAsia="Times New Roman" w:hAnsi="Times New Roman"/>
          <w:sz w:val="19"/>
          <w:szCs w:val="19"/>
          <w:u w:val="single" w:color="auto"/>
          <w:color w:val="auto"/>
        </w:rPr>
        <w:t>Appointment for Perfection</w:t>
      </w:r>
      <w:r>
        <w:rPr>
          <w:rFonts w:ascii="Times New Roman" w:cs="Times New Roman" w:eastAsia="Times New Roman" w:hAnsi="Times New Roman"/>
          <w:sz w:val="19"/>
          <w:szCs w:val="19"/>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20"/>
          </w:cols>
          <w:pgMar w:left="440" w:top="265" w:right="439" w:bottom="1440" w:gutter="0" w:footer="0" w:header="0"/>
        </w:sectPr>
      </w:pPr>
    </w:p>
    <w:bookmarkStart w:id="187" w:name="page188"/>
    <w:bookmarkEnd w:id="187"/>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Agent’s request therefor shall deliver such Collateral to the Administrative Agent or otherwise deal with such Collateral in accordance with the Administrative Agent’s instructions.</w:t>
      </w:r>
    </w:p>
    <w:p>
      <w:pPr>
        <w:spacing w:after="0" w:line="159"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No Fiduciary Duty, etc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(a)    Each of the Borrowers acknowledges and agrees, and acknowledges its Subsidiaries’ understanding, that none of the Arrangers, the Syndication Agent, the Co-Documentation Agents or the Credit Parties will have any obligations except those obligations expressly set forth herein and in the other Loan Documents and each Arranger, the Syndication Agent, each Co-Documentation Agent and each Credit Party and, if applicable, each of their respective Affiliates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of the Borrowers agrees that it will not assert any claim against any Arranger, the Syndication Agent, any Co-Documentation Agent or any Credit Party based on an alleged breach of fiduciary duty by such Arranger, the Syndication Agent, such Co-Documentation Agent or such Credit Party in connection with this Agreement and the transactions contemplated hereby. Additionally, each of the Borrowers acknowledges and agrees that neither any Arranger, the Syndication Agent, any Co-Documentation Agent nor any Credit Party is advising any Borrower as to any legal, tax, investment, accounting, regulatory or any other matters in any jurisdiction. Each of the Borrowers shall consult with its own advisors concerning such matters and shall be responsible for making its own independent investigation and appraisal of the transactions contemplated herein or in the other Loan Documents, and neither any Arranger, the Syndication Agent, any Co-Documentation Agent nor any Credit Party shall have any responsibility or liability to any Borrower with respect thereto.</w:t>
      </w:r>
    </w:p>
    <w:p>
      <w:pPr>
        <w:spacing w:after="0" w:line="196" w:lineRule="exact"/>
        <w:rPr>
          <w:sz w:val="20"/>
          <w:szCs w:val="20"/>
          <w:color w:val="auto"/>
        </w:rPr>
      </w:pPr>
    </w:p>
    <w:p>
      <w:pPr>
        <w:jc w:val="both"/>
        <w:ind w:right="20" w:firstLine="551"/>
        <w:spacing w:after="0" w:line="242" w:lineRule="auto"/>
        <w:rPr>
          <w:sz w:val="20"/>
          <w:szCs w:val="20"/>
          <w:color w:val="auto"/>
        </w:rPr>
      </w:pPr>
      <w:r>
        <w:rPr>
          <w:rFonts w:ascii="Times New Roman" w:cs="Times New Roman" w:eastAsia="Times New Roman" w:hAnsi="Times New Roman"/>
          <w:sz w:val="20"/>
          <w:szCs w:val="20"/>
          <w:color w:val="auto"/>
        </w:rPr>
        <w:t>(b)    Each of the Borrowers further acknowledges and agrees, and acknowledges its Subsidiaries’ understanding, that each Arranger, the Syndication Agent, each Co-Documentation Agent and each Credit Party, together with its Affiliates, is a full service securities or banking firm engaged in securities trading and brokerage activities as well as providing investment banking and other financial services. In the ordinary course of business, any Arranger, the Syndication Agent, any Co-Documentation Agent or any Credit Party may provide investment banking and other financial services to, and/or acquire, hold or sell, for its own accounts and the accounts of customers, equity, debt and other securities and financial instruments (including bank loans and other obligations) of, the Borrowers, their Subsidiaries and other companies with which any Borrower or any of its Subsidiaries may have commercial or other relationships. With respect to any securities and/or financial instruments so held by any Arranger, the Syndication Agent, any Co-Documentation Agent or any Credit Party or any of its customers, all rights in respect of such securities and financial instruments, including any voting rights, will be exercised by the holder of the rights, in its sole discretion.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20"/>
          </w:cols>
          <w:pgMar w:left="440" w:top="265" w:right="439" w:bottom="1440" w:gutter="0" w:footer="0" w:header="0"/>
        </w:sectPr>
      </w:pPr>
    </w:p>
    <w:bookmarkStart w:id="188" w:name="page189"/>
    <w:bookmarkEnd w:id="188"/>
    <w:p>
      <w:pPr>
        <w:jc w:val="both"/>
        <w:ind w:firstLine="551"/>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In addition, each of the Borrowers acknowledges and agrees, and acknowledges its Subsidiaries’ understanding, that each Arranger, the Syndication Agent, each Co-Documentation Agent and each Credit Party and their respective Affiliates may be providing debt financing, equity capital or other services (including financial advisory services) to other companies in respect of which any Borrower or any of its Subsidiaries may have conflicting interests regarding the transactions described herein and otherwise. None of the Arrangers, the Syndication Agent, the Co-Documentation Agents or the Credit Parties will use confidential information obtained from any Borrower by virtue of the transactions contemplated by the Loan Documents or its other relationships with the Borrowers in connection with the performance by such Arranger, the Syndication Agent, such Co-Documentation Agent or such Credit Party of services for other companies, and none of the Arrangers, the Syndication Agent, the Co-Documentation Agents or the Credit Parties will furnish any such information to other companies. Each of the Borrowers also acknowledges that none of the Arrangers, the Syndication Agent, the Co-Documentation Agents or the Credit Parties has any obligation to use in connection with the transactions contemplated by the Loan Documents, or to furnish to any Borrower or any of its Subsidiaries, confidential information obtained from other companies.</w:t>
      </w:r>
    </w:p>
    <w:p>
      <w:pPr>
        <w:spacing w:after="0" w:line="19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(d)    In addition, JPMorgan has been retained by the Borrowers as cash confirmation financial advisor and financial advisor (in such capacity, each a “</w:t>
      </w:r>
      <w:r>
        <w:rPr>
          <w:rFonts w:ascii="Times New Roman" w:cs="Times New Roman" w:eastAsia="Times New Roman" w:hAnsi="Times New Roman"/>
          <w:sz w:val="20"/>
          <w:szCs w:val="20"/>
          <w:u w:val="single" w:color="auto"/>
          <w:color w:val="auto"/>
        </w:rPr>
        <w:t>Financial Advisor</w:t>
      </w:r>
      <w:r>
        <w:rPr>
          <w:rFonts w:ascii="Times New Roman" w:cs="Times New Roman" w:eastAsia="Times New Roman" w:hAnsi="Times New Roman"/>
          <w:sz w:val="20"/>
          <w:szCs w:val="20"/>
          <w:color w:val="auto"/>
        </w:rPr>
        <w:t>”) to the Borrowers in connection with the Target Acquisition. Each of the Borrowers agrees not to assert any claim it might allege based on any actual or potential conflicts of interest that might be asserted to arise or result from, on the one hand, the engagement of each Financial Advisor, and on the other hand, each Arranger, the Syndication Agent, each Co-Documentation Agent and each Credit Party and their respective Affiliates’ relationships with the Borrowers in connection with this Agreement, the other Loan Documents and the transactions contemplated thereby.</w:t>
      </w:r>
    </w:p>
    <w:p>
      <w:pPr>
        <w:spacing w:after="0" w:line="184"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9"/>
          <w:szCs w:val="19"/>
          <w:color w:val="auto"/>
        </w:rPr>
        <w:t xml:space="preserve">Section 9.18    </w:t>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5" w:lineRule="exact"/>
        <w:rPr>
          <w:sz w:val="20"/>
          <w:szCs w:val="20"/>
          <w:color w:val="auto"/>
        </w:rPr>
      </w:pPr>
    </w:p>
    <w:p>
      <w:pPr>
        <w:jc w:val="both"/>
        <w:ind w:right="20" w:firstLine="551"/>
        <w:spacing w:after="0" w:line="269" w:lineRule="auto"/>
        <w:rPr>
          <w:sz w:val="20"/>
          <w:szCs w:val="20"/>
          <w:color w:val="auto"/>
        </w:rPr>
      </w:pPr>
      <w:r>
        <w:rPr>
          <w:rFonts w:ascii="Times New Roman" w:cs="Times New Roman" w:eastAsia="Times New Roman" w:hAnsi="Times New Roman"/>
          <w:sz w:val="20"/>
          <w:szCs w:val="20"/>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(b)     the effects of any Bail-In Action on any such liability, including, if applicable:</w:t>
      </w:r>
    </w:p>
    <w:p>
      <w:pPr>
        <w:spacing w:after="0" w:line="1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(i)     a reduction in full or in part or cancellation of any such liability;</w:t>
      </w:r>
    </w:p>
    <w:p>
      <w:pPr>
        <w:spacing w:after="0" w:line="108" w:lineRule="exact"/>
        <w:rPr>
          <w:sz w:val="20"/>
          <w:szCs w:val="20"/>
          <w:color w:val="auto"/>
        </w:rPr>
      </w:pPr>
    </w:p>
    <w:p>
      <w:pPr>
        <w:jc w:val="both"/>
        <w:ind w:left="540" w:right="20" w:firstLine="523"/>
        <w:spacing w:after="0" w:line="249" w:lineRule="auto"/>
        <w:rPr>
          <w:sz w:val="20"/>
          <w:szCs w:val="20"/>
          <w:color w:val="auto"/>
        </w:rPr>
      </w:pPr>
      <w:r>
        <w:rPr>
          <w:rFonts w:ascii="Times New Roman" w:cs="Times New Roman" w:eastAsia="Times New Roman" w:hAnsi="Times New Roman"/>
          <w:sz w:val="20"/>
          <w:szCs w:val="20"/>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2" w:lineRule="exact"/>
        <w:rPr>
          <w:sz w:val="20"/>
          <w:szCs w:val="20"/>
          <w:color w:val="auto"/>
        </w:rPr>
      </w:pPr>
    </w:p>
    <w:p>
      <w:pPr>
        <w:jc w:val="both"/>
        <w:ind w:left="540" w:right="20" w:firstLine="523"/>
        <w:spacing w:after="0" w:line="269" w:lineRule="auto"/>
        <w:rPr>
          <w:sz w:val="20"/>
          <w:szCs w:val="20"/>
          <w:color w:val="auto"/>
        </w:rPr>
      </w:pPr>
      <w:r>
        <w:rPr>
          <w:rFonts w:ascii="Times New Roman" w:cs="Times New Roman" w:eastAsia="Times New Roman" w:hAnsi="Times New Roman"/>
          <w:sz w:val="20"/>
          <w:szCs w:val="20"/>
          <w:color w:val="auto"/>
        </w:rPr>
        <w:t>(iii)    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firstLine="551"/>
        <w:spacing w:after="0" w:line="254" w:lineRule="auto"/>
        <w:rPr>
          <w:sz w:val="20"/>
          <w:szCs w:val="20"/>
          <w:color w:val="auto"/>
        </w:rPr>
      </w:pPr>
      <w:r>
        <w:rPr>
          <w:rFonts w:ascii="Times New Roman" w:cs="Times New Roman" w:eastAsia="Times New Roman" w:hAnsi="Times New Roman"/>
          <w:sz w:val="20"/>
          <w:szCs w:val="20"/>
          <w:color w:val="auto"/>
        </w:rPr>
        <w:t xml:space="preserve">Section 9.19 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440" w:top="265" w:right="439" w:bottom="1440" w:gutter="0" w:footer="0" w:header="0"/>
        </w:sectPr>
      </w:pPr>
    </w:p>
    <w:bookmarkStart w:id="189" w:name="page190"/>
    <w:bookmarkEnd w:id="189"/>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right="20" w:firstLine="551"/>
        <w:spacing w:after="0" w:line="242"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sz w:val="20"/>
          <w:szCs w:val="20"/>
          <w:color w:val="auto"/>
        </w:rPr>
      </w:pPr>
    </w:p>
    <w:p>
      <w:pPr>
        <w:jc w:val="both"/>
        <w:ind w:firstLine="551"/>
        <w:spacing w:after="0" w:line="241"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Marketing Consent</w:t>
      </w:r>
      <w:r>
        <w:rPr>
          <w:rFonts w:ascii="Times New Roman" w:cs="Times New Roman" w:eastAsia="Times New Roman" w:hAnsi="Times New Roman"/>
          <w:sz w:val="20"/>
          <w:szCs w:val="20"/>
          <w:color w:val="auto"/>
        </w:rPr>
        <w:t>. Each of the Borrowers hereby authorizes JPMorgan Chase Bank, N.A. and its affiliates (collectively, “</w:t>
      </w:r>
      <w:r>
        <w:rPr>
          <w:rFonts w:ascii="Times New Roman" w:cs="Times New Roman" w:eastAsia="Times New Roman" w:hAnsi="Times New Roman"/>
          <w:sz w:val="20"/>
          <w:szCs w:val="20"/>
          <w:u w:val="single" w:color="auto"/>
          <w:color w:val="auto"/>
        </w:rPr>
        <w:t>JPMorgan</w:t>
      </w:r>
      <w:r>
        <w:rPr>
          <w:rFonts w:ascii="Times New Roman" w:cs="Times New Roman" w:eastAsia="Times New Roman" w:hAnsi="Times New Roman"/>
          <w:sz w:val="20"/>
          <w:szCs w:val="20"/>
          <w:color w:val="auto"/>
        </w:rPr>
        <w:t xml:space="preserve">”) and each Lender, at their respective sole expense, and without any prior approval by any Borrower, (A) to disclose the existence of this Agreement, the size and type of the credit facilities, the parties to the Loan Documents, the Closing Date and any other information that is otherwise publicly available, in each case, to market data collectors, similar services providers to the lending industry, and service providers to JPMorgan, the Arrangers and the Lenders in connection with the administration, settlement and management of this Agreement and the other Loan Documents, in each case, to the extent JPMorgan, the applicable Arranger or the applicable Lender advises such parties of the confidential nature of such information and instructs such parties to keep such information confidential and (B) in consultation with the U.S. Borrower, place customary advertisements in financial and other newspapers and periodicals or on a home page or similar place for dissemination of customary information on the Internet or worldwide web as JPMorgan, such Arranger or such Lender may choose, and circulate similar promotional materials, in the form of a “tombstone” or otherwise describing the names of the Borrowers and their respective Affiliates (or any of them), and the type, size and the Closing Date of the credit facilities, all at the expense of JPMorgan, such Arranger or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the prior written consent of the U.S. Borrower, such advertisements may not disclose any information other than the existence of this Agreement, the size and type of the credit facilities, the parties to the Loan Documents and the Closing Date and any other information that is otherwise publicly available (it being understood and agreed that JPMorgan may not disclose any such information prior to the U.S. Borrower’s filing of this Agreement with the SEC).</w:t>
      </w:r>
    </w:p>
    <w:p>
      <w:pPr>
        <w:spacing w:after="0" w:line="193" w:lineRule="exact"/>
        <w:rPr>
          <w:sz w:val="20"/>
          <w:szCs w:val="20"/>
          <w:color w:val="auto"/>
        </w:rPr>
      </w:pPr>
    </w:p>
    <w:p>
      <w:pPr>
        <w:jc w:val="both"/>
        <w:ind w:right="20" w:firstLine="551"/>
        <w:spacing w:after="0" w:line="266" w:lineRule="auto"/>
        <w:rPr>
          <w:sz w:val="20"/>
          <w:szCs w:val="20"/>
          <w:color w:val="auto"/>
        </w:rPr>
      </w:pPr>
      <w:r>
        <w:rPr>
          <w:rFonts w:ascii="Times New Roman" w:cs="Times New Roman" w:eastAsia="Times New Roman" w:hAnsi="Times New Roman"/>
          <w:sz w:val="19"/>
          <w:szCs w:val="19"/>
          <w:color w:val="auto"/>
        </w:rPr>
        <w:t xml:space="preserve">Section 9.21    </w:t>
      </w:r>
      <w:r>
        <w:rPr>
          <w:rFonts w:ascii="Times New Roman" w:cs="Times New Roman" w:eastAsia="Times New Roman" w:hAnsi="Times New Roman"/>
          <w:sz w:val="19"/>
          <w:szCs w:val="19"/>
          <w:u w:val="single" w:color="auto"/>
          <w:color w:val="auto"/>
        </w:rPr>
        <w:t>Obligation Joint and Several</w:t>
      </w:r>
      <w:r>
        <w:rPr>
          <w:rFonts w:ascii="Times New Roman" w:cs="Times New Roman" w:eastAsia="Times New Roman" w:hAnsi="Times New Roman"/>
          <w:sz w:val="19"/>
          <w:szCs w:val="19"/>
          <w:color w:val="auto"/>
        </w:rPr>
        <w:t>. Each Borrower hereby unconditionally and irrevocably agrees it is jointly and severally liable to the Administrative Agent, the Lenders and the other Secured Parties for the Secured Obligations in respect of the Initial Tranche A Term Facility. In furtherance thereof, each Borrower agrees that wherever in this Agreement or any other Loan Document it is provided that a Borrower is liable for a payment in respect of the Initial Tranche A Term Facility, such obligation is the joint and several</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20"/>
          </w:cols>
          <w:pgMar w:left="440" w:top="265" w:right="439" w:bottom="1440" w:gutter="0" w:footer="0" w:header="0"/>
        </w:sectPr>
      </w:pPr>
    </w:p>
    <w:bookmarkStart w:id="190" w:name="page191"/>
    <w:bookmarkEnd w:id="190"/>
    <w:p>
      <w:pPr>
        <w:jc w:val="both"/>
        <w:ind w:left="4"/>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 of each Borrower. Each Borrower acknowledges and agrees that its joint and several liability in respect of the Initial Tranche A Term Facility under this Agreement and the Loan Documents is absolute and unconditional and shall not in any manner be affected or impaired by any acts or omissions whatsoever by the Administrative Agent, any Lender or any other Person. Each Borrower’s liability for the Secured Obligations in respect of the Initial Tranche A Term Facility shall not in any manner be impaired or affected by who receives or uses the proceeds of the credit extended hereunder in respect of the Initial Tranche A Term Facility or for what purposes such proceeds are used, and each Borrower waives notice of borrowing requests issued by, and Loans or other extensions of credit made to, other Borrowers in respect of the Initial Tranche A Term Facility. Each Borrower hereby agrees not to exercise or enforce any right of exoneration, contribution, reimbursement, recourse or subrogation available to such Borrower against any party liable for payment in respect of the Initial Tranche A Term Facility under this Agreement and the other Loan Documents unless and until the Administrative Agent, each Lender and each other Secured Party has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in respect of the Initial Tranche A Term Facility shall, to the fullest extent permitted by applicable law, be the unconditional liability of such Borrower irrespective of (i) the validity, enforceability, avoidance or subordination of any of the Secured Obligations in respect of the Initial Tranche A Term Facility or of any other document evidencing all or any part of the Secured Obligations in respect of the Initial Tranche A Term Facility, (ii) the absence of any attempt to collect any of the Secured Obligations under the Initial Tranche A Term Facility from any other Loan Party or any Collateral or other security therefor, or the absence of any other action to enforce the same, (iii) the amendment, modification, waiver, consent, extension, forbearance or granting of any indulgence by the Administrative Agent, any Lender or any other Secured Party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any Lender or any other Secured Party to take any steps to perfect or maintain the perfected status of its Lien upon, or to preserve its rights to, any of the Collateral or other security for the payment or performance of any of the Secured Obligations in respect of the Initial Tranche A Term Facility or the Administrative Agent’s release of any Collateral or of its Liens upon any Collateral,</w:t>
      </w:r>
    </w:p>
    <w:p>
      <w:pPr>
        <w:spacing w:after="0" w:line="234" w:lineRule="exact"/>
        <w:rPr>
          <w:sz w:val="20"/>
          <w:szCs w:val="20"/>
          <w:color w:val="auto"/>
        </w:rPr>
      </w:pPr>
    </w:p>
    <w:p>
      <w:pPr>
        <w:jc w:val="both"/>
        <w:ind w:left="4" w:right="20" w:hanging="4"/>
        <w:spacing w:after="0"/>
        <w:tabs>
          <w:tab w:leader="none" w:pos="3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or compromise, in whole or in part, of the liability of any other Loan Party for the payment of any of the Secured Obligations in respect of the Initial Tranche A Term Facility, (vi) any increase in the amount of the Secured Obligations in respect of the Initial Tranche A Term Facility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in respect of the Initial Tranche A Term Facility without first proceeding against any other Loan Party or against any Collateral or other security for the payment or performance of any of the Secured Obligations in respect of the Initial Tranche A Term Facility, and each Borrower waives any provision that might otherwise require the Administrative Agent, the Lenders or the other Secured Parties under applicable law to pursue or exhaust its remedies against any Collateral or other Loan Party before pursuing such Borrower or its property. Each Borrower consents and agrees that none of the Administrative Agent, any Lender or any Secured Party shall be under any obligation to marshal any assets in favor of any Loan Party or against or in payment of any or all of the Secured Obligations in respect of the Initial Tranche A Term Facility.</w:t>
      </w:r>
    </w:p>
    <w:p>
      <w:pPr>
        <w:spacing w:after="0" w:line="18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9.22 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0"/>
          <w:szCs w:val="20"/>
          <w:color w:val="auto"/>
        </w:rPr>
        <w:t xml:space="preserve">Section 9.23     </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Each of the TopCo Borrower and the U.S. Co-Borrower hereby irrevocably and unconditionally</w:t>
      </w:r>
    </w:p>
    <w:p>
      <w:pPr>
        <w:spacing w:after="0" w:line="22" w:lineRule="exact"/>
        <w:rPr>
          <w:sz w:val="20"/>
          <w:szCs w:val="20"/>
          <w:color w:val="auto"/>
        </w:rPr>
      </w:pPr>
    </w:p>
    <w:p>
      <w:pPr>
        <w:ind w:left="244" w:hanging="244"/>
        <w:spacing w:after="0"/>
        <w:tabs>
          <w:tab w:leader="none" w:pos="2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service of all writs, process and summonses in any such suit, action or</w:t>
      </w:r>
    </w:p>
    <w:p>
      <w:pPr>
        <w:spacing w:after="0" w:line="130" w:lineRule="exact"/>
        <w:rPr>
          <w:rFonts w:ascii="Times New Roman" w:cs="Times New Roman" w:eastAsia="Times New Roman" w:hAnsi="Times New Roman"/>
          <w:sz w:val="20"/>
          <w:szCs w:val="20"/>
          <w:color w:val="auto"/>
        </w:rPr>
      </w:pPr>
    </w:p>
    <w:p>
      <w:pPr>
        <w:ind w:left="536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24"/>
          </w:cols>
          <w:pgMar w:left="436" w:top="265" w:right="439" w:bottom="1440" w:gutter="0" w:footer="0" w:header="0"/>
        </w:sectPr>
      </w:pPr>
    </w:p>
    <w:bookmarkStart w:id="191" w:name="page192"/>
    <w:bookmarkEnd w:id="191"/>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 brought in the State of New York may be made upon Alkermes, Inc., at 900 Winter Street, Waltham, Massachusetts 02451, USA (in such capacity, the “</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xml:space="preserve">”) and each of the TopCo Borrower and the U.S. Co-Borrower hereby confirms and agrees that the Process Agent has been duly and irrevocably appointed as its agent to accept such service of any and all such writs, processes and summonses, and agrees that the failure of the Process Agent to give any notice of any such service of process to the TopCo Borrower or the U.S. Co-Borrower, as applicable, shall not impair or affect the validity of such service or of any judgment based thereon. If the Process Agent shall cease to serve as agent for the TopCo Borrower or the U.S. Co-Borrower to receive service of process hereunder, the TopCo Borrower or the U.S. Co-Borrower, as applicable, shall promptly appoint a successor agent. Each of the TopCo Borrower and the U.S. Co-Borrower hereby (i) further consents to the service of process in any suit, action or proceeding by the mailing thereof by the Administrative Agent, any Arranger, the Syndication Agent, any Co-Documentation Agent, any Lender, any indemnified person or any of their respective affiliates by registered or certified mail, postage prepaid, at its address set forth in </w:t>
      </w:r>
      <w:r>
        <w:rPr>
          <w:rFonts w:ascii="Times New Roman" w:cs="Times New Roman" w:eastAsia="Times New Roman" w:hAnsi="Times New Roman"/>
          <w:sz w:val="20"/>
          <w:szCs w:val="20"/>
          <w:u w:val="single" w:color="auto"/>
          <w:color w:val="auto"/>
        </w:rPr>
        <w:t>Section 9.01(a)(ii)</w:t>
      </w:r>
      <w:r>
        <w:rPr>
          <w:rFonts w:ascii="Times New Roman" w:cs="Times New Roman" w:eastAsia="Times New Roman" w:hAnsi="Times New Roman"/>
          <w:sz w:val="20"/>
          <w:szCs w:val="20"/>
          <w:color w:val="auto"/>
        </w:rPr>
        <w:t>, and (ii) agrees that nothing herein shall affect the right to effect service of process in any other manner permitted by law, or shall limit the right to sue in any other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20"/>
          </w:cols>
          <w:pgMar w:left="440" w:top="265" w:right="439" w:bottom="1440" w:gutter="0" w:footer="0" w:header="0"/>
        </w:sectPr>
      </w:pPr>
    </w:p>
    <w:bookmarkStart w:id="192" w:name="page193"/>
    <w:bookmarkEnd w:id="192"/>
    <w:p>
      <w:pPr>
        <w:ind w:right="20" w:firstLine="55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ALKERMES PLC</w:t>
      </w:r>
      <w:r>
        <w:rPr>
          <w:rFonts w:ascii="Times New Roman" w:cs="Times New Roman" w:eastAsia="Times New Roman" w:hAnsi="Times New Roman"/>
          <w:sz w:val="20"/>
          <w:szCs w:val="20"/>
          <w:color w:val="auto"/>
        </w:rPr>
        <w:t>, as the TopCo Borrower</w:t>
      </w:r>
    </w:p>
    <w:p>
      <w:pPr>
        <w:spacing w:after="0" w:line="220" w:lineRule="exact"/>
        <w:rPr>
          <w:sz w:val="20"/>
          <w:szCs w:val="20"/>
          <w:color w:val="auto"/>
        </w:rPr>
      </w:pPr>
    </w:p>
    <w:tbl>
      <w:tblPr>
        <w:tblLayout w:type="fixed"/>
        <w:tblInd w:w="5300" w:type="dxa"/>
        <w:tblCellMar>
          <w:top w:w="0" w:type="dxa"/>
          <w:left w:w="0" w:type="dxa"/>
          <w:bottom w:w="0" w:type="dxa"/>
          <w:right w:w="0" w:type="dxa"/>
        </w:tblCellMar>
      </w:tblP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60" w:type="dxa"/>
            <w:vAlign w:val="bottom"/>
          </w:tcPr>
          <w:p>
            <w:pPr>
              <w:spacing w:after="0"/>
              <w:rPr>
                <w:sz w:val="21"/>
                <w:szCs w:val="21"/>
                <w:color w:val="auto"/>
              </w:rPr>
            </w:pPr>
          </w:p>
        </w:tc>
        <w:tc>
          <w:tcPr>
            <w:tcW w:w="5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/s/ Declan O’Connor</w:t>
            </w:r>
          </w:p>
        </w:tc>
      </w:tr>
      <w:tr>
        <w:trPr>
          <w:trHeight w:val="200"/>
        </w:trPr>
        <w:tc>
          <w:tcPr>
            <w:tcW w:w="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60" w:type="dxa"/>
            <w:vAlign w:val="bottom"/>
          </w:tcPr>
          <w:p>
            <w:pPr>
              <w:spacing w:after="0"/>
              <w:rPr>
                <w:sz w:val="17"/>
                <w:szCs w:val="17"/>
                <w:color w:val="auto"/>
              </w:rPr>
            </w:pPr>
          </w:p>
        </w:tc>
        <w:tc>
          <w:tcPr>
            <w:tcW w:w="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73"/>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Declan O’Connor</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3"/>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Board Authorized Signatory</w:t>
            </w:r>
          </w:p>
        </w:tc>
      </w:tr>
    </w:tbl>
    <w:p>
      <w:pPr>
        <w:spacing w:after="0" w:line="1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ALKERMES, INC.</w:t>
      </w:r>
      <w:r>
        <w:rPr>
          <w:rFonts w:ascii="Times New Roman" w:cs="Times New Roman" w:eastAsia="Times New Roman" w:hAnsi="Times New Roman"/>
          <w:sz w:val="20"/>
          <w:szCs w:val="20"/>
          <w:color w:val="auto"/>
        </w:rPr>
        <w:t>, as the U.S. Borrower</w:t>
      </w:r>
    </w:p>
    <w:p>
      <w:pPr>
        <w:spacing w:after="0" w:line="220" w:lineRule="exact"/>
        <w:rPr>
          <w:sz w:val="20"/>
          <w:szCs w:val="20"/>
          <w:color w:val="auto"/>
        </w:rPr>
      </w:pPr>
    </w:p>
    <w:tbl>
      <w:tblPr>
        <w:tblLayout w:type="fixed"/>
        <w:tblInd w:w="5300" w:type="dxa"/>
        <w:tblCellMar>
          <w:top w:w="0" w:type="dxa"/>
          <w:left w:w="0" w:type="dxa"/>
          <w:bottom w:w="0" w:type="dxa"/>
          <w:right w:w="0" w:type="dxa"/>
        </w:tblCellMar>
      </w:tblP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/s/ Joshua Reed</w:t>
            </w:r>
          </w:p>
        </w:tc>
      </w:tr>
      <w:tr>
        <w:trPr>
          <w:trHeight w:val="200"/>
        </w:trPr>
        <w:tc>
          <w:tcPr>
            <w:tcW w:w="6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1"/>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Joshua Reed</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Senior Vice President, Chief</w:t>
            </w:r>
          </w:p>
        </w:tc>
      </w:tr>
      <w:tr>
        <w:trPr>
          <w:trHeight w:val="258"/>
        </w:trPr>
        <w:tc>
          <w:tcPr>
            <w:tcW w:w="6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Officer</w:t>
            </w:r>
          </w:p>
        </w:tc>
      </w:tr>
    </w:tbl>
    <w:p>
      <w:pPr>
        <w:spacing w:after="0" w:line="1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ALKERMES FINANCE LLC</w:t>
      </w:r>
      <w:r>
        <w:rPr>
          <w:rFonts w:ascii="Times New Roman" w:cs="Times New Roman" w:eastAsia="Times New Roman" w:hAnsi="Times New Roman"/>
          <w:sz w:val="20"/>
          <w:szCs w:val="20"/>
          <w:color w:val="auto"/>
        </w:rPr>
        <w:t>, as the U.S. Co-Borrower</w:t>
      </w:r>
    </w:p>
    <w:p>
      <w:pPr>
        <w:spacing w:after="0" w:line="220" w:lineRule="exact"/>
        <w:rPr>
          <w:sz w:val="20"/>
          <w:szCs w:val="20"/>
          <w:color w:val="auto"/>
        </w:rPr>
      </w:pPr>
    </w:p>
    <w:tbl>
      <w:tblPr>
        <w:tblLayout w:type="fixed"/>
        <w:tblInd w:w="5300" w:type="dxa"/>
        <w:tblCellMar>
          <w:top w:w="0" w:type="dxa"/>
          <w:left w:w="0" w:type="dxa"/>
          <w:bottom w:w="0" w:type="dxa"/>
          <w:right w:w="0" w:type="dxa"/>
        </w:tblCellMar>
      </w:tblP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60" w:type="dxa"/>
            <w:vAlign w:val="bottom"/>
          </w:tcPr>
          <w:p>
            <w:pPr>
              <w:spacing w:after="0"/>
              <w:rPr>
                <w:sz w:val="21"/>
                <w:szCs w:val="21"/>
                <w:color w:val="auto"/>
              </w:rPr>
            </w:pPr>
          </w:p>
        </w:tc>
        <w:tc>
          <w:tcPr>
            <w:tcW w:w="5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color w:val="auto"/>
              </w:rPr>
              <w:t>/s/ Joshua Reed</w:t>
            </w:r>
          </w:p>
        </w:tc>
      </w:tr>
      <w:tr>
        <w:trPr>
          <w:trHeight w:val="200"/>
        </w:trPr>
        <w:tc>
          <w:tcPr>
            <w:tcW w:w="5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60" w:type="dxa"/>
            <w:vAlign w:val="bottom"/>
          </w:tcPr>
          <w:p>
            <w:pPr>
              <w:spacing w:after="0"/>
              <w:rPr>
                <w:sz w:val="17"/>
                <w:szCs w:val="17"/>
                <w:color w:val="auto"/>
              </w:rPr>
            </w:pPr>
          </w:p>
        </w:tc>
        <w:tc>
          <w:tcPr>
            <w:tcW w:w="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w w:val="73"/>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Joshua Reed</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3"/>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1020"/>
          </w:cols>
          <w:pgMar w:left="440" w:top="265" w:right="439" w:bottom="1440" w:gutter="0" w:footer="0" w:header="0"/>
        </w:sectPr>
      </w:pPr>
    </w:p>
    <w:bookmarkStart w:id="193" w:name="page194"/>
    <w:bookmarkEnd w:id="193"/>
    <w:p>
      <w:pPr>
        <w:ind w:left="43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as Administrative Agent, Initial Tranche A Term</w:t>
      </w:r>
    </w:p>
    <w:p>
      <w:pPr>
        <w:ind w:left="4300"/>
        <w:spacing w:after="0"/>
        <w:rPr>
          <w:sz w:val="20"/>
          <w:szCs w:val="20"/>
          <w:color w:val="auto"/>
        </w:rPr>
      </w:pPr>
      <w:r>
        <w:rPr>
          <w:rFonts w:ascii="Times New Roman" w:cs="Times New Roman" w:eastAsia="Times New Roman" w:hAnsi="Times New Roman"/>
          <w:sz w:val="20"/>
          <w:szCs w:val="20"/>
          <w:color w:val="auto"/>
        </w:rPr>
        <w:t>Lender and Initial Tranche B Term Lender</w:t>
      </w:r>
    </w:p>
    <w:p>
      <w:pPr>
        <w:spacing w:after="0" w:line="207"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 Marcelo Nicolás Osovi Conti</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508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Marcelo Nicolás Osovi Conti</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61" w:right="439" w:bottom="1440" w:gutter="0" w:footer="0" w:header="0"/>
        </w:sectPr>
      </w:pPr>
    </w:p>
    <w:bookmarkStart w:id="194" w:name="page195"/>
    <w:bookmarkEnd w:id="19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Karen Yap</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Karen Yap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70" w:right="439" w:bottom="1440" w:gutter="0" w:footer="0" w:header="0"/>
        </w:sectPr>
      </w:pPr>
    </w:p>
    <w:bookmarkStart w:id="195" w:name="page196"/>
    <w:bookmarkEnd w:id="19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Mourad Liousfi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Mourad Liousfi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70" w:right="439" w:bottom="1440" w:gutter="0" w:footer="0" w:header="0"/>
        </w:sectPr>
      </w:pPr>
    </w:p>
    <w:bookmarkStart w:id="196" w:name="page197"/>
    <w:bookmarkEnd w:id="19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DNB CAPITAL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Dania Hinedi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Dania Hinedi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67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Gordon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Gordon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66" w:right="439" w:bottom="1440" w:gutter="0" w:footer="0" w:header="0"/>
        </w:sectPr>
      </w:pPr>
    </w:p>
    <w:bookmarkStart w:id="197" w:name="page198"/>
    <w:bookmarkEnd w:id="19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Whitman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Whitman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70" w:right="439" w:bottom="1440" w:gutter="0" w:footer="0" w:header="0"/>
        </w:sectPr>
      </w:pPr>
    </w:p>
    <w:bookmarkStart w:id="198" w:name="page199"/>
    <w:bookmarkEnd w:id="19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Shailesh Patel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Shailesh Patel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70" w:right="439" w:bottom="1440" w:gutter="0" w:footer="0" w:header="0"/>
        </w:sectPr>
      </w:pPr>
    </w:p>
    <w:bookmarkStart w:id="199" w:name="page200"/>
    <w:bookmarkEnd w:id="19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Lindsay Cozzi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Lindsay Cozzi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Its Duly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70" w:right="439" w:bottom="1440" w:gutter="0" w:footer="0" w:header="0"/>
        </w:sectPr>
      </w:pPr>
    </w:p>
    <w:bookmarkStart w:id="200" w:name="page201"/>
    <w:bookmarkEnd w:id="20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Luis Gutierrez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Luis Gutierrez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70" w:right="439" w:bottom="1440" w:gutter="0" w:footer="0" w:header="0"/>
        </w:sectPr>
      </w:pPr>
    </w:p>
    <w:bookmarkStart w:id="201" w:name="page202"/>
    <w:bookmarkEnd w:id="20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Initial Tranche A Term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Anton Brykalin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Anton Brykalin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020"/>
          </w:cols>
          <w:pgMar w:left="1440" w:top="266" w:right="439" w:bottom="1440" w:gutter="0" w:footer="0" w:header="0"/>
        </w:sectPr>
      </w:pPr>
    </w:p>
    <w:bookmarkStart w:id="202" w:name="page203"/>
    <w:bookmarkEnd w:id="202"/>
    <w:p>
      <w:pPr>
        <w:jc w:val="right"/>
        <w:ind w:right="20"/>
        <w:spacing w:after="0"/>
        <w:rPr>
          <w:sz w:val="20"/>
          <w:szCs w:val="20"/>
          <w:color w:val="auto"/>
        </w:rPr>
      </w:pPr>
      <w:r>
        <w:rPr>
          <w:rFonts w:ascii="Calibri" w:cs="Calibri" w:eastAsia="Calibri" w:hAnsi="Calibri"/>
          <w:sz w:val="20"/>
          <w:szCs w:val="20"/>
          <w:b w:val="1"/>
          <w:bCs w:val="1"/>
          <w:color w:val="auto"/>
        </w:rPr>
        <w:t>Exhibit 99.1</w:t>
      </w:r>
    </w:p>
    <w:p>
      <w:pPr>
        <w:spacing w:after="0" w:line="215"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u w:val="single" w:color="auto"/>
          <w:color w:val="auto"/>
        </w:rPr>
        <w:t>Alkermes Contacts:</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For Investors: Sandy Coombs   +1 781 609 6377</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For Media: Katie Joyce   +1 781 249 8927</w:t>
      </w:r>
    </w:p>
    <w:p>
      <w:pPr>
        <w:spacing w:after="0" w:line="18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Alkermes plc Completes Acquisiton of Avadel Pharmaceutcals plc, Acceleratng Entry Into Sleep</w:t>
      </w:r>
    </w:p>
    <w:p>
      <w:pPr>
        <w:jc w:val="center"/>
        <w:spacing w:after="0" w:line="238" w:lineRule="auto"/>
        <w:rPr>
          <w:sz w:val="20"/>
          <w:szCs w:val="20"/>
          <w:color w:val="auto"/>
        </w:rPr>
      </w:pPr>
      <w:r>
        <w:rPr>
          <w:rFonts w:ascii="Calibri" w:cs="Calibri" w:eastAsia="Calibri" w:hAnsi="Calibri"/>
          <w:sz w:val="20"/>
          <w:szCs w:val="20"/>
          <w:b w:val="1"/>
          <w:bCs w:val="1"/>
          <w:color w:val="auto"/>
        </w:rPr>
        <w:t>Medicine Market</w:t>
      </w:r>
    </w:p>
    <w:p>
      <w:pPr>
        <w:spacing w:after="0" w:line="228" w:lineRule="exact"/>
        <w:rPr>
          <w:sz w:val="20"/>
          <w:szCs w:val="20"/>
          <w:color w:val="auto"/>
        </w:rPr>
      </w:pPr>
    </w:p>
    <w:p>
      <w:pPr>
        <w:jc w:val="center"/>
        <w:ind w:left="1200" w:right="1120" w:hanging="79"/>
        <w:spacing w:after="0" w:line="287" w:lineRule="auto"/>
        <w:rPr>
          <w:sz w:val="20"/>
          <w:szCs w:val="20"/>
          <w:color w:val="auto"/>
        </w:rPr>
      </w:pPr>
      <w:r>
        <w:rPr>
          <w:rFonts w:ascii="Arial" w:cs="Arial" w:eastAsia="Arial" w:hAnsi="Arial"/>
          <w:sz w:val="19"/>
          <w:szCs w:val="19"/>
          <w:color w:val="auto"/>
        </w:rPr>
        <w:t>— Augments Alkermes’ Revenue Growth Profile and Diversifies Commercial Portfolio with New High Potential Growth Product, LUMRYZ</w:t>
      </w:r>
      <w:r>
        <w:rPr>
          <w:rFonts w:ascii="Arial" w:cs="Arial" w:eastAsia="Arial" w:hAnsi="Arial"/>
          <w:sz w:val="28"/>
          <w:szCs w:val="28"/>
          <w:color w:val="auto"/>
          <w:vertAlign w:val="superscript"/>
        </w:rPr>
        <w:t>®</w:t>
      </w:r>
      <w:r>
        <w:rPr>
          <w:rFonts w:ascii="Arial" w:cs="Arial" w:eastAsia="Arial" w:hAnsi="Arial"/>
          <w:sz w:val="19"/>
          <w:szCs w:val="19"/>
          <w:color w:val="auto"/>
        </w:rPr>
        <w:t xml:space="preserve"> (Sodium Oxybate) for Extended-Release Oral Suspension —</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 Expected to be Accretive in 2026 —</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 Positions the Combined Organization to Accelerate Innovation and Leadership in Development of</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Treatments for Sleep Disorders and Other Neurological Disorders —</w:t>
      </w:r>
    </w:p>
    <w:p>
      <w:pPr>
        <w:spacing w:after="0" w:line="184" w:lineRule="exact"/>
        <w:rPr>
          <w:sz w:val="20"/>
          <w:szCs w:val="20"/>
          <w:color w:val="auto"/>
        </w:rPr>
      </w:pPr>
    </w:p>
    <w:p>
      <w:pPr>
        <w:ind w:right="60"/>
        <w:spacing w:after="0" w:line="216" w:lineRule="auto"/>
        <w:rPr>
          <w:sz w:val="20"/>
          <w:szCs w:val="20"/>
          <w:color w:val="auto"/>
        </w:rPr>
      </w:pPr>
      <w:r>
        <w:rPr>
          <w:rFonts w:ascii="Arial" w:cs="Arial" w:eastAsia="Arial" w:hAnsi="Arial"/>
          <w:sz w:val="20"/>
          <w:szCs w:val="20"/>
          <w:color w:val="auto"/>
        </w:rPr>
        <w:t>DUBLIN – (Business Wire) – Feb. 12, 2026 — Alkermes plc (Nasdaq: ALKS) (“Alkermes”) and Avadel Pharmaceuticals plc (Nasdaq: AVDL) (“Avadel”) today announced Alkermes’ completion of its acquisition of Avadel, a commercial-stage biopharmaceutical company. The acquisition adds Avadel’s FDA-approved product, LUMRYZ</w:t>
      </w:r>
      <w:r>
        <w:rPr>
          <w:rFonts w:ascii="Arial" w:cs="Arial" w:eastAsia="Arial" w:hAnsi="Arial"/>
          <w:sz w:val="29"/>
          <w:szCs w:val="29"/>
          <w:color w:val="auto"/>
          <w:vertAlign w:val="superscript"/>
        </w:rPr>
        <w:t>®</w:t>
      </w:r>
      <w:r>
        <w:rPr>
          <w:rFonts w:ascii="Arial" w:cs="Arial" w:eastAsia="Arial" w:hAnsi="Arial"/>
          <w:sz w:val="20"/>
          <w:szCs w:val="20"/>
          <w:color w:val="auto"/>
        </w:rPr>
        <w:t>, to Alkermes’ commercial portfolio, and provides Alkermes with a commercial organization experienced in this disease state. This strategic move accelerates Alkermes’ entry into the sleep medicine market and enhances its ability to unlock the full potential of its late-stage development pipeline focused on central disorders of hypersomnolence.</w:t>
      </w:r>
    </w:p>
    <w:p>
      <w:pPr>
        <w:spacing w:after="0" w:line="177" w:lineRule="exact"/>
        <w:rPr>
          <w:sz w:val="20"/>
          <w:szCs w:val="20"/>
          <w:color w:val="auto"/>
        </w:rPr>
      </w:pPr>
    </w:p>
    <w:p>
      <w:pPr>
        <w:ind w:right="120"/>
        <w:spacing w:after="0" w:line="213" w:lineRule="auto"/>
        <w:rPr>
          <w:sz w:val="20"/>
          <w:szCs w:val="20"/>
          <w:color w:val="auto"/>
        </w:rPr>
      </w:pPr>
      <w:r>
        <w:rPr>
          <w:rFonts w:ascii="Arial" w:cs="Arial" w:eastAsia="Arial" w:hAnsi="Arial"/>
          <w:sz w:val="20"/>
          <w:szCs w:val="20"/>
          <w:color w:val="auto"/>
        </w:rPr>
        <w:t>The transaction was completed pursuant to an Irish High Court sanctioned scheme of arrangement (the “Scheme”) under Chapter 1 of Part 9 of the Companies Act 2014 of Ireland. LUMRYZ</w:t>
      </w:r>
      <w:r>
        <w:rPr>
          <w:rFonts w:ascii="Arial" w:cs="Arial" w:eastAsia="Arial" w:hAnsi="Arial"/>
          <w:sz w:val="29"/>
          <w:szCs w:val="29"/>
          <w:color w:val="auto"/>
          <w:vertAlign w:val="superscript"/>
        </w:rPr>
        <w:t>®</w:t>
      </w:r>
      <w:r>
        <w:rPr>
          <w:rFonts w:ascii="Arial" w:cs="Arial" w:eastAsia="Arial" w:hAnsi="Arial"/>
          <w:sz w:val="20"/>
          <w:szCs w:val="20"/>
          <w:color w:val="auto"/>
        </w:rPr>
        <w:t xml:space="preserve"> (sodium oxybate) for extended-release oral suspension is approved for the treatment of cataplexy or excessive daytime sleepiness in patients seven years of age and older with narcolepsy.</w:t>
      </w:r>
    </w:p>
    <w:p>
      <w:pPr>
        <w:spacing w:after="0" w:line="172" w:lineRule="exact"/>
        <w:rPr>
          <w:sz w:val="20"/>
          <w:szCs w:val="20"/>
          <w:color w:val="auto"/>
        </w:rPr>
      </w:pPr>
    </w:p>
    <w:p>
      <w:pPr>
        <w:ind w:right="240"/>
        <w:spacing w:after="0" w:line="232" w:lineRule="auto"/>
        <w:rPr>
          <w:sz w:val="20"/>
          <w:szCs w:val="20"/>
          <w:color w:val="auto"/>
        </w:rPr>
      </w:pPr>
      <w:r>
        <w:rPr>
          <w:rFonts w:ascii="Arial" w:cs="Arial" w:eastAsia="Arial" w:hAnsi="Arial"/>
          <w:sz w:val="20"/>
          <w:szCs w:val="20"/>
          <w:color w:val="auto"/>
        </w:rPr>
        <w:t>“With the close of this acquisition, Alkermes achieved an important milestone in the continued advancement of our strategy, accelerating our entry into the commercial sleep medicine market at a pivotal moment as we work to initiate the planned phase 3 program for alixorexton in narcolepsy this quarter. Avadel’s commercial and R&amp;D portfolio, established commercial infrastructure, and talented team strengthen our organization and expand our capabilities in this important therapeutic area. Supported by our strong balance sheet, this all-cash acquisition is expected to enhance our revenue growth profile and underscores our ongoing commitment to creating long-term value for shareholders,” said Richard Pops, Chief Executive Officer of Alkermes.</w:t>
      </w:r>
    </w:p>
    <w:p>
      <w:pPr>
        <w:spacing w:after="0" w:line="172"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transaction is expected to be accretive in 2026 and represents a compelling financial and strategic opportunity, leveraging Alkermes’ existing commercial expertise and operational infrastructure and adding new capabilities in rare disease. Avadel is a recognized innovator in the sleep medicine space, committed to addressing significant unmet needs for patients.</w:t>
      </w:r>
    </w:p>
    <w:p>
      <w:pPr>
        <w:sectPr>
          <w:pgSz w:w="11900" w:h="16838" w:orient="portrait"/>
          <w:cols w:equalWidth="0" w:num="1">
            <w:col w:w="11020"/>
          </w:cols>
          <w:pgMar w:left="440" w:top="106" w:right="439" w:bottom="1440" w:gutter="0" w:footer="0" w:header="0"/>
        </w:sectPr>
      </w:pPr>
    </w:p>
    <w:bookmarkStart w:id="203" w:name="page204"/>
    <w:bookmarkEnd w:id="203"/>
    <w:p>
      <w:pPr>
        <w:ind w:right="80"/>
        <w:spacing w:after="0" w:line="23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launching LUMRYZ in 2023, Avadel has successfully built and scaled a commercial organization that has driven strong demand. With an estimated population of &gt;50,000 oxybate-eligible narcolepsy patients in the United States, LUMRYZ has significant opportunity for growth ahead. The acquisition also includes valiloxybate, Avadel’s in-licensed salt-free, once-at-bedtime oxybate candidate in phase 1 clinical development.</w:t>
      </w:r>
    </w:p>
    <w:p>
      <w:pPr>
        <w:spacing w:after="0" w:line="172"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To finance the acquisition, Alkermes will use approximately $750 million of cash from its balance sheet and borrowed a total of $1.525 billion in term loans that are due in 2031. The company expects to pay down the debt quickly with cash flows from the business.</w:t>
      </w:r>
    </w:p>
    <w:p>
      <w:pPr>
        <w:spacing w:after="0" w:line="171"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Alkermes will provide its 2026 financial expectations for the combined organization on Feb. 25, 2026 as part of its financial results announcement for the quarter and year ended Dec. 31, 2025. Alkermes’ financial expectations for 2026 will include certain expenses related to the transaction, including: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   In the first quarter of 2026, Alkermes will record transaction-related costs of $40 million.</w:t>
      </w:r>
    </w:p>
    <w:p>
      <w:pPr>
        <w:spacing w:after="0" w:line="4" w:lineRule="exact"/>
        <w:rPr>
          <w:sz w:val="20"/>
          <w:szCs w:val="20"/>
          <w:color w:val="auto"/>
        </w:rPr>
      </w:pPr>
    </w:p>
    <w:p>
      <w:pPr>
        <w:ind w:left="420" w:right="80" w:hanging="432"/>
        <w:spacing w:after="0" w:line="225" w:lineRule="auto"/>
        <w:rPr>
          <w:sz w:val="20"/>
          <w:szCs w:val="20"/>
          <w:color w:val="auto"/>
        </w:rPr>
      </w:pPr>
      <w:r>
        <w:rPr>
          <w:rFonts w:ascii="Arial" w:cs="Arial" w:eastAsia="Arial" w:hAnsi="Arial"/>
          <w:sz w:val="20"/>
          <w:szCs w:val="20"/>
          <w:color w:val="auto"/>
        </w:rPr>
        <w:t>– Alkermes will record approximately $180 million of LUMRYZ inventory fair value step-up, which will be expensed as cost of goods sold as the inventory is sold in 2026.</w:t>
      </w:r>
    </w:p>
    <w:p>
      <w:pPr>
        <w:ind w:left="420" w:right="60" w:hanging="432"/>
        <w:spacing w:after="0" w:line="225" w:lineRule="auto"/>
        <w:rPr>
          <w:sz w:val="20"/>
          <w:szCs w:val="20"/>
          <w:color w:val="auto"/>
        </w:rPr>
      </w:pPr>
      <w:r>
        <w:rPr>
          <w:rFonts w:ascii="Arial" w:cs="Arial" w:eastAsia="Arial" w:hAnsi="Arial"/>
          <w:sz w:val="20"/>
          <w:szCs w:val="20"/>
          <w:color w:val="auto"/>
        </w:rPr>
        <w:t>– Alkermes will record approximately $1.5 billion of intellectual property related to LUMRYZ, which will be amortized over an expected life of 13 years. Alkermes expects amortization of intangible assets to be in the range of $95 to $105 million in 2026.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Net interest expense is expected to be in the range of $75 to $85 million in 2026.</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acquisition was approved by Avadel shareholders at a scheme meeting of shareholders and at an extraordinary general meeting of shareholders, each held on Jan. 12, 2026. The Irish High Court sanctioned the Scheme on Feb. 10, 2026. On Feb. 12, 2026 (the “Effective Date”), the Scheme and the acquisition became effective upon delivery of the court order of the Irish High Court to the Irish Companies Registration Office. Prior to the opening of trading on Feb. 12, 2026, all of Avadel’s shares will cease trading on the Nasdaq Global Market (“Nasdaq”), and Avadel intends to promptly cause such shares to be delisted from Nasdaq and deregistered under the Securities Exchange Act of 1934, as amended.</w:t>
      </w:r>
    </w:p>
    <w:p>
      <w:pPr>
        <w:spacing w:after="0" w:line="172"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Payment of the Cash Consideration to the Scheme Shareholders pursuant to the Scheme is being commenced by Alkermes today, Feb. 12, 2026. The Rights Agent will record the Scheme Shareholders as the owners of the CVR Consideration in the CVR Register in accordance with the terms of the CVR Agreement dated as of today, Feb. 12, 2026.</w:t>
      </w:r>
    </w:p>
    <w:p>
      <w:pPr>
        <w:spacing w:after="0" w:line="17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Except as otherwise defined herein, capitalized terms used but not defined in this announcement have the same meanings as given to them in the definitive proxy statement filed by Avadel with the U.S. Securities and Exchange Commission (“SEC”) on Dec. 3, 2025, which also constitutes a scheme circular under Irish law.</w:t>
      </w:r>
    </w:p>
    <w:p>
      <w:pPr>
        <w:spacing w:after="0" w:line="26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Alkermes plc</w:t>
      </w:r>
    </w:p>
    <w:p>
      <w:pPr>
        <w:spacing w:after="0" w:line="65"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Alkermes plc (Nasdaq: ALKS), a mid-cap growth and value equity, is a global biopharmaceutical company that seeks to develop innovative medicines in the field of neuroscience. The company has a portfolio of</w:t>
      </w:r>
    </w:p>
    <w:p>
      <w:pPr>
        <w:sectPr>
          <w:pgSz w:w="11900" w:h="16838" w:orient="portrait"/>
          <w:cols w:equalWidth="0" w:num="1">
            <w:col w:w="11000"/>
          </w:cols>
          <w:pgMar w:left="440" w:top="267" w:right="459" w:bottom="1440" w:gutter="0" w:footer="0" w:header="0"/>
        </w:sectPr>
      </w:pPr>
    </w:p>
    <w:bookmarkStart w:id="204" w:name="page205"/>
    <w:bookmarkEnd w:id="204"/>
    <w:p>
      <w:pPr>
        <w:spacing w:after="0" w:line="24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proprietary commercial products for the treatment of alcohol dependence, opioid dependence, schizophrenia, bipolar I disorder and narcolepsy. Alkermes’ pipeline includes late-stage clinical candidates in development for narcolepsy and idiopathic hypersomnia, and orexin 2 receptor agonists in early clinical development for other neurological disorders, including attention-deficit hyperactivity disorder (ADHD) and fatigue associated with multiple sclerosis and Parkinson’s disease. Headquartered in Ireland, Alkermes also has a corporate office and research and development center in Massachusetts and a manufacturing facility in Ohio. For more information, please visit Alkermes’ website at </w:t>
      </w:r>
      <w:r>
        <w:rPr>
          <w:rFonts w:ascii="Arial" w:cs="Arial" w:eastAsia="Arial" w:hAnsi="Arial"/>
          <w:sz w:val="19"/>
          <w:szCs w:val="19"/>
          <w:color w:val="467886"/>
        </w:rPr>
        <w:t>www.alkermes.com</w:t>
      </w:r>
      <w:r>
        <w:rPr>
          <w:rFonts w:ascii="Arial" w:cs="Arial" w:eastAsia="Arial" w:hAnsi="Arial"/>
          <w:sz w:val="19"/>
          <w:szCs w:val="19"/>
          <w:color w:val="auto"/>
        </w:rPr>
        <w:t>.</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LUMRYZ</w:t>
      </w:r>
      <w:r>
        <w:rPr>
          <w:rFonts w:ascii="Calibri" w:cs="Calibri" w:eastAsia="Calibri" w:hAnsi="Calibri"/>
          <w:sz w:val="29"/>
          <w:szCs w:val="29"/>
          <w:b w:val="1"/>
          <w:bCs w:val="1"/>
          <w:u w:val="single" w:color="auto"/>
          <w:color w:val="auto"/>
          <w:vertAlign w:val="superscript"/>
        </w:rPr>
        <w:t>®</w:t>
      </w:r>
      <w:r>
        <w:rPr>
          <w:rFonts w:ascii="Calibri" w:cs="Calibri" w:eastAsia="Calibri" w:hAnsi="Calibri"/>
          <w:sz w:val="20"/>
          <w:szCs w:val="20"/>
          <w:b w:val="1"/>
          <w:bCs w:val="1"/>
          <w:color w:val="auto"/>
        </w:rPr>
        <w:t xml:space="preserve"> (sodium oxybate) for extended-release oral suspension</w:t>
      </w:r>
    </w:p>
    <w:p>
      <w:pPr>
        <w:ind w:right="80"/>
        <w:spacing w:after="0" w:line="232" w:lineRule="auto"/>
        <w:rPr>
          <w:sz w:val="20"/>
          <w:szCs w:val="20"/>
          <w:color w:val="auto"/>
        </w:rPr>
      </w:pPr>
      <w:r>
        <w:rPr>
          <w:rFonts w:ascii="Arial" w:cs="Arial" w:eastAsia="Arial" w:hAnsi="Arial"/>
          <w:sz w:val="20"/>
          <w:szCs w:val="20"/>
          <w:color w:val="auto"/>
        </w:rPr>
        <w:t>LUMRYZ is an extended-release sodium oxybate medication approved by the FDA on May 1, 2023, as the first and only once-at-bedtime treatment for cataplexy or excessive daytime sleepiness (EDS) in adults with narcolepsy. On Oct. 16, 2024, LUMRYZ was additionally approved as a once-at-bedtime treatment for cataplexy or EDS in pediatric patients seven years of age and older with narcolepsy.</w:t>
      </w:r>
    </w:p>
    <w:p>
      <w:pPr>
        <w:spacing w:after="0" w:line="173"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 xml:space="preserve">The LUMRYZ prescribing information includes Boxed Warnings for central nervous system (CNS) depression and abuse and misuse. LUMRYZ is a CNS depressant. Clinically significant respiratory depression and obtundation may occur in patients treated with LUMRYZ at recommended doses. Many patients who received LUMRYZ during clinical trials in narcolepsy were receiving CNS stimulants. LUMRYZ is the sodium salt of gamma-hydroxybutyrate (GHB). Abuse or misuse of illicit GHB, either alone or in combination with other CNS depressants, is associated with CNS adverse reactions, including seizure, respiratory depression, decreased consciousness, coma, and death. Because of the risks of CNS depression and abuse and misuse, LUMRYZ is available only through a restricted program under a Risk Evaluation and Mitigation Strategy (REMS) called the LUMRYZ REMS. Please see full </w:t>
      </w:r>
      <w:r>
        <w:rPr>
          <w:rFonts w:ascii="Arial" w:cs="Arial" w:eastAsia="Arial" w:hAnsi="Arial"/>
          <w:sz w:val="19"/>
          <w:szCs w:val="19"/>
          <w:u w:val="single" w:color="auto"/>
          <w:color w:val="467886"/>
        </w:rPr>
        <w:t>Prescribing Information</w:t>
      </w:r>
      <w:r>
        <w:rPr>
          <w:rFonts w:ascii="Arial" w:cs="Arial" w:eastAsia="Arial" w:hAnsi="Arial"/>
          <w:sz w:val="19"/>
          <w:szCs w:val="19"/>
          <w:color w:val="auto"/>
        </w:rPr>
        <w:t xml:space="preserve"> for additional safety information including BOXED Warnings. Further information about the REMS is available at </w:t>
      </w:r>
      <w:r>
        <w:rPr>
          <w:rFonts w:ascii="Arial" w:cs="Arial" w:eastAsia="Arial" w:hAnsi="Arial"/>
          <w:sz w:val="19"/>
          <w:szCs w:val="19"/>
          <w:u w:val="single" w:color="auto"/>
          <w:color w:val="467886"/>
        </w:rPr>
        <w:t>www.LUMRYZREMS.com</w:t>
      </w:r>
      <w:r>
        <w:rPr>
          <w:rFonts w:ascii="Arial" w:cs="Arial" w:eastAsia="Arial" w:hAnsi="Arial"/>
          <w:sz w:val="19"/>
          <w:szCs w:val="19"/>
          <w:color w:val="auto"/>
        </w:rPr>
        <w:t xml:space="preserve"> or by calling </w:t>
      </w:r>
      <w:r>
        <w:rPr>
          <w:rFonts w:ascii="Arial" w:cs="Arial" w:eastAsia="Arial" w:hAnsi="Arial"/>
          <w:sz w:val="19"/>
          <w:szCs w:val="19"/>
          <w:u w:val="single" w:color="auto"/>
          <w:color w:val="467886"/>
        </w:rPr>
        <w:t>1-877-453-1029</w:t>
      </w:r>
      <w:r>
        <w:rPr>
          <w:rFonts w:ascii="Arial" w:cs="Arial" w:eastAsia="Arial" w:hAnsi="Arial"/>
          <w:sz w:val="19"/>
          <w:szCs w:val="19"/>
          <w:color w:val="auto"/>
        </w:rPr>
        <w:t>.</w:t>
      </w:r>
    </w:p>
    <w:p>
      <w:pPr>
        <w:spacing w:after="0" w:line="26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Note Regarding Forward-Looking Statements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Certain statements set forth in this announcement constitute “forward-looking statements” within the meaning of the Private Securities Litigation Reform Act of 1995, as amended, including, but not limited to, statements concerning: Alkermes’ expectations concerning the combined organization’s future financial and operating performance, business plans or prospects, including expected transaction costs and accounting, the company’s anticipated growth profile, financial expectations and plans for LUMRYZ and expected timelines for paying down the company’s debt; and Alkermes’ expectations regarding development plans, activities and timelines for, and the potential therapeutic and commercial value of, the combined organization’s portfolio of development candidates. Alkermes cautions that forward-looking statements are inherently uncertain. The forward-looking statements are neither promises nor guarantees and they are necessarily subject to a high degree of uncertainty and risk. Actual performance and results may differ materially from those expressed or implied in the forward-looking statements due to various risks and uncertainties. These risks and uncertainties include, among others: the businesses of Alkermes and Avadel may not be effectively integrated and the expected benefits and value of the acquisition may not be achieved; there may be unknown or inestimable liabilities, potential litigation and transaction costs associated with the acquisition; whether any general economic, political, market and business conditions, or future exchange and interest rates, changes in tax laws, regulations, rates and policies, may have a negative impact on the</w:t>
      </w:r>
    </w:p>
    <w:p>
      <w:pPr>
        <w:sectPr>
          <w:pgSz w:w="11900" w:h="16838" w:orient="portrait"/>
          <w:cols w:equalWidth="0" w:num="1">
            <w:col w:w="11000"/>
          </w:cols>
          <w:pgMar w:left="440" w:top="267" w:right="459" w:bottom="1440" w:gutter="0" w:footer="0" w:header="0"/>
        </w:sectPr>
      </w:pPr>
    </w:p>
    <w:bookmarkStart w:id="205" w:name="page206"/>
    <w:bookmarkEnd w:id="205"/>
    <w:p>
      <w:pPr>
        <w:spacing w:after="0" w:line="22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combined organization following consummation of the acquisition; the completion of the acquisition could result in disruption to the business and make it more difficult to maintain business and operational relationships of Alkermes and Avadel, including the ability of Alkermes to retain highly qualified personnel; the company may not be able to pay down its debt on expected timelines or at all; clinical development activities may not be initiated or completed on expected timelines or at all; the results of development activities may not be positive, or predictive of future results from such activities, results of future development activities or real-world results; Alkermes’ products or product candidates could be shown to be ineffective or unsafe; the FDA or regulatory authorities outside the U.S. may not agree with Alkermes’ regulatory approval strategies or may make adverse decisions regarding its products; Alkermes may not be able to continue to successfully commercialize its products or support revenue growth from such products; there may be a reduction in payment rate or reimbursement for Alkermes’ products or an increase in related financial obligations to government payers; Alkermes’ products may prove difficult to manufacture, be precluded from commercialization by the proprietary rights of third parties, or have unintended side effects, adverse reactions or incidents of misuse; and those risks and uncertainties described under the heading “Risk Factors” in Alkermes’ Annual Report on Form 10-K for the year ended Dec. 31, 2024 and in subsequent filings made by Alkermes with the SEC, which are available on the SEC’s website at www.sec.gov. Existing and prospective investors are cautioned not to place undue reliance on these forward-looking statements, which speak only as of the date hereof. Except as required by law, Alkermes and/or its directors disclaim any intention or responsibility for updating or revising any forward-looking statements contained in this announcement.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LUMRYZ</w:t>
      </w:r>
      <w:r>
        <w:rPr>
          <w:rFonts w:ascii="Arial" w:cs="Arial" w:eastAsia="Arial" w:hAnsi="Arial"/>
          <w:sz w:val="29"/>
          <w:szCs w:val="29"/>
          <w:color w:val="auto"/>
          <w:vertAlign w:val="superscript"/>
        </w:rPr>
        <w:t>®</w:t>
      </w:r>
      <w:r>
        <w:rPr>
          <w:rFonts w:ascii="Arial" w:cs="Arial" w:eastAsia="Arial" w:hAnsi="Arial"/>
          <w:sz w:val="20"/>
          <w:szCs w:val="20"/>
          <w:color w:val="auto"/>
        </w:rPr>
        <w:t xml:space="preserve"> is a registered trademark of Flamel Ireland Limited, an affiliate of Alkermes plc.</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Statement Required by the Irish Takeover Rules</w:t>
      </w:r>
    </w:p>
    <w:p>
      <w:pPr>
        <w:spacing w:after="0" w:line="65"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The Alkermes directors accept responsibility for the information contained in this announcement other than that relating to Avadel, its Subsidiaries and the Avadel directors and members of their immediate families, related trusts and persons connected with them. To the best of the knowledge and belief of the Alkermes directors (who have taken all reasonable care to ensure that this is the case), the information contained in this announcement for which they accept responsibility is in accordance with the facts and does not omit anything likely to affect the import of such information.</w:t>
      </w:r>
    </w:p>
    <w:p>
      <w:pPr>
        <w:spacing w:after="0" w:line="175"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The Avadel directors accept responsibility for the information contained in this announcement other than that relating to Alkermes, its Subsidiaries and the Alkermes directors and members of their immediate families, related trusts and persons connected with them. To the best of the knowledge and belief of the Avadel directors (who have taken all reasonable care to ensure that this is the case), the information contained in this announcement for which they accept responsibility is in accordance with the facts and does not omit anything likely to affect the import of such information.</w:t>
      </w: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Important Notces Relatng to Financial Advisors</w:t>
      </w:r>
    </w:p>
    <w:p>
      <w:pPr>
        <w:spacing w:after="0" w:line="65"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J.P. Morgan Securities LLC, together with its affiliate J.P. Morgan Securities plc (which is authorized in the United Kingdom by the Prudential Regulation Authority and regulated in the United Kingdom by the Prudential Regulation Authority and</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the Financial Conduct Authority) (together, “J.P. Morgan”) acted as financial advisor exclusively for Alkermes and no one else in connection with the acquisition and will not regard any other person as its client in relation to the acquisition and will not be responsible to</w:t>
      </w:r>
    </w:p>
    <w:p>
      <w:pPr>
        <w:sectPr>
          <w:pgSz w:w="11900" w:h="16838" w:orient="portrait"/>
          <w:cols w:equalWidth="0" w:num="1">
            <w:col w:w="11000"/>
          </w:cols>
          <w:pgMar w:left="440" w:top="267" w:right="459" w:bottom="1440" w:gutter="0" w:footer="0" w:header="0"/>
        </w:sectPr>
      </w:pPr>
    </w:p>
    <w:bookmarkStart w:id="206" w:name="page207"/>
    <w:bookmarkEnd w:id="206"/>
    <w:p>
      <w:pPr>
        <w:ind w:right="22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anyone other than Alkermes for providing the protections afforded to clients of J.P. Morgan or its affiliates, nor for providing advice in relation to the acquisition or any other matter or arrangement referred to herein.</w:t>
      </w:r>
    </w:p>
    <w:p>
      <w:pPr>
        <w:spacing w:after="0" w:line="155"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Goldman Sachs &amp; Co. LLC, which is authorized and regulated by the Financial Industry Regulatory Authority, is acting exclusively as financial advisor for Avadel and for no one else in connection with the matters set out in this announcement and will not regard any other person as its client in relation to the matters set out in this announcement and will not be responsible to anyone other than Avadel for providing the protections afforded to clients of Goldman Sachs &amp; Co. LLC nor for providing advice in relation to the acquisition or any other matter referred to in this announcement. Neither Goldman Sachs &amp; Co. LLC nor any of its affiliates (nor their respective directors, officers, employees or agents) owes or accepts any duty, liability or responsibility whatsoever (whether direct or indirect, whether in contract, in tort, under statute or otherwise) to any person who is not a client of Goldman Sachs &amp; Co. LLC in connection with this announcement, any statement contained herein or otherwise.</w:t>
      </w:r>
    </w:p>
    <w:p>
      <w:pPr>
        <w:spacing w:after="0" w:line="176"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Morgan Stanley &amp; Co. LLC, acting through its affiliate Morgan Stanley &amp; Co. International plc (together, “Morgan Stanley”), which is authorized by the Prudential Regulation Authority and regulated by the Financial Conduct Authority in the United Kingdom, is acting exclusively for Avadel as financial advisor and for no one else in relation to the matters referred to in this announcement. In connection with such matters, Morgan Stanley and its directors, officers, employees and agents will not regard any other person as its client, nor will it be responsible to anyone other than Avadel for providing the protections afforded to their clients or for providing advice in connection with the matters described in this announcement or any matter referred to herein.</w:t>
      </w:r>
    </w:p>
    <w:p>
      <w:pPr>
        <w:spacing w:after="0" w:line="26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Publicaton on a Website</w:t>
      </w:r>
    </w:p>
    <w:p>
      <w:pPr>
        <w:spacing w:after="0" w:line="65"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 xml:space="preserve">In accordance with Rule 26.1 of the Irish Takeover Rules, a copy of this announcement will be available on Avadel’s website at </w:t>
      </w:r>
      <w:r>
        <w:rPr>
          <w:rFonts w:ascii="Arial" w:cs="Arial" w:eastAsia="Arial" w:hAnsi="Arial"/>
          <w:sz w:val="20"/>
          <w:szCs w:val="20"/>
          <w:u w:val="single" w:color="auto"/>
          <w:color w:val="467886"/>
        </w:rPr>
        <w:t>www.avadel.com</w:t>
      </w:r>
      <w:r>
        <w:rPr>
          <w:rFonts w:ascii="Arial" w:cs="Arial" w:eastAsia="Arial" w:hAnsi="Arial"/>
          <w:sz w:val="20"/>
          <w:szCs w:val="20"/>
          <w:color w:val="auto"/>
        </w:rPr>
        <w:t xml:space="preserve"> and on Alkermes’ website at </w:t>
      </w:r>
      <w:r>
        <w:rPr>
          <w:rFonts w:ascii="Arial" w:cs="Arial" w:eastAsia="Arial" w:hAnsi="Arial"/>
          <w:sz w:val="20"/>
          <w:szCs w:val="20"/>
          <w:u w:val="single" w:color="auto"/>
          <w:color w:val="467886"/>
        </w:rPr>
        <w:t>www.alkermes.com</w:t>
      </w:r>
      <w:r>
        <w:rPr>
          <w:rFonts w:ascii="Arial" w:cs="Arial" w:eastAsia="Arial" w:hAnsi="Arial"/>
          <w:sz w:val="20"/>
          <w:szCs w:val="20"/>
          <w:color w:val="auto"/>
        </w:rPr>
        <w:t xml:space="preserve"> by no later than 12:00 noon (U.S. Eastern Time) on the business day following publication of this announcement. Neither the content of any such websites referred to in this announcement nor the content of any other websites accessible from hyperlinks on such websites is incorporated into, or forms part of, this announcement.</w:t>
      </w:r>
    </w:p>
    <w:sectPr>
      <w:pgSz w:w="11900" w:h="16838" w:orient="portrait"/>
      <w:cols w:equalWidth="0" w:num="1">
        <w:col w:w="10920"/>
      </w:cols>
      <w:pgMar w:left="440" w:top="26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lowerRoman"/>
      <w:start w:val="1"/>
    </w:lvl>
  </w:abstractNum>
  <w:abstractNum w:abstractNumId="2">
    <w:nsid w:val="1BA026FA"/>
    <w:multiLevelType w:val="hybridMultilevel"/>
    <w:lvl w:ilvl="0">
      <w:lvlJc w:val="left"/>
      <w:lvlText w:val="(%1)"/>
      <w:numFmt w:val="lowerRoman"/>
      <w:start w:val="1"/>
    </w:lvl>
  </w:abstractNum>
  <w:abstractNum w:abstractNumId="3">
    <w:nsid w:val="79A1DEAA"/>
    <w:multiLevelType w:val="hybridMultilevel"/>
    <w:lvl w:ilvl="0">
      <w:lvlJc w:val="left"/>
      <w:lvlText w:val="(%1)"/>
      <w:numFmt w:val="lowerRoman"/>
      <w:start w:val="2"/>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lowerLetter"/>
      <w:start w:val="2"/>
    </w:lvl>
  </w:abstractNum>
  <w:abstractNum w:abstractNumId="6">
    <w:nsid w:val="70C6A529"/>
    <w:multiLevelType w:val="hybridMultilevel"/>
    <w:lvl w:ilvl="0">
      <w:lvlJc w:val="left"/>
      <w:lvlText w:val="(%1)"/>
      <w:numFmt w:val="lowerLetter"/>
      <w:start w:val="1"/>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Roman"/>
      <w:start w:val="2"/>
    </w:lvl>
  </w:abstractNum>
  <w:abstractNum w:abstractNumId="9">
    <w:nsid w:val="4F4EF005"/>
    <w:multiLevelType w:val="hybridMultilevel"/>
    <w:lvl w:ilvl="0">
      <w:lvlJc w:val="left"/>
      <w:lvlText w:val="(%1)"/>
      <w:numFmt w:val="lowerLetter"/>
      <w:start w:val="1"/>
    </w:lvl>
  </w:abstractNum>
  <w:abstractNum w:abstractNumId="10">
    <w:nsid w:val="23F9C13C"/>
    <w:multiLevelType w:val="hybridMultilevel"/>
    <w:lvl w:ilvl="0">
      <w:lvlJc w:val="left"/>
      <w:lvlText w:val="(%1)"/>
      <w:numFmt w:val="lowerRoman"/>
      <w:start w:val="1"/>
    </w:lvl>
  </w:abstractNum>
  <w:abstractNum w:abstractNumId="11">
    <w:nsid w:val="649BB77C"/>
    <w:multiLevelType w:val="hybridMultilevel"/>
    <w:lvl w:ilvl="0">
      <w:lvlJc w:val="left"/>
      <w:lvlText w:val="(%1)"/>
      <w:numFmt w:val="lowerRoman"/>
      <w:start w:val="3"/>
    </w:lvl>
  </w:abstractNum>
  <w:abstractNum w:abstractNumId="12">
    <w:nsid w:val="275AC794"/>
    <w:multiLevelType w:val="hybridMultilevel"/>
    <w:lvl w:ilvl="0">
      <w:lvlJc w:val="left"/>
      <w:lvlText w:val="(%1)"/>
      <w:numFmt w:val="lowerLetter"/>
      <w:start w:val="2"/>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1)"/>
      <w:numFmt w:val="lowerLetter"/>
      <w:start w:val="25"/>
    </w:lvl>
  </w:abstractNum>
  <w:abstractNum w:abstractNumId="15">
    <w:nsid w:val="180115BE"/>
    <w:multiLevelType w:val="hybridMultilevel"/>
    <w:lvl w:ilvl="0">
      <w:lvlJc w:val="left"/>
      <w:lvlText w:val="(%1)"/>
      <w:numFmt w:val="upperLetter"/>
      <w:start w:val="1"/>
    </w:lvl>
  </w:abstractNum>
  <w:abstractNum w:abstractNumId="16">
    <w:nsid w:val="235BA861"/>
    <w:multiLevelType w:val="hybridMultilevel"/>
    <w:lvl w:ilvl="0">
      <w:lvlJc w:val="left"/>
      <w:lvlText w:val="(%1)"/>
      <w:numFmt w:val="lowerRoman"/>
      <w:start w:val="13"/>
    </w:lvl>
  </w:abstractNum>
  <w:abstractNum w:abstractNumId="17">
    <w:nsid w:val="47398C89"/>
    <w:multiLevelType w:val="hybridMultilevel"/>
    <w:lvl w:ilvl="0">
      <w:lvlJc w:val="left"/>
      <w:lvlText w:val="(%1)"/>
      <w:numFmt w:val="lowerRoman"/>
      <w:start w:val="14"/>
    </w:lvl>
  </w:abstractNum>
  <w:abstractNum w:abstractNumId="18">
    <w:nsid w:val="354FE9F9"/>
    <w:multiLevelType w:val="hybridMultilevel"/>
    <w:lvl w:ilvl="0">
      <w:lvlJc w:val="left"/>
      <w:lvlText w:val="(%1)"/>
      <w:numFmt w:val="lowerLetter"/>
      <w:start w:val="25"/>
    </w:lvl>
  </w:abstractNum>
  <w:abstractNum w:abstractNumId="19">
    <w:nsid w:val="15B5AF5C"/>
    <w:multiLevelType w:val="hybridMultilevel"/>
    <w:lvl w:ilvl="0">
      <w:lvlJc w:val="left"/>
      <w:lvlText w:val="(%1)"/>
      <w:numFmt w:val="lowerLetter"/>
      <w:start w:val="4"/>
    </w:lvl>
  </w:abstractNum>
  <w:abstractNum w:abstractNumId="20">
    <w:nsid w:val="741226BB"/>
    <w:multiLevelType w:val="hybridMultilevel"/>
    <w:lvl w:ilvl="0">
      <w:lvlJc w:val="left"/>
      <w:lvlText w:val="(%1)"/>
      <w:numFmt w:val="lowerRoman"/>
      <w:start w:val="1"/>
    </w:lvl>
  </w:abstractNum>
  <w:abstractNum w:abstractNumId="21">
    <w:nsid w:val="D34B6A8"/>
    <w:multiLevelType w:val="hybridMultilevel"/>
    <w:lvl w:ilvl="0">
      <w:lvlJc w:val="left"/>
      <w:lvlText w:val="(%1)"/>
      <w:numFmt w:val="lowerRoman"/>
      <w:start w:val="1"/>
    </w:lvl>
  </w:abstractNum>
  <w:abstractNum w:abstractNumId="22">
    <w:nsid w:val="10233C99"/>
    <w:multiLevelType w:val="hybridMultilevel"/>
    <w:lvl w:ilvl="0">
      <w:lvlJc w:val="left"/>
      <w:lvlText w:val="(%1)"/>
      <w:numFmt w:val="lowerLetter"/>
      <w:start w:val="1"/>
    </w:lvl>
  </w:abstractNum>
  <w:abstractNum w:abstractNumId="23">
    <w:nsid w:val="3F6AB60F"/>
    <w:multiLevelType w:val="hybridMultilevel"/>
    <w:lvl w:ilvl="0">
      <w:lvlJc w:val="left"/>
      <w:lvlText w:val="(%1)"/>
      <w:numFmt w:val="lowerRoman"/>
      <w:start w:val="1"/>
    </w:lvl>
  </w:abstractNum>
  <w:abstractNum w:abstractNumId="24">
    <w:nsid w:val="61574095"/>
    <w:multiLevelType w:val="hybridMultilevel"/>
    <w:lvl w:ilvl="0">
      <w:lvlJc w:val="left"/>
      <w:lvlText w:val="(%1)"/>
      <w:numFmt w:val="lowerRoman"/>
      <w:start w:val="4"/>
    </w:lvl>
  </w:abstractNum>
  <w:abstractNum w:abstractNumId="25">
    <w:nsid w:val="7E0C57B1"/>
    <w:multiLevelType w:val="hybridMultilevel"/>
    <w:lvl w:ilvl="0">
      <w:lvlJc w:val="left"/>
      <w:lvlText w:val="(%1)"/>
      <w:numFmt w:val="lowerRoman"/>
      <w:start w:val="14"/>
    </w:lvl>
  </w:abstractNum>
  <w:abstractNum w:abstractNumId="26">
    <w:nsid w:val="77AE35EB"/>
    <w:multiLevelType w:val="hybridMultilevel"/>
    <w:lvl w:ilvl="0">
      <w:lvlJc w:val="left"/>
      <w:lvlText w:val="(%1)"/>
      <w:numFmt w:val="lowerLetter"/>
      <w:start w:val="35"/>
    </w:lvl>
  </w:abstractNum>
  <w:abstractNum w:abstractNumId="27">
    <w:nsid w:val="579BE4F1"/>
    <w:multiLevelType w:val="hybridMultilevel"/>
    <w:lvl w:ilvl="0">
      <w:lvlJc w:val="left"/>
      <w:lvlText w:val="(%1)"/>
      <w:numFmt w:val="lowerLetter"/>
      <w:start w:val="4"/>
    </w:lvl>
  </w:abstractNum>
  <w:abstractNum w:abstractNumId="28">
    <w:nsid w:val="310C50B3"/>
    <w:multiLevelType w:val="hybridMultilevel"/>
    <w:lvl w:ilvl="0">
      <w:lvlJc w:val="left"/>
      <w:lvlText w:val="(%1)"/>
      <w:numFmt w:val="lowerLetter"/>
      <w:start w:val="2"/>
    </w:lvl>
  </w:abstractNum>
  <w:abstractNum w:abstractNumId="29">
    <w:nsid w:val="5FF87E05"/>
    <w:multiLevelType w:val="hybridMultilevel"/>
    <w:lvl w:ilvl="0">
      <w:lvlJc w:val="left"/>
      <w:lvlText w:val="(%1)"/>
      <w:numFmt w:val="lowerLetter"/>
      <w:start w:val="23"/>
    </w:lvl>
  </w:abstractNum>
  <w:abstractNum w:abstractNumId="30">
    <w:nsid w:val="2F305DEF"/>
    <w:multiLevelType w:val="hybridMultilevel"/>
    <w:lvl w:ilvl="0">
      <w:lvlJc w:val="left"/>
      <w:lvlText w:val="(%1)"/>
      <w:numFmt w:val="lowerLetter"/>
      <w:start w:val="5"/>
    </w:lvl>
  </w:abstractNum>
  <w:abstractNum w:abstractNumId="31">
    <w:nsid w:val="25A70BF7"/>
    <w:multiLevelType w:val="hybridMultilevel"/>
    <w:lvl w:ilvl="0">
      <w:lvlJc w:val="left"/>
      <w:lvlText w:val="(%1)"/>
      <w:numFmt w:val="lowerLetter"/>
      <w:start w:val="3"/>
    </w:lvl>
  </w:abstractNum>
  <w:abstractNum w:abstractNumId="32">
    <w:nsid w:val="1DBABF00"/>
    <w:multiLevelType w:val="hybridMultilevel"/>
    <w:lvl w:ilvl="0">
      <w:lvlJc w:val="left"/>
      <w:lvlText w:val="(%1)"/>
      <w:numFmt w:val="lowerRoman"/>
      <w:start w:val="10"/>
    </w:lvl>
  </w:abstractNum>
  <w:abstractNum w:abstractNumId="33">
    <w:nsid w:val="4AD084E9"/>
    <w:multiLevelType w:val="hybridMultilevel"/>
    <w:lvl w:ilvl="0">
      <w:lvlJc w:val="left"/>
      <w:lvlText w:val="(%1)"/>
      <w:numFmt w:val="lowerLetter"/>
      <w:start w:val="25"/>
    </w:lvl>
  </w:abstractNum>
  <w:abstractNum w:abstractNumId="34">
    <w:nsid w:val="1F48EAA1"/>
    <w:multiLevelType w:val="hybridMultilevel"/>
    <w:lvl w:ilvl="0">
      <w:lvlJc w:val="left"/>
      <w:lvlText w:val="(%1)"/>
      <w:numFmt w:val="lowerRoman"/>
      <w:start w:val="7"/>
    </w:lvl>
  </w:abstractNum>
  <w:abstractNum w:abstractNumId="35">
    <w:nsid w:val="1381823A"/>
    <w:multiLevelType w:val="hybridMultilevel"/>
    <w:lvl w:ilvl="0">
      <w:lvlJc w:val="left"/>
      <w:lvlText w:val="(%1)"/>
      <w:numFmt w:val="lowerRoman"/>
      <w:start w:val="2"/>
    </w:lvl>
  </w:abstractNum>
  <w:abstractNum w:abstractNumId="36">
    <w:nsid w:val="5DB70AE5"/>
    <w:multiLevelType w:val="hybridMultilevel"/>
    <w:lvl w:ilvl="0">
      <w:lvlJc w:val="left"/>
      <w:lvlText w:val="(%1)"/>
      <w:numFmt w:val="upperLetter"/>
      <w:start w:val="1"/>
    </w:lvl>
  </w:abstractNum>
  <w:abstractNum w:abstractNumId="37">
    <w:nsid w:val="100F8FCA"/>
    <w:multiLevelType w:val="hybridMultilevel"/>
    <w:lvl w:ilvl="0">
      <w:lvlJc w:val="left"/>
      <w:lvlText w:val="(%1)"/>
      <w:numFmt w:val="lowerLetter"/>
      <w:start w:val="3"/>
    </w:lvl>
  </w:abstractNum>
  <w:abstractNum w:abstractNumId="38">
    <w:nsid w:val="6590700B"/>
    <w:multiLevelType w:val="hybridMultilevel"/>
    <w:lvl w:ilvl="0">
      <w:lvlJc w:val="left"/>
      <w:lvlText w:val="(%1)"/>
      <w:numFmt w:val="lowerLetter"/>
      <w:start w:val="7"/>
    </w:lvl>
  </w:abstractNum>
  <w:abstractNum w:abstractNumId="39">
    <w:nsid w:val="15014ACB"/>
    <w:multiLevelType w:val="hybridMultilevel"/>
    <w:lvl w:ilvl="0">
      <w:lvlJc w:val="left"/>
      <w:lvlText w:val="(%1)"/>
      <w:numFmt w:val="lowerLetter"/>
      <w:start w:val="3"/>
    </w:lvl>
  </w:abstractNum>
  <w:abstractNum w:abstractNumId="40">
    <w:nsid w:val="5F5E7FD0"/>
    <w:multiLevelType w:val="hybridMultilevel"/>
    <w:lvl w:ilvl="0">
      <w:lvlJc w:val="left"/>
      <w:lvlText w:val="(%1)"/>
      <w:numFmt w:val="lowerRoman"/>
      <w:start w:val="2"/>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4"/>
    </w:lvl>
  </w:abstractNum>
  <w:abstractNum w:abstractNumId="44">
    <w:nsid w:val="42C296BD"/>
    <w:multiLevelType w:val="hybridMultilevel"/>
    <w:lvl w:ilvl="0">
      <w:lvlJc w:val="left"/>
      <w:lvlText w:val="(%1)"/>
      <w:numFmt w:val="lowerRoman"/>
      <w:start w:val="3"/>
    </w:lvl>
  </w:abstractNum>
  <w:abstractNum w:abstractNumId="45">
    <w:nsid w:val="168E121F"/>
    <w:multiLevelType w:val="hybridMultilevel"/>
    <w:lvl w:ilvl="0">
      <w:lvlJc w:val="left"/>
      <w:lvlText w:val="(%1)"/>
      <w:numFmt w:val="lowerRoman"/>
      <w:start w:val="1"/>
    </w:lvl>
  </w:abstractNum>
  <w:abstractNum w:abstractNumId="46">
    <w:nsid w:val="1EBA5D23"/>
    <w:multiLevelType w:val="hybridMultilevel"/>
    <w:lvl w:ilvl="0">
      <w:lvlJc w:val="left"/>
      <w:lvlText w:val="(%1)"/>
      <w:numFmt w:val="lowerRoman"/>
      <w:start w:val="2"/>
    </w:lvl>
  </w:abstractNum>
  <w:abstractNum w:abstractNumId="47">
    <w:nsid w:val="661E3F1E"/>
    <w:multiLevelType w:val="hybridMultilevel"/>
    <w:lvl w:ilvl="0">
      <w:lvlJc w:val="left"/>
      <w:lvlText w:val="(%1)"/>
      <w:numFmt w:val="lowerRoman"/>
      <w:start w:val="3"/>
    </w:lvl>
  </w:abstractNum>
  <w:abstractNum w:abstractNumId="48">
    <w:nsid w:val="5DC79EA8"/>
    <w:multiLevelType w:val="hybridMultilevel"/>
    <w:lvl w:ilvl="0">
      <w:lvlJc w:val="left"/>
      <w:lvlText w:val="(%1)"/>
      <w:numFmt w:val="lowerRoman"/>
      <w:start w:val="2"/>
    </w:lvl>
  </w:abstractNum>
  <w:abstractNum w:abstractNumId="49">
    <w:nsid w:val="540A471C"/>
    <w:multiLevelType w:val="hybridMultilevel"/>
    <w:lvl w:ilvl="0">
      <w:lvlJc w:val="left"/>
      <w:lvlText w:val="(%1)"/>
      <w:numFmt w:val="lowerRoman"/>
      <w:start w:val="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lowerRoman"/>
      <w:start w:val="3"/>
    </w:lvl>
  </w:abstractNum>
  <w:abstractNum w:abstractNumId="52">
    <w:nsid w:val="613EFDC5"/>
    <w:multiLevelType w:val="hybridMultilevel"/>
    <w:lvl w:ilvl="0">
      <w:lvlJc w:val="left"/>
      <w:lvlText w:val="(%1)"/>
      <w:numFmt w:val="lowerRoman"/>
      <w:start w:val="2"/>
    </w:lvl>
  </w:abstractNum>
  <w:abstractNum w:abstractNumId="53">
    <w:nsid w:val="BF72B14"/>
    <w:multiLevelType w:val="hybridMultilevel"/>
    <w:lvl w:ilvl="0">
      <w:lvlJc w:val="left"/>
      <w:lvlText w:val="(%1)"/>
      <w:numFmt w:val="upperLetter"/>
      <w:start w:val="1"/>
    </w:lvl>
  </w:abstractNum>
  <w:abstractNum w:abstractNumId="54">
    <w:nsid w:val="11447B73"/>
    <w:multiLevelType w:val="hybridMultilevel"/>
    <w:lvl w:ilvl="0">
      <w:lvlJc w:val="left"/>
      <w:lvlText w:val="(%1)"/>
      <w:numFmt w:val="upperLetter"/>
      <w:start w:val="2"/>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upperLetter"/>
      <w:start w:val="5"/>
    </w:lvl>
  </w:abstractNum>
  <w:abstractNum w:abstractNumId="57">
    <w:nsid w:val="8F2B15E"/>
    <w:multiLevelType w:val="hybridMultilevel"/>
    <w:lvl w:ilvl="0">
      <w:lvlJc w:val="left"/>
      <w:lvlText w:val="(%1)"/>
      <w:numFmt w:val="decimal"/>
      <w:start w:val="5"/>
    </w:lvl>
  </w:abstractNum>
  <w:abstractNum w:abstractNumId="58">
    <w:nsid w:val="1A32234B"/>
    <w:multiLevelType w:val="hybridMultilevel"/>
    <w:lvl w:ilvl="0">
      <w:lvlJc w:val="left"/>
      <w:lvlText w:val="(%1)"/>
      <w:numFmt w:val="lowerLetter"/>
      <w:start w:val="26"/>
    </w:lvl>
  </w:abstractNum>
  <w:abstractNum w:abstractNumId="59">
    <w:nsid w:val="3B0FD379"/>
    <w:multiLevelType w:val="hybridMultilevel"/>
    <w:lvl w:ilvl="0">
      <w:lvlJc w:val="left"/>
      <w:lvlText w:val="(%1)"/>
      <w:numFmt w:val="lowerRoman"/>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1)"/>
      <w:numFmt w:val="upperLetter"/>
      <w:start w:val="2"/>
    </w:lvl>
  </w:abstractNum>
  <w:abstractNum w:abstractNumId="62">
    <w:nsid w:val="60B6DF70"/>
    <w:multiLevelType w:val="hybridMultilevel"/>
    <w:lvl w:ilvl="0">
      <w:lvlJc w:val="left"/>
      <w:lvlText w:val="(%1)"/>
      <w:numFmt w:val="upperLetter"/>
      <w:start w:val="2"/>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Roman"/>
      <w:start w:val="2"/>
    </w:lvl>
  </w:abstractNum>
  <w:abstractNum w:abstractNumId="65">
    <w:nsid w:val="7FFFCA11"/>
    <w:multiLevelType w:val="hybridMultilevel"/>
    <w:lvl w:ilvl="0">
      <w:lvlJc w:val="left"/>
      <w:lvlText w:val="(%1)"/>
      <w:numFmt w:val="upperLetter"/>
      <w:start w:val="35"/>
    </w:lvl>
  </w:abstractNum>
  <w:abstractNum w:abstractNumId="66">
    <w:nsid w:val="1A27709E"/>
    <w:multiLevelType w:val="hybridMultilevel"/>
    <w:lvl w:ilvl="0">
      <w:lvlJc w:val="left"/>
      <w:lvlText w:val="(%1)"/>
      <w:numFmt w:val="lowerRoman"/>
      <w:start w:val="2"/>
    </w:lvl>
  </w:abstractNum>
  <w:abstractNum w:abstractNumId="67">
    <w:nsid w:val="71EA1109"/>
    <w:multiLevelType w:val="hybridMultilevel"/>
    <w:lvl w:ilvl="0">
      <w:lvlJc w:val="left"/>
      <w:lvlText w:val="(%1)"/>
      <w:numFmt w:val="lowerRoman"/>
      <w:start w:val="1"/>
    </w:lvl>
  </w:abstractNum>
  <w:abstractNum w:abstractNumId="68">
    <w:nsid w:val="100F59DC"/>
    <w:multiLevelType w:val="hybridMultilevel"/>
    <w:lvl w:ilvl="0">
      <w:lvlJc w:val="left"/>
      <w:lvlText w:val="(%1)"/>
      <w:numFmt w:val="lowerRoman"/>
      <w:start w:val="3"/>
    </w:lvl>
  </w:abstractNum>
  <w:abstractNum w:abstractNumId="69">
    <w:nsid w:val="7FB7E0AA"/>
    <w:multiLevelType w:val="hybridMultilevel"/>
    <w:lvl w:ilvl="0">
      <w:lvlJc w:val="left"/>
      <w:lvlText w:val="(%1)"/>
      <w:numFmt w:val="lowerLetter"/>
      <w:start w:val="25"/>
    </w:lvl>
  </w:abstractNum>
  <w:abstractNum w:abstractNumId="70">
    <w:nsid w:val="6EB5BD4"/>
    <w:multiLevelType w:val="hybridMultilevel"/>
    <w:lvl w:ilvl="0">
      <w:lvlJc w:val="left"/>
      <w:lvlText w:val="(%1)"/>
      <w:numFmt w:val="lowerRoman"/>
      <w:start w:val="1"/>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lowerLetter"/>
      <w:start w:val="15"/>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upperLetter"/>
      <w:start w:val="13"/>
    </w:lvl>
  </w:abstractNum>
  <w:abstractNum w:abstractNumId="75">
    <w:nsid w:val="4C04A8AF"/>
    <w:multiLevelType w:val="hybridMultilevel"/>
    <w:lvl w:ilvl="0">
      <w:lvlJc w:val="left"/>
      <w:lvlText w:val="(%1)"/>
      <w:numFmt w:val="upperLetter"/>
      <w:start w:val="1"/>
    </w:lvl>
  </w:abstractNum>
  <w:abstractNum w:abstractNumId="76">
    <w:nsid w:val="1716703B"/>
    <w:multiLevelType w:val="hybridMultilevel"/>
    <w:lvl w:ilvl="0">
      <w:lvlJc w:val="left"/>
      <w:lvlText w:val="(%1)"/>
      <w:numFmt w:val="lowerRoman"/>
      <w:start w:val="3"/>
    </w:lvl>
  </w:abstractNum>
  <w:abstractNum w:abstractNumId="77">
    <w:nsid w:val="14E17E33"/>
    <w:multiLevelType w:val="hybridMultilevel"/>
    <w:lvl w:ilvl="0">
      <w:lvlJc w:val="left"/>
      <w:lvlText w:val="(%1)"/>
      <w:numFmt w:val="lowerRoman"/>
      <w:start w:val="2"/>
    </w:lvl>
  </w:abstractNum>
  <w:abstractNum w:abstractNumId="78">
    <w:nsid w:val="3222E7CD"/>
    <w:multiLevelType w:val="hybridMultilevel"/>
    <w:lvl w:ilvl="0">
      <w:lvlJc w:val="left"/>
      <w:lvlText w:val="(%1)"/>
      <w:numFmt w:val="lowerRoman"/>
      <w:start w:val="6"/>
    </w:lvl>
  </w:abstractNum>
  <w:abstractNum w:abstractNumId="79">
    <w:nsid w:val="74DE0EE3"/>
    <w:multiLevelType w:val="hybridMultilevel"/>
    <w:lvl w:ilvl="0">
      <w:lvlJc w:val="left"/>
      <w:lvlText w:val="(%1)"/>
      <w:numFmt w:val="lowerRoman"/>
      <w:start w:val="2"/>
    </w:lvl>
  </w:abstractNum>
  <w:abstractNum w:abstractNumId="80">
    <w:nsid w:val="68EBC550"/>
    <w:multiLevelType w:val="hybridMultilevel"/>
    <w:lvl w:ilvl="0">
      <w:lvlJc w:val="left"/>
      <w:lvlText w:val="(%1)"/>
      <w:numFmt w:val="lowerRoman"/>
      <w:start w:val="2"/>
    </w:lvl>
  </w:abstractNum>
  <w:abstractNum w:abstractNumId="81">
    <w:nsid w:val="2DF6D648"/>
    <w:multiLevelType w:val="hybridMultilevel"/>
    <w:lvl w:ilvl="0">
      <w:lvlJc w:val="left"/>
      <w:lvlText w:val="(%1)"/>
      <w:numFmt w:val="lowerRoman"/>
      <w:start w:val="2"/>
    </w:lvl>
  </w:abstractNum>
  <w:abstractNum w:abstractNumId="82">
    <w:nsid w:val="46B7D447"/>
    <w:multiLevelType w:val="hybridMultilevel"/>
    <w:lvl w:ilvl="0">
      <w:lvlJc w:val="left"/>
      <w:lvlText w:val="(%1)"/>
      <w:numFmt w:val="lowerRoman"/>
      <w:start w:val="2"/>
    </w:lvl>
  </w:abstractNum>
  <w:abstractNum w:abstractNumId="83">
    <w:nsid w:val="4A2AC315"/>
    <w:multiLevelType w:val="hybridMultilevel"/>
    <w:lvl w:ilvl="0">
      <w:lvlJc w:val="left"/>
      <w:lvlText w:val="(%1)"/>
      <w:numFmt w:val="lowerLetter"/>
      <w:start w:val="2"/>
    </w:lvl>
  </w:abstractNum>
  <w:abstractNum w:abstractNumId="84">
    <w:nsid w:val="39EE015C"/>
    <w:multiLevelType w:val="hybridMultilevel"/>
    <w:lvl w:ilvl="0">
      <w:lvlJc w:val="left"/>
      <w:lvlText w:val=" "/>
      <w:numFmt w:val="bullet"/>
      <w:start w:val="1"/>
    </w:lvl>
  </w:abstractNum>
  <w:abstractNum w:abstractNumId="85">
    <w:nsid w:val="57FC4FBB"/>
    <w:multiLevelType w:val="hybridMultilevel"/>
    <w:lvl w:ilvl="0">
      <w:lvlJc w:val="left"/>
      <w:lvlText w:val=" "/>
      <w:numFmt w:val="bullet"/>
      <w:start w:val="1"/>
    </w:lvl>
  </w:abstractNum>
  <w:abstractNum w:abstractNumId="86">
    <w:nsid w:val="CC1016F"/>
    <w:multiLevelType w:val="hybridMultilevel"/>
    <w:lvl w:ilvl="0">
      <w:lvlJc w:val="left"/>
      <w:lvlText w:val=" "/>
      <w:numFmt w:val="bullet"/>
      <w:start w:val="1"/>
    </w:lvl>
  </w:abstractNum>
  <w:abstractNum w:abstractNumId="87">
    <w:nsid w:val="43F18422"/>
    <w:multiLevelType w:val="hybridMultilevel"/>
    <w:lvl w:ilvl="0">
      <w:lvlJc w:val="left"/>
      <w:lvlText w:val="(%1)"/>
      <w:numFmt w:val="lowerRoman"/>
      <w:start w:val="10"/>
    </w:lvl>
  </w:abstractNum>
  <w:abstractNum w:abstractNumId="88">
    <w:nsid w:val="60EF0119"/>
    <w:multiLevelType w:val="hybridMultilevel"/>
    <w:lvl w:ilvl="0">
      <w:lvlJc w:val="left"/>
      <w:lvlText w:val="(%1)"/>
      <w:numFmt w:val="lowerRoman"/>
      <w:start w:val="2"/>
    </w:lvl>
  </w:abstractNum>
  <w:abstractNum w:abstractNumId="89">
    <w:nsid w:val="26F324BA"/>
    <w:multiLevelType w:val="hybridMultilevel"/>
    <w:lvl w:ilvl="0">
      <w:lvlJc w:val="left"/>
      <w:lvlText w:val="(%1)"/>
      <w:numFmt w:val="lowerRoman"/>
      <w:start w:val="1"/>
    </w:lvl>
  </w:abstractNum>
  <w:abstractNum w:abstractNumId="90">
    <w:nsid w:val="7F01579B"/>
    <w:multiLevelType w:val="hybridMultilevel"/>
    <w:lvl w:ilvl="0">
      <w:lvlJc w:val="left"/>
      <w:lvlText w:val="(%1)"/>
      <w:numFmt w:val="lowerRoman"/>
      <w:start w:val="1"/>
    </w:lvl>
  </w:abstractNum>
  <w:abstractNum w:abstractNumId="91">
    <w:nsid w:val="49DA307D"/>
    <w:multiLevelType w:val="hybridMultilevel"/>
    <w:lvl w:ilvl="0">
      <w:lvlJc w:val="left"/>
      <w:lvlText w:val="(%1)"/>
      <w:numFmt w:val="lowerRoman"/>
      <w:start w:val="3"/>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25"/>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1)"/>
      <w:numFmt w:val="lowerRoman"/>
      <w:start w:val="5"/>
    </w:lvl>
  </w:abstractNum>
  <w:abstractNum w:abstractNumId="96">
    <w:nsid w:val="5FB8011C"/>
    <w:multiLevelType w:val="hybridMultilevel"/>
    <w:lvl w:ilvl="0">
      <w:lvlJc w:val="left"/>
      <w:lvlText w:val="(%1)"/>
      <w:numFmt w:val="lowerRoman"/>
      <w:start w:val="1"/>
    </w:lvl>
  </w:abstractNum>
  <w:abstractNum w:abstractNumId="97">
    <w:nsid w:val="6AA78F7F"/>
    <w:multiLevelType w:val="hybridMultilevel"/>
    <w:lvl w:ilvl="0">
      <w:lvlJc w:val="left"/>
      <w:lvlText w:val="\emdash "/>
      <w:numFmt w:val="bullet"/>
      <w:start w:val="1"/>
    </w:lvl>
    <w:lvl w:ilvl="1">
      <w:lvlJc w:val="left"/>
      <w:lvlText w:val="\emdash "/>
      <w:numFmt w:val="bullet"/>
      <w:start w:val="1"/>
    </w:lvl>
  </w:abstractNum>
  <w:abstractNum w:abstractNumId="98">
    <w:nsid w:val="7672BD23"/>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12" Type="http://schemas.openxmlformats.org/officeDocument/2006/relationships/hyperlink" Target="http://www.sec.gov/Archives/edgar/data/1520262/000119312525245852/d946576dex21.htm" TargetMode="External"/><Relationship Id="rId13" Type="http://schemas.openxmlformats.org/officeDocument/2006/relationships/hyperlink" Target="http://www.sec.gov/Archives/edgar/data/1520262/000119312525286909/d858713dex21.htm" TargetMode="External"/><Relationship Id="rId15" Type="http://schemas.openxmlformats.org/officeDocument/2006/relationships/hyperlink" Target="http://www.sec.gov/Archives/edgar/data/1520262/000119312525245852/d946576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2026-02-12T06:42:54Z</dcterms:created>
  <dcterms:modified xsi:type="dcterms:W3CDTF">2026-02-12T06:42:54Z</dcterms:modified>
</cp:coreProperties>
</file>