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80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8002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Cooke Shane</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7"/>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Alkermes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ALKS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top w:val="single" w:sz="8" w:color="2C2C2C"/>
            </w:tcBorders>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2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gridSpan w:val="9"/>
            <w:vMerge w:val="continue"/>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7"/>
                <w:szCs w:val="17"/>
                <w:color w:val="0000FF"/>
              </w:rPr>
              <w:t>05/20/2026</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CONNAUGHT HOUSE</w:t>
            </w:r>
          </w:p>
        </w:tc>
        <w:tc>
          <w:tcPr>
            <w:tcW w:w="110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 BURLINGTON ROAD</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DUBLIN</w:t>
            </w:r>
          </w:p>
        </w:tc>
        <w:tc>
          <w:tcPr>
            <w:tcW w:w="460" w:type="dxa"/>
            <w:vAlign w:val="bottom"/>
          </w:tcPr>
          <w:p>
            <w:pPr>
              <w:spacing w:after="0"/>
              <w:rPr>
                <w:sz w:val="17"/>
                <w:szCs w:val="17"/>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7"/>
                <w:szCs w:val="17"/>
                <w:color w:val="0000FF"/>
                <w:w w:val="95"/>
              </w:rPr>
              <w:t>L2</w:t>
            </w:r>
          </w:p>
        </w:tc>
        <w:tc>
          <w:tcPr>
            <w:tcW w:w="102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4 Ireland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gridSpan w:val="2"/>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gridSpan w:val="2"/>
          </w:tcPr>
          <w:p>
            <w:pPr>
              <w:jc w:val="center"/>
              <w:ind w:right="16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36.98</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11,538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4"/>
              </w:rPr>
              <w:t>11,538</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11,538</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gridSpan w:val="3"/>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ind w:left="140"/>
              <w:spacing w:after="0" w:line="78" w:lineRule="exact"/>
              <w:rPr>
                <w:sz w:val="20"/>
                <w:szCs w:val="20"/>
                <w:color w:val="auto"/>
              </w:rPr>
            </w:pPr>
            <w:r>
              <w:rPr>
                <w:rFonts w:ascii="Times New Roman" w:cs="Times New Roman" w:eastAsia="Times New Roman" w:hAnsi="Times New Roman"/>
                <w:sz w:val="8"/>
                <w:szCs w:val="8"/>
                <w:color w:val="0000FF"/>
              </w:rPr>
              <w:t>Shares</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460" w:type="dxa"/>
            <w:vAlign w:val="bottom"/>
            <w:vMerge w:val="restart"/>
          </w:tcPr>
          <w:p>
            <w:pPr>
              <w:jc w:val="right"/>
              <w:ind w:right="2"/>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160" w:type="dxa"/>
            <w:vAlign w:val="bottom"/>
          </w:tcPr>
          <w:p>
            <w:pPr>
              <w:spacing w:after="0"/>
              <w:rPr>
                <w:sz w:val="15"/>
                <w:szCs w:val="15"/>
                <w:color w:val="auto"/>
              </w:rPr>
            </w:pPr>
          </w:p>
        </w:tc>
        <w:tc>
          <w:tcPr>
            <w:tcW w:w="5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5,409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5,409</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5,409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Award</w:t>
            </w: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-2635250</wp:posOffset>
            </wp:positionV>
            <wp:extent cx="29210" cy="2640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403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7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award vest (and if applicable, become exercisable) in full on the earlier of the one-year anniversary of the date of grant or the date of the issuer's next annual general meeting of shareholders that occurs at least 50 weeks after the date of grant.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reflect the vesting terms applicable to this award, which were reported incorrectly on the original Form 4. The correct vesting schedule is set forth in Footnote 1 above.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ordinary share.</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Shantale Greenson,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55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Shane</w:t>
      </w:r>
      <w:r>
        <w:rPr>
          <w:sz w:val="20"/>
          <w:szCs w:val="20"/>
          <w:color w:val="auto"/>
        </w:rPr>
        <w:tab/>
      </w:r>
      <w:r>
        <w:rPr>
          <w:rFonts w:ascii="Times New Roman" w:cs="Times New Roman" w:eastAsia="Times New Roman" w:hAnsi="Times New Roman"/>
          <w:sz w:val="16"/>
          <w:szCs w:val="16"/>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78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813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4823" TargetMode="External"/><Relationship Id="rId14" Type="http://schemas.openxmlformats.org/officeDocument/2006/relationships/hyperlink" Target="http://www.sec.gov/cgi-bin/browse-edgar?action=getcompany&amp;CIK=0001520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2026-05-22T18:59:12Z</dcterms:created>
  <dcterms:modified xsi:type="dcterms:W3CDTF">2026-05-22T18:59:12Z</dcterms:modified>
</cp:coreProperties>
</file>