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1431290</wp:posOffset>
            </wp:positionH>
            <wp:positionV relativeFrom="page">
              <wp:posOffset>869950</wp:posOffset>
            </wp:positionV>
            <wp:extent cx="4686300"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86300" cy="1524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EXCHANGE ACT OF 1934</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May 5, 2026</w:t>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ALKERMES PUBLIC LIMITED COMPANY</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74" w:lineRule="exact"/>
        <w:rPr>
          <w:sz w:val="24"/>
          <w:szCs w:val="24"/>
          <w:color w:val="auto"/>
        </w:rPr>
      </w:pPr>
    </w:p>
    <w:tbl>
      <w:tblPr>
        <w:tblLayout w:type="fixed"/>
        <w:tblInd w:w="1020" w:type="dxa"/>
        <w:tblCellMar>
          <w:top w:w="0" w:type="dxa"/>
          <w:left w:w="0" w:type="dxa"/>
          <w:bottom w:w="0" w:type="dxa"/>
          <w:right w:w="0" w:type="dxa"/>
        </w:tblCellMar>
      </w:tblPr>
      <w:tr>
        <w:trPr>
          <w:trHeight w:val="191"/>
        </w:trPr>
        <w:tc>
          <w:tcPr>
            <w:tcW w:w="2340" w:type="dxa"/>
            <w:vAlign w:val="bottom"/>
          </w:tcPr>
          <w:p>
            <w:pPr>
              <w:jc w:val="center"/>
              <w:ind w:right="601"/>
              <w:spacing w:after="0"/>
              <w:rPr>
                <w:sz w:val="20"/>
                <w:szCs w:val="20"/>
                <w:color w:val="auto"/>
              </w:rPr>
            </w:pPr>
            <w:r>
              <w:rPr>
                <w:rFonts w:ascii="Times New Roman" w:cs="Times New Roman" w:eastAsia="Times New Roman" w:hAnsi="Times New Roman"/>
                <w:sz w:val="16"/>
                <w:szCs w:val="16"/>
                <w:b w:val="1"/>
                <w:bCs w:val="1"/>
                <w:color w:val="auto"/>
                <w:w w:val="98"/>
              </w:rPr>
              <w:t>Ireland</w:t>
            </w:r>
          </w:p>
        </w:tc>
        <w:tc>
          <w:tcPr>
            <w:tcW w:w="2320" w:type="dxa"/>
            <w:vAlign w:val="bottom"/>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8"/>
              </w:rPr>
              <w:t>001-35299</w:t>
            </w:r>
          </w:p>
        </w:tc>
        <w:tc>
          <w:tcPr>
            <w:tcW w:w="2000" w:type="dxa"/>
            <w:vAlign w:val="bottom"/>
          </w:tcPr>
          <w:p>
            <w:pPr>
              <w:jc w:val="center"/>
              <w:ind w:left="761"/>
              <w:spacing w:after="0"/>
              <w:rPr>
                <w:sz w:val="20"/>
                <w:szCs w:val="20"/>
                <w:color w:val="auto"/>
              </w:rPr>
            </w:pPr>
            <w:r>
              <w:rPr>
                <w:rFonts w:ascii="Times New Roman" w:cs="Times New Roman" w:eastAsia="Times New Roman" w:hAnsi="Times New Roman"/>
                <w:sz w:val="16"/>
                <w:szCs w:val="16"/>
                <w:b w:val="1"/>
                <w:bCs w:val="1"/>
                <w:color w:val="auto"/>
                <w:w w:val="98"/>
              </w:rPr>
              <w:t>98-1007018</w:t>
            </w:r>
          </w:p>
        </w:tc>
      </w:tr>
      <w:tr>
        <w:trPr>
          <w:trHeight w:val="189"/>
        </w:trPr>
        <w:tc>
          <w:tcPr>
            <w:tcW w:w="2340" w:type="dxa"/>
            <w:vAlign w:val="bottom"/>
          </w:tcPr>
          <w:p>
            <w:pPr>
              <w:jc w:val="center"/>
              <w:ind w:right="601"/>
              <w:spacing w:after="0"/>
              <w:rPr>
                <w:sz w:val="20"/>
                <w:szCs w:val="20"/>
                <w:color w:val="auto"/>
              </w:rPr>
            </w:pPr>
            <w:r>
              <w:rPr>
                <w:rFonts w:ascii="Times New Roman" w:cs="Times New Roman" w:eastAsia="Times New Roman" w:hAnsi="Times New Roman"/>
                <w:sz w:val="16"/>
                <w:szCs w:val="16"/>
                <w:color w:val="auto"/>
                <w:w w:val="98"/>
              </w:rPr>
              <w:t>(State or other jurisdiction</w:t>
            </w:r>
          </w:p>
        </w:tc>
        <w:tc>
          <w:tcPr>
            <w:tcW w:w="2320" w:type="dxa"/>
            <w:vAlign w:val="bottom"/>
          </w:tcPr>
          <w:p>
            <w:pPr>
              <w:jc w:val="center"/>
              <w:ind w:right="81"/>
              <w:spacing w:after="0"/>
              <w:rPr>
                <w:sz w:val="20"/>
                <w:szCs w:val="20"/>
                <w:color w:val="auto"/>
              </w:rPr>
            </w:pPr>
            <w:r>
              <w:rPr>
                <w:rFonts w:ascii="Times New Roman" w:cs="Times New Roman" w:eastAsia="Times New Roman" w:hAnsi="Times New Roman"/>
                <w:sz w:val="16"/>
                <w:szCs w:val="16"/>
                <w:color w:val="auto"/>
                <w:w w:val="97"/>
              </w:rPr>
              <w:t>(Commission</w:t>
            </w:r>
          </w:p>
        </w:tc>
        <w:tc>
          <w:tcPr>
            <w:tcW w:w="2000" w:type="dxa"/>
            <w:vAlign w:val="bottom"/>
          </w:tcPr>
          <w:p>
            <w:pPr>
              <w:jc w:val="center"/>
              <w:ind w:left="761"/>
              <w:spacing w:after="0"/>
              <w:rPr>
                <w:sz w:val="20"/>
                <w:szCs w:val="20"/>
                <w:color w:val="auto"/>
              </w:rPr>
            </w:pPr>
            <w:r>
              <w:rPr>
                <w:rFonts w:ascii="Times New Roman" w:cs="Times New Roman" w:eastAsia="Times New Roman" w:hAnsi="Times New Roman"/>
                <w:sz w:val="16"/>
                <w:szCs w:val="16"/>
                <w:color w:val="auto"/>
                <w:w w:val="98"/>
              </w:rPr>
              <w:t>(IRS Employer</w:t>
            </w:r>
          </w:p>
        </w:tc>
      </w:tr>
      <w:tr>
        <w:trPr>
          <w:trHeight w:val="206"/>
        </w:trPr>
        <w:tc>
          <w:tcPr>
            <w:tcW w:w="2340" w:type="dxa"/>
            <w:vAlign w:val="bottom"/>
          </w:tcPr>
          <w:p>
            <w:pPr>
              <w:jc w:val="center"/>
              <w:ind w:right="581"/>
              <w:spacing w:after="0"/>
              <w:rPr>
                <w:sz w:val="20"/>
                <w:szCs w:val="20"/>
                <w:color w:val="auto"/>
              </w:rPr>
            </w:pPr>
            <w:r>
              <w:rPr>
                <w:rFonts w:ascii="Times New Roman" w:cs="Times New Roman" w:eastAsia="Times New Roman" w:hAnsi="Times New Roman"/>
                <w:sz w:val="16"/>
                <w:szCs w:val="16"/>
                <w:color w:val="auto"/>
                <w:w w:val="99"/>
              </w:rPr>
              <w:t>of incorporation)</w:t>
            </w:r>
          </w:p>
        </w:tc>
        <w:tc>
          <w:tcPr>
            <w:tcW w:w="2320" w:type="dxa"/>
            <w:vAlign w:val="bottom"/>
          </w:tcPr>
          <w:p>
            <w:pPr>
              <w:jc w:val="center"/>
              <w:ind w:right="61"/>
              <w:spacing w:after="0"/>
              <w:rPr>
                <w:sz w:val="20"/>
                <w:szCs w:val="20"/>
                <w:color w:val="auto"/>
              </w:rPr>
            </w:pPr>
            <w:r>
              <w:rPr>
                <w:rFonts w:ascii="Times New Roman" w:cs="Times New Roman" w:eastAsia="Times New Roman" w:hAnsi="Times New Roman"/>
                <w:sz w:val="16"/>
                <w:szCs w:val="16"/>
                <w:color w:val="auto"/>
                <w:w w:val="99"/>
              </w:rPr>
              <w:t>File Number)</w:t>
            </w:r>
          </w:p>
        </w:tc>
        <w:tc>
          <w:tcPr>
            <w:tcW w:w="2000" w:type="dxa"/>
            <w:vAlign w:val="bottom"/>
          </w:tcPr>
          <w:p>
            <w:pPr>
              <w:jc w:val="center"/>
              <w:ind w:left="741"/>
              <w:spacing w:after="0"/>
              <w:rPr>
                <w:sz w:val="20"/>
                <w:szCs w:val="20"/>
                <w:color w:val="auto"/>
              </w:rPr>
            </w:pPr>
            <w:r>
              <w:rPr>
                <w:rFonts w:ascii="Times New Roman" w:cs="Times New Roman" w:eastAsia="Times New Roman" w:hAnsi="Times New Roman"/>
                <w:sz w:val="16"/>
                <w:szCs w:val="16"/>
                <w:color w:val="auto"/>
                <w:w w:val="99"/>
              </w:rPr>
              <w:t>Identification No.)</w:t>
            </w:r>
          </w:p>
        </w:tc>
      </w:tr>
    </w:tbl>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Connaught House, 1 Burlington Road</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Dublin 4, Ireland D04 C5Y6</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+ 353-1-772-8000</w:t>
      </w:r>
    </w:p>
    <w:p>
      <w:pPr>
        <w:spacing w:after="0" w:line="102" w:lineRule="exact"/>
        <w:rPr>
          <w:sz w:val="24"/>
          <w:szCs w:val="24"/>
          <w:color w:val="auto"/>
        </w:rPr>
      </w:pPr>
    </w:p>
    <w:p>
      <w:pPr>
        <w:ind w:left="820" w:right="899"/>
        <w:spacing w:after="0" w:line="276"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6"/>
          <w:szCs w:val="16"/>
          <w:i w:val="1"/>
          <w:iCs w:val="1"/>
          <w:color w:val="auto"/>
        </w:rPr>
        <w:t>see</w:t>
      </w:r>
      <w:r>
        <w:rPr>
          <w:rFonts w:ascii="Times New Roman" w:cs="Times New Roman" w:eastAsia="Times New Roman" w:hAnsi="Times New Roman"/>
          <w:sz w:val="16"/>
          <w:szCs w:val="16"/>
          <w:color w:val="auto"/>
        </w:rPr>
        <w:t xml:space="preserve"> General Instruction A.2. below):</w:t>
      </w:r>
    </w:p>
    <w:p>
      <w:pPr>
        <w:spacing w:after="0" w:line="62" w:lineRule="exact"/>
        <w:rPr>
          <w:sz w:val="24"/>
          <w:szCs w:val="24"/>
          <w:color w:val="auto"/>
        </w:rPr>
      </w:pPr>
    </w:p>
    <w:p>
      <w:pPr>
        <w:ind w:left="1100" w:hanging="286"/>
        <w:spacing w:after="0"/>
        <w:tabs>
          <w:tab w:leader="none" w:pos="11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1" w:lineRule="exact"/>
        <w:rPr>
          <w:rFonts w:ascii="MS PGothic" w:cs="MS PGothic" w:eastAsia="MS PGothic" w:hAnsi="MS PGothic"/>
          <w:sz w:val="16"/>
          <w:szCs w:val="16"/>
          <w:color w:val="auto"/>
        </w:rPr>
      </w:pPr>
    </w:p>
    <w:p>
      <w:pPr>
        <w:ind w:left="1100" w:hanging="286"/>
        <w:spacing w:after="0"/>
        <w:tabs>
          <w:tab w:leader="none" w:pos="11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1" w:lineRule="exact"/>
        <w:rPr>
          <w:rFonts w:ascii="MS PGothic" w:cs="MS PGothic" w:eastAsia="MS PGothic" w:hAnsi="MS PGothic"/>
          <w:sz w:val="16"/>
          <w:szCs w:val="16"/>
          <w:color w:val="auto"/>
        </w:rPr>
      </w:pPr>
    </w:p>
    <w:p>
      <w:pPr>
        <w:ind w:left="1100" w:hanging="286"/>
        <w:spacing w:after="0"/>
        <w:tabs>
          <w:tab w:leader="none" w:pos="110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123" w:lineRule="exact"/>
        <w:rPr>
          <w:rFonts w:ascii="MS PGothic" w:cs="MS PGothic" w:eastAsia="MS PGothic" w:hAnsi="MS PGothic"/>
          <w:sz w:val="15"/>
          <w:szCs w:val="15"/>
          <w:color w:val="auto"/>
        </w:rPr>
      </w:pPr>
    </w:p>
    <w:p>
      <w:pPr>
        <w:ind w:left="1100" w:hanging="286"/>
        <w:spacing w:after="0"/>
        <w:tabs>
          <w:tab w:leader="none" w:pos="110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241"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8" w:lineRule="exact"/>
        <w:rPr>
          <w:sz w:val="24"/>
          <w:szCs w:val="24"/>
          <w:color w:val="auto"/>
        </w:rPr>
      </w:pPr>
    </w:p>
    <w:tbl>
      <w:tblPr>
        <w:tblLayout w:type="fixed"/>
        <w:tblInd w:w="820" w:type="dxa"/>
        <w:tblCellMar>
          <w:top w:w="0" w:type="dxa"/>
          <w:left w:w="0" w:type="dxa"/>
          <w:bottom w:w="0" w:type="dxa"/>
          <w:right w:w="0" w:type="dxa"/>
        </w:tblCellMar>
      </w:tblPr>
      <w:tr>
        <w:trPr>
          <w:trHeight w:val="189"/>
        </w:trPr>
        <w:tc>
          <w:tcPr>
            <w:tcW w:w="2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2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220" w:type="dxa"/>
            <w:vAlign w:val="bottom"/>
          </w:tcPr>
          <w:p>
            <w:pPr>
              <w:spacing w:after="0"/>
              <w:rPr>
                <w:sz w:val="16"/>
                <w:szCs w:val="16"/>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w:t>
            </w:r>
          </w:p>
        </w:tc>
        <w:tc>
          <w:tcPr>
            <w:tcW w:w="0" w:type="dxa"/>
            <w:vAlign w:val="bottom"/>
          </w:tcPr>
          <w:p>
            <w:pPr>
              <w:spacing w:after="0"/>
              <w:rPr>
                <w:sz w:val="1"/>
                <w:szCs w:val="1"/>
                <w:color w:val="auto"/>
              </w:rPr>
            </w:pPr>
          </w:p>
        </w:tc>
      </w:tr>
      <w:tr>
        <w:trPr>
          <w:trHeight w:val="208"/>
        </w:trPr>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registered</w:t>
            </w:r>
          </w:p>
        </w:tc>
        <w:tc>
          <w:tcPr>
            <w:tcW w:w="0" w:type="dxa"/>
            <w:vAlign w:val="bottom"/>
          </w:tcPr>
          <w:p>
            <w:pPr>
              <w:spacing w:after="0"/>
              <w:rPr>
                <w:sz w:val="1"/>
                <w:szCs w:val="1"/>
                <w:color w:val="auto"/>
              </w:rPr>
            </w:pPr>
          </w:p>
        </w:tc>
      </w:tr>
      <w:tr>
        <w:trPr>
          <w:trHeight w:val="35"/>
        </w:trPr>
        <w:tc>
          <w:tcPr>
            <w:tcW w:w="2440" w:type="dxa"/>
            <w:vAlign w:val="bottom"/>
            <w:tcBorders>
              <w:bottom w:val="single" w:sz="8" w:color="auto"/>
            </w:tcBorders>
          </w:tcPr>
          <w:p>
            <w:pPr>
              <w:spacing w:after="0"/>
              <w:rPr>
                <w:sz w:val="3"/>
                <w:szCs w:val="3"/>
                <w:color w:val="auto"/>
              </w:rPr>
            </w:pPr>
          </w:p>
        </w:tc>
        <w:tc>
          <w:tcPr>
            <w:tcW w:w="200" w:type="dxa"/>
            <w:vAlign w:val="bottom"/>
            <w:vMerge w:val="restart"/>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20" w:type="dxa"/>
            <w:vAlign w:val="bottom"/>
            <w:vMerge w:val="restart"/>
          </w:tcPr>
          <w:p>
            <w:pPr>
              <w:spacing w:after="0"/>
              <w:rPr>
                <w:sz w:val="3"/>
                <w:szCs w:val="3"/>
                <w:color w:val="auto"/>
              </w:rPr>
            </w:pPr>
          </w:p>
        </w:tc>
        <w:tc>
          <w:tcPr>
            <w:tcW w:w="3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Ordinary shares, $0.01 par value</w:t>
            </w:r>
          </w:p>
        </w:tc>
        <w:tc>
          <w:tcPr>
            <w:tcW w:w="200" w:type="dxa"/>
            <w:vAlign w:val="bottom"/>
            <w:vMerge w:val="continue"/>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ALKS</w:t>
            </w:r>
          </w:p>
        </w:tc>
        <w:tc>
          <w:tcPr>
            <w:tcW w:w="220" w:type="dxa"/>
            <w:vAlign w:val="bottom"/>
            <w:vMerge w:val="continue"/>
          </w:tcPr>
          <w:p>
            <w:pPr>
              <w:spacing w:after="0"/>
              <w:rPr>
                <w:sz w:val="17"/>
                <w:szCs w:val="17"/>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Select Market</w:t>
            </w:r>
          </w:p>
        </w:tc>
        <w:tc>
          <w:tcPr>
            <w:tcW w:w="0" w:type="dxa"/>
            <w:vAlign w:val="bottom"/>
          </w:tcPr>
          <w:p>
            <w:pPr>
              <w:spacing w:after="0"/>
              <w:rPr>
                <w:sz w:val="1"/>
                <w:szCs w:val="1"/>
                <w:color w:val="auto"/>
              </w:rPr>
            </w:pPr>
          </w:p>
        </w:tc>
      </w:tr>
    </w:tbl>
    <w:p>
      <w:pPr>
        <w:spacing w:after="0" w:line="215" w:lineRule="exact"/>
        <w:rPr>
          <w:sz w:val="24"/>
          <w:szCs w:val="24"/>
          <w:color w:val="auto"/>
        </w:rPr>
      </w:pPr>
    </w:p>
    <w:p>
      <w:pPr>
        <w:ind w:left="820" w:right="859"/>
        <w:spacing w:after="0" w:line="261"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6" w:lineRule="exact"/>
        <w:rPr>
          <w:sz w:val="24"/>
          <w:szCs w:val="24"/>
          <w:color w:val="auto"/>
        </w:rPr>
      </w:pPr>
    </w:p>
    <w:p>
      <w:pPr>
        <w:ind w:left="616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52" w:lineRule="exact"/>
        <w:rPr>
          <w:sz w:val="24"/>
          <w:szCs w:val="24"/>
          <w:color w:val="auto"/>
        </w:rPr>
      </w:pPr>
    </w:p>
    <w:p>
      <w:pPr>
        <w:ind w:left="820" w:right="859"/>
        <w:spacing w:after="0" w:line="20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-223520</wp:posOffset>
            </wp:positionH>
            <wp:positionV relativeFrom="paragraph">
              <wp:posOffset>1009015</wp:posOffset>
            </wp:positionV>
            <wp:extent cx="616839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ind w:left="820"/>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96" w:lineRule="exact"/>
        <w:rPr>
          <w:sz w:val="20"/>
          <w:szCs w:val="20"/>
          <w:color w:val="auto"/>
        </w:rPr>
      </w:pPr>
    </w:p>
    <w:p>
      <w:pPr>
        <w:ind w:left="820" w:right="859" w:firstLine="386"/>
        <w:spacing w:after="0" w:line="251" w:lineRule="auto"/>
        <w:rPr>
          <w:sz w:val="20"/>
          <w:szCs w:val="20"/>
          <w:color w:val="auto"/>
        </w:rPr>
      </w:pPr>
      <w:r>
        <w:rPr>
          <w:rFonts w:ascii="Times New Roman" w:cs="Times New Roman" w:eastAsia="Times New Roman" w:hAnsi="Times New Roman"/>
          <w:sz w:val="16"/>
          <w:szCs w:val="16"/>
          <w:color w:val="auto"/>
        </w:rPr>
        <w:t>On May 5, 2026, Alkermes plc (the “Company”) announced financial results for the three months ended March 31, 2026 and updated certain financial expectations for the year ending December 31, 2026. Copies of the related press release and the investor presentation to be displayed during the Company’s conference call on May 5, 2026 discussing such financial results and expectations are furnished herewith as Exhibit 99.1 and Exhibit 99.2, respectively. This information, including Exhibits 99.1 and 99.2,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6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(d) Exhibits</w:t>
      </w:r>
    </w:p>
    <w:p>
      <w:pPr>
        <w:spacing w:after="0" w:line="287" w:lineRule="exact"/>
        <w:rPr>
          <w:sz w:val="20"/>
          <w:szCs w:val="20"/>
          <w:color w:val="auto"/>
        </w:rPr>
      </w:pPr>
    </w:p>
    <w:tbl>
      <w:tblPr>
        <w:tblLayout w:type="fixed"/>
        <w:tblInd w:w="820" w:type="dxa"/>
        <w:tblCellMar>
          <w:top w:w="0" w:type="dxa"/>
          <w:left w:w="0" w:type="dxa"/>
          <w:bottom w:w="0" w:type="dxa"/>
          <w:right w:w="0" w:type="dxa"/>
        </w:tblCellMar>
      </w:tblPr>
      <w:tr>
        <w:trPr>
          <w:trHeight w:val="208"/>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60" w:type="dxa"/>
            <w:vAlign w:val="bottom"/>
            <w:gridSpan w:val="4"/>
          </w:tcPr>
          <w:p>
            <w:pPr>
              <w:ind w:left="1760"/>
              <w:spacing w:after="0"/>
              <w:rPr>
                <w:sz w:val="20"/>
                <w:szCs w:val="20"/>
                <w:color w:val="auto"/>
              </w:rPr>
            </w:pPr>
            <w:r>
              <w:rPr>
                <w:rFonts w:ascii="Times New Roman" w:cs="Times New Roman" w:eastAsia="Times New Roman" w:hAnsi="Times New Roman"/>
                <w:sz w:val="16"/>
                <w:szCs w:val="16"/>
                <w:b w:val="1"/>
                <w:bCs w:val="1"/>
                <w:color w:val="auto"/>
              </w:rPr>
              <w:t>EXHIBIT INDEX</w:t>
            </w:r>
          </w:p>
        </w:tc>
      </w:tr>
      <w:tr>
        <w:trPr>
          <w:trHeight w:val="378"/>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gridSpan w:val="4"/>
          </w:tcPr>
          <w:p>
            <w:pPr>
              <w:ind w:left="24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46"/>
        </w:trPr>
        <w:tc>
          <w:tcPr>
            <w:tcW w:w="86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99.1</w:t>
            </w:r>
          </w:p>
        </w:tc>
        <w:tc>
          <w:tcPr>
            <w:tcW w:w="100" w:type="dxa"/>
            <w:vAlign w:val="bottom"/>
          </w:tcPr>
          <w:p>
            <w:pPr>
              <w:spacing w:after="0"/>
              <w:rPr>
                <w:sz w:val="12"/>
                <w:szCs w:val="12"/>
                <w:color w:val="auto"/>
              </w:rPr>
            </w:pPr>
          </w:p>
        </w:tc>
        <w:tc>
          <w:tcPr>
            <w:tcW w:w="6000" w:type="dxa"/>
            <w:vAlign w:val="bottom"/>
            <w:tcBorders>
              <w:bottom w:val="single" w:sz="8" w:color="0000FF"/>
            </w:tcBorders>
            <w:gridSpan w:val="3"/>
          </w:tcPr>
          <w:p>
            <w:pPr>
              <w:spacing w:after="0" w:line="145" w:lineRule="exact"/>
              <w:rPr>
                <w:sz w:val="20"/>
                <w:szCs w:val="20"/>
                <w:color w:val="auto"/>
              </w:rPr>
            </w:pPr>
            <w:r>
              <w:rPr>
                <w:rFonts w:ascii="Times New Roman" w:cs="Times New Roman" w:eastAsia="Times New Roman" w:hAnsi="Times New Roman"/>
                <w:sz w:val="16"/>
                <w:szCs w:val="16"/>
                <w:color w:val="0000FF"/>
                <w:w w:val="98"/>
              </w:rPr>
              <w:t>Press release issued by Alkermes plc on May 5, 2026 announcing financial results for the three</w:t>
            </w:r>
          </w:p>
        </w:tc>
        <w:tc>
          <w:tcPr>
            <w:tcW w:w="420" w:type="dxa"/>
            <w:vAlign w:val="bottom"/>
            <w:gridSpan w:val="2"/>
          </w:tcPr>
          <w:p>
            <w:pPr>
              <w:spacing w:after="0"/>
              <w:rPr>
                <w:sz w:val="12"/>
                <w:szCs w:val="12"/>
                <w:color w:val="auto"/>
              </w:rPr>
            </w:pPr>
          </w:p>
        </w:tc>
      </w:tr>
      <w:tr>
        <w:trPr>
          <w:trHeight w:val="169"/>
        </w:trPr>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20" w:type="dxa"/>
            <w:vAlign w:val="bottom"/>
            <w:gridSpan w:val="5"/>
          </w:tcPr>
          <w:p>
            <w:pPr>
              <w:spacing w:after="0" w:line="169" w:lineRule="exact"/>
              <w:rPr>
                <w:sz w:val="20"/>
                <w:szCs w:val="20"/>
                <w:color w:val="auto"/>
              </w:rPr>
            </w:pPr>
            <w:r>
              <w:rPr>
                <w:rFonts w:ascii="Times New Roman" w:cs="Times New Roman" w:eastAsia="Times New Roman" w:hAnsi="Times New Roman"/>
                <w:sz w:val="16"/>
                <w:szCs w:val="16"/>
                <w:color w:val="0000FF"/>
              </w:rPr>
              <w:t>months ended March 31, 2026 and updated financial expectations for the year ending December 31,</w:t>
            </w: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1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line="169" w:lineRule="exact"/>
              <w:rPr>
                <w:sz w:val="20"/>
                <w:szCs w:val="20"/>
                <w:color w:val="auto"/>
              </w:rPr>
            </w:pPr>
            <w:r>
              <w:rPr>
                <w:rFonts w:ascii="Times New Roman" w:cs="Times New Roman" w:eastAsia="Times New Roman" w:hAnsi="Times New Roman"/>
                <w:sz w:val="16"/>
                <w:szCs w:val="16"/>
                <w:color w:val="0000FF"/>
                <w:w w:val="88"/>
              </w:rPr>
              <w:t>2026.</w:t>
            </w:r>
          </w:p>
        </w:tc>
        <w:tc>
          <w:tcPr>
            <w:tcW w:w="4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r>
      <w:tr>
        <w:trPr>
          <w:trHeight w:val="169"/>
        </w:trPr>
        <w:tc>
          <w:tcPr>
            <w:tcW w:w="86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100" w:type="dxa"/>
            <w:vAlign w:val="bottom"/>
          </w:tcPr>
          <w:p>
            <w:pPr>
              <w:spacing w:after="0"/>
              <w:rPr>
                <w:sz w:val="14"/>
                <w:szCs w:val="14"/>
                <w:color w:val="auto"/>
              </w:rPr>
            </w:pPr>
          </w:p>
        </w:tc>
        <w:tc>
          <w:tcPr>
            <w:tcW w:w="6420" w:type="dxa"/>
            <w:vAlign w:val="bottom"/>
            <w:gridSpan w:val="5"/>
          </w:tcPr>
          <w:p>
            <w:pPr>
              <w:spacing w:after="0" w:line="169" w:lineRule="exact"/>
              <w:rPr>
                <w:sz w:val="20"/>
                <w:szCs w:val="20"/>
                <w:color w:val="auto"/>
              </w:rPr>
            </w:pPr>
            <w:r>
              <w:rPr>
                <w:rFonts w:ascii="Times New Roman" w:cs="Times New Roman" w:eastAsia="Times New Roman" w:hAnsi="Times New Roman"/>
                <w:sz w:val="16"/>
                <w:szCs w:val="16"/>
                <w:color w:val="0000FF"/>
              </w:rPr>
              <w:t>Investor presentation to be displayed by Alkermes plc on May 5, 2026.</w:t>
            </w:r>
          </w:p>
        </w:tc>
      </w:tr>
      <w:tr>
        <w:trPr>
          <w:trHeight w:val="20"/>
        </w:trPr>
        <w:tc>
          <w:tcPr>
            <w:tcW w:w="8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10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7" w:lineRule="exact"/>
        <w:rPr>
          <w:sz w:val="20"/>
          <w:szCs w:val="20"/>
          <w:color w:val="auto"/>
        </w:rPr>
      </w:pPr>
    </w:p>
    <w:p>
      <w:pPr>
        <w:ind w:left="1760" w:hanging="946"/>
        <w:spacing w:after="0"/>
        <w:tabs>
          <w:tab w:leader="none" w:pos="17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w:t>
      </w:r>
    </w:p>
    <w:p>
      <w:pPr>
        <w:spacing w:after="0" w:line="200" w:lineRule="exact"/>
        <w:rPr>
          <w:rFonts w:ascii="Times New Roman" w:cs="Times New Roman" w:eastAsia="Times New Roman" w:hAnsi="Times New Roman"/>
          <w:sz w:val="16"/>
          <w:szCs w:val="16"/>
          <w:color w:val="auto"/>
        </w:rPr>
      </w:pPr>
    </w:p>
    <w:p>
      <w:pPr>
        <w:spacing w:after="0" w:line="356" w:lineRule="exact"/>
        <w:rPr>
          <w:rFonts w:ascii="Times New Roman" w:cs="Times New Roman" w:eastAsia="Times New Roman" w:hAnsi="Times New Roman"/>
          <w:sz w:val="16"/>
          <w:szCs w:val="16"/>
          <w:color w:val="auto"/>
        </w:rPr>
      </w:pPr>
    </w:p>
    <w:p>
      <w:pPr>
        <w:ind w:left="4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424815</wp:posOffset>
            </wp:positionV>
            <wp:extent cx="616839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1256" w:right="1440"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96" w:lineRule="exact"/>
        <w:rPr>
          <w:sz w:val="20"/>
          <w:szCs w:val="20"/>
          <w:color w:val="auto"/>
        </w:rPr>
      </w:pPr>
    </w:p>
    <w:p>
      <w:pPr>
        <w:ind w:left="820" w:right="899"/>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3" w:lineRule="exact"/>
        <w:rPr>
          <w:sz w:val="20"/>
          <w:szCs w:val="20"/>
          <w:color w:val="auto"/>
        </w:rPr>
      </w:pPr>
    </w:p>
    <w:tbl>
      <w:tblPr>
        <w:tblLayout w:type="fixed"/>
        <w:tblInd w:w="820" w:type="dxa"/>
        <w:tblCellMar>
          <w:top w:w="0" w:type="dxa"/>
          <w:left w:w="0" w:type="dxa"/>
          <w:bottom w:w="0" w:type="dxa"/>
          <w:right w:w="0" w:type="dxa"/>
        </w:tblCellMar>
      </w:tblPr>
      <w:tr>
        <w:trPr>
          <w:trHeight w:val="208"/>
        </w:trPr>
        <w:tc>
          <w:tcPr>
            <w:tcW w:w="2500" w:type="dxa"/>
            <w:vAlign w:val="bottom"/>
          </w:tcPr>
          <w:p>
            <w:pPr>
              <w:spacing w:after="0"/>
              <w:rPr>
                <w:sz w:val="18"/>
                <w:szCs w:val="18"/>
                <w:color w:val="auto"/>
              </w:rPr>
            </w:pPr>
          </w:p>
        </w:tc>
        <w:tc>
          <w:tcPr>
            <w:tcW w:w="4880" w:type="dxa"/>
            <w:vAlign w:val="bottom"/>
            <w:gridSpan w:val="2"/>
          </w:tcPr>
          <w:p>
            <w:pPr>
              <w:ind w:left="1340"/>
              <w:spacing w:after="0"/>
              <w:rPr>
                <w:sz w:val="20"/>
                <w:szCs w:val="20"/>
                <w:color w:val="auto"/>
              </w:rPr>
            </w:pPr>
            <w:r>
              <w:rPr>
                <w:rFonts w:ascii="Times New Roman" w:cs="Times New Roman" w:eastAsia="Times New Roman" w:hAnsi="Times New Roman"/>
                <w:sz w:val="16"/>
                <w:szCs w:val="16"/>
                <w:b w:val="1"/>
                <w:bCs w:val="1"/>
                <w:color w:val="auto"/>
              </w:rPr>
              <w:t>ALKERMES PLC</w:t>
            </w:r>
          </w:p>
        </w:tc>
      </w:tr>
      <w:tr>
        <w:trPr>
          <w:trHeight w:val="378"/>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Date: May 5, 2026</w:t>
            </w:r>
          </w:p>
        </w:tc>
        <w:tc>
          <w:tcPr>
            <w:tcW w:w="4880" w:type="dxa"/>
            <w:vAlign w:val="bottom"/>
            <w:gridSpan w:val="2"/>
          </w:tcPr>
          <w:p>
            <w:pPr>
              <w:ind w:left="1340"/>
              <w:spacing w:after="0"/>
              <w:rPr>
                <w:sz w:val="20"/>
                <w:szCs w:val="20"/>
                <w:color w:val="auto"/>
              </w:rPr>
            </w:pPr>
            <w:r>
              <w:rPr>
                <w:rFonts w:ascii="Times New Roman" w:cs="Times New Roman" w:eastAsia="Times New Roman" w:hAnsi="Times New Roman"/>
                <w:sz w:val="16"/>
                <w:szCs w:val="16"/>
                <w:color w:val="auto"/>
              </w:rPr>
              <w:t>By:   /s/ Joshua Reed</w:t>
            </w:r>
          </w:p>
        </w:tc>
      </w:tr>
      <w:tr>
        <w:trPr>
          <w:trHeight w:val="165"/>
        </w:trPr>
        <w:tc>
          <w:tcPr>
            <w:tcW w:w="25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120" w:type="dxa"/>
            <w:vAlign w:val="bottom"/>
            <w:tcBorders>
              <w:top w:val="single" w:sz="8" w:color="auto"/>
            </w:tcBorders>
          </w:tcPr>
          <w:p>
            <w:pPr>
              <w:spacing w:after="0" w:line="165" w:lineRule="exact"/>
              <w:rPr>
                <w:sz w:val="20"/>
                <w:szCs w:val="20"/>
                <w:color w:val="auto"/>
              </w:rPr>
            </w:pPr>
            <w:r>
              <w:rPr>
                <w:rFonts w:ascii="Times New Roman" w:cs="Times New Roman" w:eastAsia="Times New Roman" w:hAnsi="Times New Roman"/>
                <w:sz w:val="16"/>
                <w:szCs w:val="16"/>
                <w:color w:val="auto"/>
              </w:rPr>
              <w:t>Joshua Reed</w:t>
            </w:r>
          </w:p>
        </w:tc>
      </w:tr>
      <w:tr>
        <w:trPr>
          <w:trHeight w:val="189"/>
        </w:trPr>
        <w:tc>
          <w:tcPr>
            <w:tcW w:w="25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Senior Vice President, Chief Financial Officer</w:t>
            </w:r>
          </w:p>
        </w:tc>
      </w:tr>
      <w:tr>
        <w:trPr>
          <w:trHeight w:val="206"/>
        </w:trPr>
        <w:tc>
          <w:tcPr>
            <w:tcW w:w="25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(Principal Financial Officer)</w:t>
            </w:r>
          </w:p>
        </w:tc>
      </w:tr>
    </w:tbl>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424815</wp:posOffset>
            </wp:positionV>
            <wp:extent cx="616839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1256" w:right="1440" w:bottom="1440" w:gutter="0" w:footer="0" w:header="0"/>
        </w:sectPr>
      </w:pPr>
    </w:p>
    <w:bookmarkStart w:id="3" w:name="page4"/>
    <w:bookmarkEnd w:id="3"/>
    <w:tbl>
      <w:tblPr>
        <w:tblLayout w:type="fixed"/>
        <w:tblInd w:w="4420" w:type="dxa"/>
        <w:tblCellMar>
          <w:top w:w="0" w:type="dxa"/>
          <w:left w:w="0" w:type="dxa"/>
          <w:bottom w:w="0" w:type="dxa"/>
          <w:right w:w="0" w:type="dxa"/>
        </w:tblCellMar>
      </w:tblPr>
      <w:tr>
        <w:trPr>
          <w:trHeight w:val="208"/>
        </w:trPr>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tc>
        <w:tc>
          <w:tcPr>
            <w:tcW w:w="0" w:type="dxa"/>
            <w:vAlign w:val="bottom"/>
          </w:tcPr>
          <w:p>
            <w:pPr>
              <w:spacing w:after="0"/>
              <w:rPr>
                <w:sz w:val="1"/>
                <w:szCs w:val="1"/>
                <w:color w:val="auto"/>
              </w:rPr>
            </w:pPr>
          </w:p>
        </w:tc>
      </w:tr>
      <w:tr>
        <w:trPr>
          <w:trHeight w:val="200"/>
        </w:trPr>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Alkermes Contacts:</w:t>
            </w:r>
          </w:p>
        </w:tc>
        <w:tc>
          <w:tcPr>
            <w:tcW w:w="80" w:type="dxa"/>
            <w:vAlign w:val="bottom"/>
          </w:tcPr>
          <w:p>
            <w:pPr>
              <w:spacing w:after="0"/>
              <w:rPr>
                <w:sz w:val="17"/>
                <w:szCs w:val="17"/>
                <w:color w:val="auto"/>
              </w:rPr>
            </w:pPr>
          </w:p>
        </w:tc>
        <w:tc>
          <w:tcPr>
            <w:tcW w:w="1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Sandy Coombs</w:t>
            </w:r>
          </w:p>
        </w:tc>
        <w:tc>
          <w:tcPr>
            <w:tcW w:w="1640" w:type="dxa"/>
            <w:vAlign w:val="bottom"/>
            <w:vMerge w:val="restart"/>
          </w:tcPr>
          <w:p>
            <w:pPr>
              <w:jc w:val="right"/>
              <w:ind w:right="256"/>
              <w:spacing w:after="0"/>
              <w:rPr>
                <w:sz w:val="20"/>
                <w:szCs w:val="20"/>
                <w:color w:val="auto"/>
              </w:rPr>
            </w:pPr>
            <w:r>
              <w:rPr>
                <w:rFonts w:ascii="Times New Roman" w:cs="Times New Roman" w:eastAsia="Times New Roman" w:hAnsi="Times New Roman"/>
                <w:sz w:val="17"/>
                <w:szCs w:val="17"/>
                <w:color w:val="auto"/>
              </w:rPr>
              <w:t>+1 781 609 6377</w:t>
            </w:r>
          </w:p>
        </w:tc>
        <w:tc>
          <w:tcPr>
            <w:tcW w:w="0" w:type="dxa"/>
            <w:vAlign w:val="bottom"/>
          </w:tcPr>
          <w:p>
            <w:pPr>
              <w:spacing w:after="0"/>
              <w:rPr>
                <w:sz w:val="1"/>
                <w:szCs w:val="1"/>
                <w:color w:val="auto"/>
              </w:rPr>
            </w:pPr>
          </w:p>
        </w:tc>
      </w:tr>
      <w:tr>
        <w:trPr>
          <w:trHeight w:val="196"/>
        </w:trPr>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For Investors:</w:t>
            </w:r>
          </w:p>
        </w:tc>
        <w:tc>
          <w:tcPr>
            <w:tcW w:w="124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4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For Media:</w:t>
            </w:r>
          </w:p>
        </w:tc>
        <w:tc>
          <w:tcPr>
            <w:tcW w:w="12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Katie Joyce</w:t>
            </w:r>
          </w:p>
        </w:tc>
        <w:tc>
          <w:tcPr>
            <w:tcW w:w="164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+1 781 249 8927</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Alkermes plc Reports First Quarter 2026 Financial Results</w:t>
      </w:r>
    </w:p>
    <w:p>
      <w:pPr>
        <w:spacing w:after="0" w:line="9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 First Quarter Revenues of $392.9 Million; GAAP Net Loss of $66.5 Million and Adjusted EBITDA of $80.3</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i w:val="1"/>
          <w:iCs w:val="1"/>
          <w:color w:val="auto"/>
        </w:rPr>
        <w:t>Million —</w:t>
      </w:r>
    </w:p>
    <w:p>
      <w:pPr>
        <w:spacing w:after="0" w:line="11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i w:val="1"/>
          <w:iCs w:val="1"/>
          <w:color w:val="auto"/>
        </w:rPr>
        <w:t>— Acquisition of Avadel Pharmaceuticals Completed in February 2026 —</w:t>
      </w:r>
    </w:p>
    <w:p>
      <w:pPr>
        <w:spacing w:after="0" w:line="13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7"/>
          <w:szCs w:val="17"/>
          <w:i w:val="1"/>
          <w:iCs w:val="1"/>
          <w:color w:val="auto"/>
        </w:rPr>
        <w:t>— Alixorexton Brilliance Phase 3 Narcolepsy Clinical Program Initiated in Q1 2026 —</w:t>
      </w:r>
    </w:p>
    <w:p>
      <w:pPr>
        <w:spacing w:after="0" w:line="325" w:lineRule="exact"/>
        <w:rPr>
          <w:sz w:val="20"/>
          <w:szCs w:val="20"/>
          <w:color w:val="auto"/>
        </w:rPr>
      </w:pPr>
    </w:p>
    <w:p>
      <w:pPr>
        <w:ind w:left="920" w:right="940"/>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DUBLIN, May 5, 2026 — </w:t>
      </w:r>
      <w:r>
        <w:rPr>
          <w:rFonts w:ascii="Times New Roman" w:cs="Times New Roman" w:eastAsia="Times New Roman" w:hAnsi="Times New Roman"/>
          <w:sz w:val="17"/>
          <w:szCs w:val="17"/>
          <w:u w:val="single" w:color="auto"/>
          <w:color w:val="auto"/>
        </w:rPr>
        <w:t>Alkermes plc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(Nasdaq: ALKS) today reported financial results for the first quarter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2026 and updated certain non-cash elements of its 2026 full year financial expectations in connection with the acquisition of Avadel Pharmaceuticals plc (Avadel), resulting in improved expectations for GAAP net loss and EBITDA.</w:t>
      </w:r>
    </w:p>
    <w:p>
      <w:pPr>
        <w:spacing w:after="0" w:line="89" w:lineRule="exact"/>
        <w:rPr>
          <w:sz w:val="20"/>
          <w:szCs w:val="20"/>
          <w:color w:val="auto"/>
        </w:rPr>
      </w:pPr>
    </w:p>
    <w:p>
      <w:pPr>
        <w:ind w:left="920" w:right="1000"/>
        <w:spacing w:after="0" w:line="204" w:lineRule="exact"/>
        <w:rPr>
          <w:sz w:val="20"/>
          <w:szCs w:val="20"/>
          <w:color w:val="auto"/>
        </w:rPr>
      </w:pPr>
      <w:r>
        <w:rPr>
          <w:rFonts w:ascii="Times New Roman" w:cs="Times New Roman" w:eastAsia="Times New Roman" w:hAnsi="Times New Roman"/>
          <w:sz w:val="17"/>
          <w:szCs w:val="17"/>
          <w:color w:val="auto"/>
        </w:rPr>
        <w:t>“We delivered a strong quarter marked by solid financial and commercial execution, alongside meaningful strategic progress that positions Alkermes as an emerging leader in sleep medicine,” said Richard Pops, Chairman and Chief Executive Officer of Alkermes. “During the quarter, we successfully closed the acquisition of Avadel, strengthening our financial profile and accelerating our entry into the commercial sleep medicine market at scale. We are also rapidly advancing the alixorexton development program and recently initiated the phase 3 Brilliance studies to further characterize alixorexton’s differentiated profile and potential utility in both narcolepsy type 1 and type 2. The multi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billion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dollar market opportunity in narcolepsy and idiopathic hypersomnia represents a transformative opportunity for Alkermes. Taken together with the broad therapeutic potential across other neuropsychiatric disorders, orexin 2 receptor agonists represent one of the most exciting new therapeutic categories in neuroscience, and Alkermes is at the forefront of generating new clinical data and expanding our understanding of this neurocircuitry.”</w:t>
      </w:r>
    </w:p>
    <w:p>
      <w:pPr>
        <w:spacing w:after="0" w:line="1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b w:val="1"/>
          <w:bCs w:val="1"/>
          <w:u w:val="single" w:color="auto"/>
          <w:color w:val="auto"/>
        </w:rPr>
        <w:t>Key Financial Highlights</w:t>
      </w:r>
    </w:p>
    <w:p>
      <w:pPr>
        <w:spacing w:after="0" w:line="18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b w:val="1"/>
          <w:bCs w:val="1"/>
          <w:color w:val="auto"/>
        </w:rPr>
        <w:t>Revenues</w:t>
      </w:r>
    </w:p>
    <w:p>
      <w:pPr>
        <w:spacing w:after="0" w:line="104" w:lineRule="exact"/>
        <w:rPr>
          <w:sz w:val="20"/>
          <w:szCs w:val="20"/>
          <w:color w:val="auto"/>
        </w:rPr>
      </w:pPr>
    </w:p>
    <w:tbl>
      <w:tblPr>
        <w:tblLayout w:type="fixed"/>
        <w:tblInd w:w="92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00" w:type="dxa"/>
            <w:vAlign w:val="bottom"/>
            <w:gridSpan w:val="3"/>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08"/>
        </w:trPr>
        <w:tc>
          <w:tcPr>
            <w:tcW w:w="52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200" w:type="dxa"/>
            <w:vAlign w:val="bottom"/>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1"/>
              <w:spacing w:after="0" w:line="181" w:lineRule="exact"/>
              <w:rPr>
                <w:sz w:val="20"/>
                <w:szCs w:val="20"/>
                <w:color w:val="auto"/>
              </w:rPr>
            </w:pPr>
            <w:r>
              <w:rPr>
                <w:rFonts w:ascii="Times New Roman" w:cs="Times New Roman" w:eastAsia="Times New Roman" w:hAnsi="Times New Roman"/>
                <w:sz w:val="16"/>
                <w:szCs w:val="16"/>
                <w:b w:val="1"/>
                <w:bCs w:val="1"/>
                <w:color w:val="auto"/>
              </w:rPr>
              <w:t>2026</w:t>
            </w: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21"/>
              <w:spacing w:after="0" w:line="181" w:lineRule="exact"/>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81"/>
        </w:trPr>
        <w:tc>
          <w:tcPr>
            <w:tcW w:w="5200" w:type="dxa"/>
            <w:vAlign w:val="bottom"/>
            <w:shd w:val="clear" w:color="auto" w:fill="F2F2F2"/>
          </w:tcPr>
          <w:p>
            <w:pPr>
              <w:ind w:left="100"/>
              <w:spacing w:after="0" w:line="181" w:lineRule="exact"/>
              <w:rPr>
                <w:sz w:val="20"/>
                <w:szCs w:val="20"/>
                <w:color w:val="auto"/>
              </w:rPr>
            </w:pPr>
            <w:r>
              <w:rPr>
                <w:rFonts w:ascii="Times New Roman" w:cs="Times New Roman" w:eastAsia="Times New Roman" w:hAnsi="Times New Roman"/>
                <w:sz w:val="16"/>
                <w:szCs w:val="16"/>
                <w:color w:val="auto"/>
              </w:rPr>
              <w:t>Total Revenues</w:t>
            </w:r>
          </w:p>
        </w:tc>
        <w:tc>
          <w:tcPr>
            <w:tcW w:w="340" w:type="dxa"/>
            <w:vAlign w:val="bottom"/>
            <w:shd w:val="clear" w:color="auto" w:fill="F2F2F2"/>
          </w:tcPr>
          <w:p>
            <w:pPr>
              <w:jc w:val="right"/>
              <w:ind w:right="81"/>
              <w:spacing w:after="0" w:line="181"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F2F2F2"/>
          </w:tcPr>
          <w:p>
            <w:pPr>
              <w:jc w:val="right"/>
              <w:ind w:right="21"/>
              <w:spacing w:after="0" w:line="181" w:lineRule="exact"/>
              <w:rPr>
                <w:sz w:val="20"/>
                <w:szCs w:val="20"/>
                <w:color w:val="auto"/>
              </w:rPr>
            </w:pPr>
            <w:r>
              <w:rPr>
                <w:rFonts w:ascii="Times New Roman" w:cs="Times New Roman" w:eastAsia="Times New Roman" w:hAnsi="Times New Roman"/>
                <w:sz w:val="16"/>
                <w:szCs w:val="16"/>
                <w:color w:val="auto"/>
              </w:rPr>
              <w:t>392.9</w:t>
            </w:r>
          </w:p>
        </w:tc>
        <w:tc>
          <w:tcPr>
            <w:tcW w:w="420" w:type="dxa"/>
            <w:vAlign w:val="bottom"/>
            <w:shd w:val="clear" w:color="auto" w:fill="F2F2F2"/>
          </w:tcPr>
          <w:p>
            <w:pPr>
              <w:jc w:val="right"/>
              <w:ind w:right="181"/>
              <w:spacing w:after="0" w:line="181"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F2F2F2"/>
          </w:tcPr>
          <w:p>
            <w:pPr>
              <w:jc w:val="right"/>
              <w:ind w:right="21"/>
              <w:spacing w:after="0" w:line="181" w:lineRule="exact"/>
              <w:rPr>
                <w:sz w:val="20"/>
                <w:szCs w:val="20"/>
                <w:color w:val="auto"/>
              </w:rPr>
            </w:pPr>
            <w:r>
              <w:rPr>
                <w:rFonts w:ascii="Times New Roman" w:cs="Times New Roman" w:eastAsia="Times New Roman" w:hAnsi="Times New Roman"/>
                <w:sz w:val="16"/>
                <w:szCs w:val="16"/>
                <w:color w:val="auto"/>
              </w:rPr>
              <w:t>306.5</w:t>
            </w:r>
          </w:p>
        </w:tc>
        <w:tc>
          <w:tcPr>
            <w:tcW w:w="0" w:type="dxa"/>
            <w:vAlign w:val="bottom"/>
          </w:tcPr>
          <w:p>
            <w:pPr>
              <w:spacing w:after="0"/>
              <w:rPr>
                <w:sz w:val="1"/>
                <w:szCs w:val="1"/>
                <w:color w:val="auto"/>
              </w:rPr>
            </w:pPr>
          </w:p>
        </w:tc>
      </w:tr>
      <w:tr>
        <w:trPr>
          <w:trHeight w:val="154"/>
        </w:trPr>
        <w:tc>
          <w:tcPr>
            <w:tcW w:w="5200" w:type="dxa"/>
            <w:vAlign w:val="bottom"/>
          </w:tcPr>
          <w:p>
            <w:pPr>
              <w:ind w:left="100"/>
              <w:spacing w:after="0" w:line="154" w:lineRule="exact"/>
              <w:rPr>
                <w:sz w:val="20"/>
                <w:szCs w:val="20"/>
                <w:color w:val="auto"/>
              </w:rPr>
            </w:pPr>
            <w:r>
              <w:rPr>
                <w:rFonts w:ascii="Times New Roman" w:cs="Times New Roman" w:eastAsia="Times New Roman" w:hAnsi="Times New Roman"/>
                <w:sz w:val="16"/>
                <w:szCs w:val="16"/>
                <w:color w:val="auto"/>
              </w:rPr>
              <w:t>Total Proprietary Net Sales</w:t>
            </w:r>
          </w:p>
        </w:tc>
        <w:tc>
          <w:tcPr>
            <w:tcW w:w="340" w:type="dxa"/>
            <w:vAlign w:val="bottom"/>
          </w:tcPr>
          <w:p>
            <w:pPr>
              <w:jc w:val="right"/>
              <w:ind w:right="81"/>
              <w:spacing w:after="0" w:line="154"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1"/>
              <w:spacing w:after="0" w:line="154" w:lineRule="exact"/>
              <w:rPr>
                <w:sz w:val="20"/>
                <w:szCs w:val="20"/>
                <w:color w:val="auto"/>
              </w:rPr>
            </w:pPr>
            <w:r>
              <w:rPr>
                <w:rFonts w:ascii="Times New Roman" w:cs="Times New Roman" w:eastAsia="Times New Roman" w:hAnsi="Times New Roman"/>
                <w:sz w:val="16"/>
                <w:szCs w:val="16"/>
                <w:color w:val="auto"/>
              </w:rPr>
              <w:t>338.1</w:t>
            </w:r>
          </w:p>
        </w:tc>
        <w:tc>
          <w:tcPr>
            <w:tcW w:w="420" w:type="dxa"/>
            <w:vAlign w:val="bottom"/>
          </w:tcPr>
          <w:p>
            <w:pPr>
              <w:jc w:val="right"/>
              <w:ind w:right="181"/>
              <w:spacing w:after="0" w:line="154"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1"/>
              <w:spacing w:after="0" w:line="154" w:lineRule="exact"/>
              <w:rPr>
                <w:sz w:val="20"/>
                <w:szCs w:val="20"/>
                <w:color w:val="auto"/>
              </w:rPr>
            </w:pPr>
            <w:r>
              <w:rPr>
                <w:rFonts w:ascii="Times New Roman" w:cs="Times New Roman" w:eastAsia="Times New Roman" w:hAnsi="Times New Roman"/>
                <w:sz w:val="16"/>
                <w:szCs w:val="16"/>
                <w:color w:val="auto"/>
              </w:rPr>
              <w:t>244.5</w:t>
            </w:r>
          </w:p>
        </w:tc>
        <w:tc>
          <w:tcPr>
            <w:tcW w:w="0" w:type="dxa"/>
            <w:vAlign w:val="bottom"/>
          </w:tcPr>
          <w:p>
            <w:pPr>
              <w:spacing w:after="0"/>
              <w:rPr>
                <w:sz w:val="1"/>
                <w:szCs w:val="1"/>
                <w:color w:val="auto"/>
              </w:rPr>
            </w:pPr>
          </w:p>
        </w:tc>
      </w:tr>
      <w:tr>
        <w:trPr>
          <w:trHeight w:val="177"/>
        </w:trPr>
        <w:tc>
          <w:tcPr>
            <w:tcW w:w="5200" w:type="dxa"/>
            <w:vAlign w:val="bottom"/>
          </w:tcPr>
          <w:p>
            <w:pPr>
              <w:ind w:left="300"/>
              <w:spacing w:after="0" w:line="177" w:lineRule="exact"/>
              <w:rPr>
                <w:sz w:val="20"/>
                <w:szCs w:val="20"/>
                <w:color w:val="auto"/>
              </w:rPr>
            </w:pPr>
            <w:r>
              <w:rPr>
                <w:rFonts w:ascii="Times New Roman" w:cs="Times New Roman" w:eastAsia="Times New Roman" w:hAnsi="Times New Roman"/>
                <w:sz w:val="15"/>
                <w:szCs w:val="15"/>
                <w:color w:val="auto"/>
              </w:rPr>
              <w:t>VIVITROL</w:t>
            </w:r>
            <w:r>
              <w:rPr>
                <w:rFonts w:ascii="Times New Roman" w:cs="Times New Roman" w:eastAsia="Times New Roman" w:hAnsi="Times New Roman"/>
                <w:sz w:val="20"/>
                <w:szCs w:val="20"/>
                <w:color w:val="auto"/>
                <w:vertAlign w:val="superscript"/>
              </w:rPr>
              <w:t>®</w:t>
            </w:r>
          </w:p>
        </w:tc>
        <w:tc>
          <w:tcPr>
            <w:tcW w:w="340" w:type="dxa"/>
            <w:vAlign w:val="bottom"/>
          </w:tcPr>
          <w:p>
            <w:pPr>
              <w:jc w:val="right"/>
              <w:ind w:right="81"/>
              <w:spacing w:after="0" w:line="177"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1"/>
              <w:spacing w:after="0" w:line="177" w:lineRule="exact"/>
              <w:rPr>
                <w:sz w:val="20"/>
                <w:szCs w:val="20"/>
                <w:color w:val="auto"/>
              </w:rPr>
            </w:pPr>
            <w:r>
              <w:rPr>
                <w:rFonts w:ascii="Times New Roman" w:cs="Times New Roman" w:eastAsia="Times New Roman" w:hAnsi="Times New Roman"/>
                <w:sz w:val="16"/>
                <w:szCs w:val="16"/>
                <w:color w:val="auto"/>
              </w:rPr>
              <w:t>112.4</w:t>
            </w:r>
          </w:p>
        </w:tc>
        <w:tc>
          <w:tcPr>
            <w:tcW w:w="420" w:type="dxa"/>
            <w:vAlign w:val="bottom"/>
          </w:tcPr>
          <w:p>
            <w:pPr>
              <w:jc w:val="right"/>
              <w:ind w:right="181"/>
              <w:spacing w:after="0" w:line="177"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1"/>
              <w:spacing w:after="0" w:line="177" w:lineRule="exact"/>
              <w:rPr>
                <w:sz w:val="20"/>
                <w:szCs w:val="20"/>
                <w:color w:val="auto"/>
              </w:rPr>
            </w:pPr>
            <w:r>
              <w:rPr>
                <w:rFonts w:ascii="Times New Roman" w:cs="Times New Roman" w:eastAsia="Times New Roman" w:hAnsi="Times New Roman"/>
                <w:sz w:val="16"/>
                <w:szCs w:val="16"/>
                <w:color w:val="auto"/>
              </w:rPr>
              <w:t>101.0</w:t>
            </w:r>
          </w:p>
        </w:tc>
        <w:tc>
          <w:tcPr>
            <w:tcW w:w="0" w:type="dxa"/>
            <w:vAlign w:val="bottom"/>
          </w:tcPr>
          <w:p>
            <w:pPr>
              <w:spacing w:after="0"/>
              <w:rPr>
                <w:sz w:val="1"/>
                <w:szCs w:val="1"/>
                <w:color w:val="auto"/>
              </w:rPr>
            </w:pPr>
          </w:p>
        </w:tc>
      </w:tr>
      <w:tr>
        <w:trPr>
          <w:trHeight w:val="118"/>
        </w:trPr>
        <w:tc>
          <w:tcPr>
            <w:tcW w:w="5200" w:type="dxa"/>
            <w:vAlign w:val="bottom"/>
          </w:tcPr>
          <w:p>
            <w:pPr>
              <w:ind w:left="1100"/>
              <w:spacing w:after="0" w:line="118" w:lineRule="exact"/>
              <w:rPr>
                <w:sz w:val="20"/>
                <w:szCs w:val="20"/>
                <w:color w:val="auto"/>
              </w:rPr>
            </w:pPr>
            <w:r>
              <w:rPr>
                <w:rFonts w:ascii="Times New Roman" w:cs="Times New Roman" w:eastAsia="Times New Roman" w:hAnsi="Times New Roman"/>
                <w:sz w:val="8"/>
                <w:szCs w:val="8"/>
                <w:color w:val="auto"/>
              </w:rPr>
              <w:t>®</w:t>
            </w:r>
            <w:r>
              <w:rPr>
                <w:rFonts w:ascii="Times New Roman" w:cs="Times New Roman" w:eastAsia="Times New Roman" w:hAnsi="Times New Roman"/>
                <w:sz w:val="13"/>
                <w:szCs w:val="13"/>
                <w:b w:val="1"/>
                <w:bCs w:val="1"/>
                <w:color w:val="auto"/>
                <w:vertAlign w:val="superscript"/>
              </w:rPr>
              <w:t>i</w:t>
            </w:r>
          </w:p>
        </w:tc>
        <w:tc>
          <w:tcPr>
            <w:tcW w:w="34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93.8</w:t>
            </w:r>
          </w:p>
        </w:tc>
        <w:tc>
          <w:tcPr>
            <w:tcW w:w="420" w:type="dxa"/>
            <w:vAlign w:val="bottom"/>
            <w:vMerge w:val="restart"/>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73.5</w:t>
            </w:r>
          </w:p>
        </w:tc>
        <w:tc>
          <w:tcPr>
            <w:tcW w:w="0" w:type="dxa"/>
            <w:vAlign w:val="bottom"/>
          </w:tcPr>
          <w:p>
            <w:pPr>
              <w:spacing w:after="0"/>
              <w:rPr>
                <w:sz w:val="1"/>
                <w:szCs w:val="1"/>
                <w:color w:val="auto"/>
              </w:rPr>
            </w:pPr>
          </w:p>
        </w:tc>
      </w:tr>
      <w:tr>
        <w:trPr>
          <w:trHeight w:val="118"/>
        </w:trPr>
        <w:tc>
          <w:tcPr>
            <w:tcW w:w="5200" w:type="dxa"/>
            <w:vAlign w:val="bottom"/>
          </w:tcPr>
          <w:p>
            <w:pPr>
              <w:ind w:left="300"/>
              <w:spacing w:after="0" w:line="118" w:lineRule="exact"/>
              <w:rPr>
                <w:sz w:val="20"/>
                <w:szCs w:val="20"/>
                <w:color w:val="auto"/>
              </w:rPr>
            </w:pPr>
            <w:r>
              <w:rPr>
                <w:rFonts w:ascii="Times New Roman" w:cs="Times New Roman" w:eastAsia="Times New Roman" w:hAnsi="Times New Roman"/>
                <w:sz w:val="12"/>
                <w:szCs w:val="12"/>
                <w:color w:val="auto"/>
              </w:rPr>
              <w:t>ARISTADA</w:t>
            </w:r>
          </w:p>
        </w:tc>
        <w:tc>
          <w:tcPr>
            <w:tcW w:w="3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5200" w:type="dxa"/>
            <w:vAlign w:val="bottom"/>
            <w:shd w:val="clear" w:color="auto" w:fill="F2F2F2"/>
          </w:tcPr>
          <w:p>
            <w:pPr>
              <w:ind w:left="300"/>
              <w:spacing w:after="0" w:line="190" w:lineRule="exact"/>
              <w:rPr>
                <w:sz w:val="20"/>
                <w:szCs w:val="20"/>
                <w:color w:val="auto"/>
              </w:rPr>
            </w:pPr>
            <w:r>
              <w:rPr>
                <w:rFonts w:ascii="Times New Roman" w:cs="Times New Roman" w:eastAsia="Times New Roman" w:hAnsi="Times New Roman"/>
                <w:sz w:val="16"/>
                <w:szCs w:val="16"/>
                <w:color w:val="auto"/>
              </w:rPr>
              <w:t>LYBALVI</w:t>
            </w:r>
            <w:r>
              <w:rPr>
                <w:rFonts w:ascii="Times New Roman" w:cs="Times New Roman" w:eastAsia="Times New Roman" w:hAnsi="Times New Roman"/>
                <w:sz w:val="21"/>
                <w:szCs w:val="21"/>
                <w:color w:val="auto"/>
                <w:vertAlign w:val="superscript"/>
              </w:rPr>
              <w:t>®</w:t>
            </w:r>
          </w:p>
        </w:tc>
        <w:tc>
          <w:tcPr>
            <w:tcW w:w="340" w:type="dxa"/>
            <w:vAlign w:val="bottom"/>
            <w:shd w:val="clear" w:color="auto" w:fill="F2F2F2"/>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F2F2F2"/>
          </w:tcPr>
          <w:p>
            <w:pPr>
              <w:jc w:val="right"/>
              <w:ind w:right="21"/>
              <w:spacing w:after="0"/>
              <w:rPr>
                <w:sz w:val="20"/>
                <w:szCs w:val="20"/>
                <w:color w:val="auto"/>
              </w:rPr>
            </w:pPr>
            <w:r>
              <w:rPr>
                <w:rFonts w:ascii="Times New Roman" w:cs="Times New Roman" w:eastAsia="Times New Roman" w:hAnsi="Times New Roman"/>
                <w:sz w:val="16"/>
                <w:szCs w:val="16"/>
                <w:color w:val="auto"/>
              </w:rPr>
              <w:t>92.4</w:t>
            </w:r>
          </w:p>
        </w:tc>
        <w:tc>
          <w:tcPr>
            <w:tcW w:w="420" w:type="dxa"/>
            <w:vAlign w:val="bottom"/>
            <w:shd w:val="clear" w:color="auto" w:fill="F2F2F2"/>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F2F2F2"/>
          </w:tcPr>
          <w:p>
            <w:pPr>
              <w:jc w:val="right"/>
              <w:ind w:right="21"/>
              <w:spacing w:after="0"/>
              <w:rPr>
                <w:sz w:val="20"/>
                <w:szCs w:val="20"/>
                <w:color w:val="auto"/>
              </w:rPr>
            </w:pPr>
            <w:r>
              <w:rPr>
                <w:rFonts w:ascii="Times New Roman" w:cs="Times New Roman" w:eastAsia="Times New Roman" w:hAnsi="Times New Roman"/>
                <w:sz w:val="16"/>
                <w:szCs w:val="16"/>
                <w:color w:val="auto"/>
              </w:rPr>
              <w:t>70.0</w:t>
            </w:r>
          </w:p>
        </w:tc>
        <w:tc>
          <w:tcPr>
            <w:tcW w:w="0" w:type="dxa"/>
            <w:vAlign w:val="bottom"/>
          </w:tcPr>
          <w:p>
            <w:pPr>
              <w:spacing w:after="0"/>
              <w:rPr>
                <w:sz w:val="1"/>
                <w:szCs w:val="1"/>
                <w:color w:val="auto"/>
              </w:rPr>
            </w:pPr>
          </w:p>
        </w:tc>
      </w:tr>
      <w:tr>
        <w:trPr>
          <w:trHeight w:val="279"/>
        </w:trPr>
        <w:tc>
          <w:tcPr>
            <w:tcW w:w="52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LUMRYZ</w:t>
            </w:r>
            <w:r>
              <w:rPr>
                <w:rFonts w:ascii="Times New Roman" w:cs="Times New Roman" w:eastAsia="Times New Roman" w:hAnsi="Times New Roman"/>
                <w:sz w:val="21"/>
                <w:szCs w:val="21"/>
                <w:color w:val="auto"/>
                <w:vertAlign w:val="superscript"/>
              </w:rPr>
              <w:t>®</w:t>
            </w:r>
          </w:p>
        </w:tc>
        <w:tc>
          <w:tcPr>
            <w:tcW w:w="3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39.5</w:t>
            </w:r>
          </w:p>
        </w:tc>
        <w:tc>
          <w:tcPr>
            <w:tcW w:w="4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wp:posOffset>
            </wp:positionH>
            <wp:positionV relativeFrom="paragraph">
              <wp:posOffset>-537210</wp:posOffset>
            </wp:positionV>
            <wp:extent cx="4971415" cy="120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71415" cy="120015"/>
                    </a:xfrm>
                    <a:prstGeom prst="rect">
                      <a:avLst/>
                    </a:prstGeom>
                    <a:noFill/>
                  </pic:spPr>
                </pic:pic>
              </a:graphicData>
            </a:graphic>
          </wp:anchor>
        </w:drawing>
      </w: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b w:val="1"/>
          <w:bCs w:val="1"/>
          <w:color w:val="auto"/>
        </w:rPr>
        <w:t>Profitability</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20" w:type="dxa"/>
            <w:vAlign w:val="bottom"/>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08"/>
        </w:trPr>
        <w:tc>
          <w:tcPr>
            <w:tcW w:w="920" w:type="dxa"/>
            <w:vAlign w:val="bottom"/>
          </w:tcPr>
          <w:p>
            <w:pPr>
              <w:spacing w:after="0"/>
              <w:rPr>
                <w:sz w:val="18"/>
                <w:szCs w:val="18"/>
                <w:color w:val="auto"/>
              </w:rPr>
            </w:pPr>
          </w:p>
        </w:tc>
        <w:tc>
          <w:tcPr>
            <w:tcW w:w="2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00" w:type="dxa"/>
            <w:vAlign w:val="bottom"/>
            <w:tcBorders>
              <w:bottom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920" w:type="dxa"/>
            <w:vAlign w:val="bottom"/>
          </w:tcPr>
          <w:p>
            <w:pPr>
              <w:spacing w:after="0"/>
              <w:rPr>
                <w:sz w:val="15"/>
                <w:szCs w:val="15"/>
                <w:color w:val="auto"/>
              </w:rPr>
            </w:pPr>
          </w:p>
        </w:tc>
        <w:tc>
          <w:tcPr>
            <w:tcW w:w="2820" w:type="dxa"/>
            <w:vAlign w:val="bottom"/>
            <w:vMerge w:val="continue"/>
          </w:tcPr>
          <w:p>
            <w:pPr>
              <w:spacing w:after="0"/>
              <w:rPr>
                <w:sz w:val="15"/>
                <w:szCs w:val="15"/>
                <w:color w:val="auto"/>
              </w:rPr>
            </w:pPr>
          </w:p>
        </w:tc>
        <w:tc>
          <w:tcPr>
            <w:tcW w:w="24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1"/>
              <w:spacing w:after="0" w:line="181" w:lineRule="exact"/>
              <w:rPr>
                <w:sz w:val="20"/>
                <w:szCs w:val="20"/>
                <w:color w:val="auto"/>
              </w:rPr>
            </w:pPr>
            <w:r>
              <w:rPr>
                <w:rFonts w:ascii="Times New Roman" w:cs="Times New Roman" w:eastAsia="Times New Roman" w:hAnsi="Times New Roman"/>
                <w:sz w:val="16"/>
                <w:szCs w:val="16"/>
                <w:b w:val="1"/>
                <w:bCs w:val="1"/>
                <w:color w:val="auto"/>
              </w:rPr>
              <w:t>2026</w:t>
            </w: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21"/>
              <w:spacing w:after="0" w:line="181" w:lineRule="exact"/>
              <w:rPr>
                <w:sz w:val="20"/>
                <w:szCs w:val="20"/>
                <w:color w:val="auto"/>
              </w:rPr>
            </w:pPr>
            <w:r>
              <w:rPr>
                <w:rFonts w:ascii="Times New Roman" w:cs="Times New Roman" w:eastAsia="Times New Roman" w:hAnsi="Times New Roman"/>
                <w:sz w:val="16"/>
                <w:szCs w:val="16"/>
                <w:b w:val="1"/>
                <w:bCs w:val="1"/>
                <w:color w:val="auto"/>
              </w:rPr>
              <w:t>2025</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920" w:type="dxa"/>
            <w:vAlign w:val="bottom"/>
          </w:tcPr>
          <w:p>
            <w:pPr>
              <w:spacing w:after="0"/>
              <w:rPr>
                <w:sz w:val="15"/>
                <w:szCs w:val="15"/>
                <w:color w:val="auto"/>
              </w:rPr>
            </w:pPr>
          </w:p>
        </w:tc>
        <w:tc>
          <w:tcPr>
            <w:tcW w:w="2820" w:type="dxa"/>
            <w:vAlign w:val="bottom"/>
            <w:shd w:val="clear" w:color="auto" w:fill="F2F2F2"/>
          </w:tcPr>
          <w:p>
            <w:pPr>
              <w:ind w:left="100"/>
              <w:spacing w:after="0" w:line="181" w:lineRule="exact"/>
              <w:rPr>
                <w:sz w:val="20"/>
                <w:szCs w:val="20"/>
                <w:color w:val="auto"/>
              </w:rPr>
            </w:pPr>
            <w:r>
              <w:rPr>
                <w:rFonts w:ascii="Times New Roman" w:cs="Times New Roman" w:eastAsia="Times New Roman" w:hAnsi="Times New Roman"/>
                <w:sz w:val="16"/>
                <w:szCs w:val="16"/>
                <w:color w:val="auto"/>
              </w:rPr>
              <w:t>GAAP Net (Loss) Income</w:t>
            </w:r>
          </w:p>
        </w:tc>
        <w:tc>
          <w:tcPr>
            <w:tcW w:w="2720" w:type="dxa"/>
            <w:vAlign w:val="bottom"/>
            <w:gridSpan w:val="2"/>
            <w:shd w:val="clear" w:color="auto" w:fill="F2F2F2"/>
          </w:tcPr>
          <w:p>
            <w:pPr>
              <w:jc w:val="right"/>
              <w:ind w:right="1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F2F2F2"/>
          </w:tcPr>
          <w:p>
            <w:pPr>
              <w:jc w:val="right"/>
              <w:ind w:right="1"/>
              <w:spacing w:after="0" w:line="181" w:lineRule="exact"/>
              <w:rPr>
                <w:sz w:val="20"/>
                <w:szCs w:val="20"/>
                <w:color w:val="auto"/>
              </w:rPr>
            </w:pPr>
            <w:r>
              <w:rPr>
                <w:rFonts w:ascii="Times New Roman" w:cs="Times New Roman" w:eastAsia="Times New Roman" w:hAnsi="Times New Roman"/>
                <w:sz w:val="16"/>
                <w:szCs w:val="16"/>
                <w:color w:val="auto"/>
              </w:rPr>
              <w:t>(66.5)</w:t>
            </w:r>
          </w:p>
        </w:tc>
        <w:tc>
          <w:tcPr>
            <w:tcW w:w="420" w:type="dxa"/>
            <w:vAlign w:val="bottom"/>
            <w:shd w:val="clear" w:color="auto" w:fill="F2F2F2"/>
          </w:tcPr>
          <w:p>
            <w:pPr>
              <w:jc w:val="right"/>
              <w:ind w:right="161"/>
              <w:spacing w:after="0" w:line="181"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F2F2F2"/>
          </w:tcPr>
          <w:p>
            <w:pPr>
              <w:jc w:val="right"/>
              <w:ind w:right="21"/>
              <w:spacing w:after="0" w:line="181" w:lineRule="exact"/>
              <w:rPr>
                <w:sz w:val="20"/>
                <w:szCs w:val="20"/>
                <w:color w:val="auto"/>
              </w:rPr>
            </w:pPr>
            <w:r>
              <w:rPr>
                <w:rFonts w:ascii="Times New Roman" w:cs="Times New Roman" w:eastAsia="Times New Roman" w:hAnsi="Times New Roman"/>
                <w:sz w:val="16"/>
                <w:szCs w:val="16"/>
                <w:color w:val="auto"/>
              </w:rPr>
              <w:t>22.5</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2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EBITDA</w:t>
            </w:r>
          </w:p>
        </w:tc>
        <w:tc>
          <w:tcPr>
            <w:tcW w:w="2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(30.1)</w:t>
            </w:r>
          </w:p>
        </w:tc>
        <w:tc>
          <w:tcPr>
            <w:tcW w:w="4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22.8</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2820" w:type="dxa"/>
            <w:vAlign w:val="bottom"/>
            <w:shd w:val="clear" w:color="auto" w:fill="F2F2F2"/>
          </w:tcPr>
          <w:p>
            <w:pPr>
              <w:ind w:left="100"/>
              <w:spacing w:after="0"/>
              <w:rPr>
                <w:sz w:val="20"/>
                <w:szCs w:val="20"/>
                <w:color w:val="auto"/>
              </w:rPr>
            </w:pPr>
            <w:r>
              <w:rPr>
                <w:rFonts w:ascii="Times New Roman" w:cs="Times New Roman" w:eastAsia="Times New Roman" w:hAnsi="Times New Roman"/>
                <w:sz w:val="16"/>
                <w:szCs w:val="16"/>
                <w:color w:val="auto"/>
              </w:rPr>
              <w:t>Adjusted EBITDA</w:t>
            </w:r>
          </w:p>
        </w:tc>
        <w:tc>
          <w:tcPr>
            <w:tcW w:w="2720" w:type="dxa"/>
            <w:vAlign w:val="bottom"/>
            <w:gridSpan w:val="2"/>
            <w:shd w:val="clear" w:color="auto" w:fill="F2F2F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F2F2F2"/>
          </w:tcPr>
          <w:p>
            <w:pPr>
              <w:jc w:val="right"/>
              <w:ind w:right="1"/>
              <w:spacing w:after="0"/>
              <w:rPr>
                <w:sz w:val="20"/>
                <w:szCs w:val="20"/>
                <w:color w:val="auto"/>
              </w:rPr>
            </w:pPr>
            <w:r>
              <w:rPr>
                <w:rFonts w:ascii="Times New Roman" w:cs="Times New Roman" w:eastAsia="Times New Roman" w:hAnsi="Times New Roman"/>
                <w:sz w:val="16"/>
                <w:szCs w:val="16"/>
                <w:color w:val="auto"/>
              </w:rPr>
              <w:t>80.3</w:t>
            </w:r>
          </w:p>
        </w:tc>
        <w:tc>
          <w:tcPr>
            <w:tcW w:w="420" w:type="dxa"/>
            <w:vAlign w:val="bottom"/>
            <w:shd w:val="clear" w:color="auto" w:fill="F2F2F2"/>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F2F2F2"/>
          </w:tcPr>
          <w:p>
            <w:pPr>
              <w:jc w:val="right"/>
              <w:ind w:right="21"/>
              <w:spacing w:after="0"/>
              <w:rPr>
                <w:sz w:val="20"/>
                <w:szCs w:val="20"/>
                <w:color w:val="auto"/>
              </w:rPr>
            </w:pPr>
            <w:r>
              <w:rPr>
                <w:rFonts w:ascii="Times New Roman" w:cs="Times New Roman" w:eastAsia="Times New Roman" w:hAnsi="Times New Roman"/>
                <w:sz w:val="16"/>
                <w:szCs w:val="16"/>
                <w:color w:val="auto"/>
              </w:rPr>
              <w:t>45.6</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9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00" w:type="dxa"/>
            <w:vAlign w:val="bottom"/>
          </w:tcPr>
          <w:p>
            <w:pPr>
              <w:jc w:val="right"/>
              <w:ind w:right="1181"/>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9"/>
        </w:trPr>
        <w:tc>
          <w:tcPr>
            <w:tcW w:w="92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6127115</wp:posOffset>
            </wp:positionH>
            <wp:positionV relativeFrom="paragraph">
              <wp:posOffset>-27305</wp:posOffset>
            </wp:positionV>
            <wp:extent cx="33020"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-27305</wp:posOffset>
            </wp:positionV>
            <wp:extent cx="33020"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9680"/>
          </w:cols>
          <w:pgMar w:left="1100" w:top="689" w:right="1119" w:bottom="1440" w:gutter="0" w:footer="0" w:header="0"/>
        </w:sectPr>
      </w:pPr>
    </w:p>
    <w:bookmarkStart w:id="4" w:name="page5"/>
    <w:bookmarkEnd w:id="4"/>
    <w:p>
      <w:pPr>
        <w:ind w:left="580"/>
        <w:spacing w:after="0"/>
        <w:rPr>
          <w:sz w:val="20"/>
          <w:szCs w:val="20"/>
          <w:color w:val="auto"/>
        </w:rPr>
      </w:pPr>
      <w:r>
        <w:rPr>
          <w:rFonts w:ascii="Times New Roman" w:cs="Times New Roman" w:eastAsia="Times New Roman" w:hAnsi="Times New Roman"/>
          <w:sz w:val="17"/>
          <w:szCs w:val="17"/>
          <w:b w:val="1"/>
          <w:bCs w:val="1"/>
          <w:u w:val="single" w:color="auto"/>
          <w:color w:val="auto"/>
        </w:rPr>
        <w:t>Revenue Highlights</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Proprietary Product Revenues</w:t>
      </w:r>
    </w:p>
    <w:p>
      <w:pPr>
        <w:spacing w:after="0" w:line="102" w:lineRule="exact"/>
        <w:rPr>
          <w:sz w:val="20"/>
          <w:szCs w:val="20"/>
          <w:color w:val="auto"/>
        </w:rPr>
      </w:pPr>
    </w:p>
    <w:p>
      <w:pPr>
        <w:ind w:left="1160" w:right="659" w:hanging="289"/>
        <w:spacing w:after="0" w:line="259" w:lineRule="auto"/>
        <w:tabs>
          <w:tab w:leader="none" w:pos="11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LYBALVI revenues for the quarter were $92.4 million. Revenues and total prescriptions grew 32% and 21%, respectively, compared to the first quarter of 2025. During the quarter, the company recorded LYBALVI revenue of approximately $2 million related to gross-to-net favorability, primarily driven by favorable patient mix.</w:t>
      </w:r>
    </w:p>
    <w:p>
      <w:pPr>
        <w:spacing w:after="0" w:line="66" w:lineRule="exact"/>
        <w:rPr>
          <w:rFonts w:ascii="Times New Roman" w:cs="Times New Roman" w:eastAsia="Times New Roman" w:hAnsi="Times New Roman"/>
          <w:sz w:val="17"/>
          <w:szCs w:val="17"/>
          <w:color w:val="auto"/>
        </w:rPr>
      </w:pPr>
    </w:p>
    <w:p>
      <w:pPr>
        <w:ind w:left="1160" w:right="639" w:hanging="289"/>
        <w:spacing w:after="0" w:line="234" w:lineRule="auto"/>
        <w:tabs>
          <w:tab w:leader="none" w:pos="11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ARISTADA</w:t>
      </w:r>
      <w:r>
        <w:rPr>
          <w:rFonts w:ascii="Times New Roman" w:cs="Times New Roman" w:eastAsia="Times New Roman" w:hAnsi="Times New Roman"/>
          <w:sz w:val="23"/>
          <w:szCs w:val="23"/>
          <w:color w:val="auto"/>
          <w:vertAlign w:val="superscript"/>
        </w:rPr>
        <w:t>i</w:t>
      </w:r>
      <w:r>
        <w:rPr>
          <w:rFonts w:ascii="Times New Roman" w:cs="Times New Roman" w:eastAsia="Times New Roman" w:hAnsi="Times New Roman"/>
          <w:sz w:val="17"/>
          <w:szCs w:val="17"/>
          <w:color w:val="auto"/>
        </w:rPr>
        <w:t xml:space="preserve"> revenues for the quarter were $93.8 million. During the quarter, the company recorded ARISTADA revenue of approximately $3.5 million related to gross-to-net favorability, primarily driven by favorable patient mix.</w:t>
      </w:r>
    </w:p>
    <w:p>
      <w:pPr>
        <w:spacing w:after="0" w:line="70" w:lineRule="exact"/>
        <w:rPr>
          <w:rFonts w:ascii="Times New Roman" w:cs="Times New Roman" w:eastAsia="Times New Roman" w:hAnsi="Times New Roman"/>
          <w:sz w:val="17"/>
          <w:szCs w:val="17"/>
          <w:color w:val="auto"/>
        </w:rPr>
      </w:pPr>
    </w:p>
    <w:p>
      <w:pPr>
        <w:ind w:left="1160" w:right="619" w:hanging="289"/>
        <w:spacing w:after="0" w:line="265" w:lineRule="auto"/>
        <w:tabs>
          <w:tab w:leader="none" w:pos="11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VIVITROL revenues for the quarter were $112.4 million. During the quarter, the company recorded VIVITROL revenue of approximately $9 million related to gross-to-net favorability, primarily driven by favorable patient mix.</w:t>
      </w:r>
    </w:p>
    <w:p>
      <w:pPr>
        <w:spacing w:after="0" w:line="50" w:lineRule="exact"/>
        <w:rPr>
          <w:rFonts w:ascii="Times New Roman" w:cs="Times New Roman" w:eastAsia="Times New Roman" w:hAnsi="Times New Roman"/>
          <w:sz w:val="17"/>
          <w:szCs w:val="17"/>
          <w:color w:val="auto"/>
        </w:rPr>
      </w:pPr>
    </w:p>
    <w:p>
      <w:pPr>
        <w:ind w:left="1160" w:right="619" w:hanging="289"/>
        <w:spacing w:after="0" w:line="265" w:lineRule="auto"/>
        <w:tabs>
          <w:tab w:leader="none" w:pos="11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LUMRYZ revenues for the quarter were $39.5 million, representing the period of Feb. 12, 2026 - March 31, 2026. Prior to the completion of the acquisition, Avadel recorded LUMRYZ net sales of approximately $33 million between Jan. 1, 2026 and Feb. 11, 2026.</w:t>
      </w:r>
    </w:p>
    <w:p>
      <w:pPr>
        <w:spacing w:after="0" w:line="4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Manufacturing &amp; Royalty Revenues</w:t>
      </w:r>
    </w:p>
    <w:p>
      <w:pPr>
        <w:spacing w:after="0" w:line="114" w:lineRule="exact"/>
        <w:rPr>
          <w:sz w:val="20"/>
          <w:szCs w:val="20"/>
          <w:color w:val="auto"/>
        </w:rPr>
      </w:pPr>
    </w:p>
    <w:p>
      <w:pPr>
        <w:ind w:left="1160" w:hanging="289"/>
        <w:spacing w:after="0"/>
        <w:tabs>
          <w:tab w:leader="none" w:pos="11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VUMERITY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manufacturing and royalty revenues for the quarter were $27.3 million.</w:t>
      </w:r>
    </w:p>
    <w:p>
      <w:pPr>
        <w:spacing w:after="0" w:line="54" w:lineRule="exact"/>
        <w:rPr>
          <w:rFonts w:ascii="Times New Roman" w:cs="Times New Roman" w:eastAsia="Times New Roman" w:hAnsi="Times New Roman"/>
          <w:sz w:val="17"/>
          <w:szCs w:val="17"/>
          <w:color w:val="auto"/>
        </w:rPr>
      </w:pPr>
    </w:p>
    <w:p>
      <w:pPr>
        <w:ind w:left="1160" w:right="1899" w:hanging="289"/>
        <w:spacing w:after="0"/>
        <w:tabs>
          <w:tab w:leader="none" w:pos="11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Royalty revenues from XEPLION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INVEGA TRINZA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/TREVICTA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and INVEGA HAFYERA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/BYANNLI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for the quarter were $18.0 million.</w:t>
      </w:r>
    </w:p>
    <w:p>
      <w:pPr>
        <w:spacing w:after="0" w:line="1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u w:val="single" w:color="auto"/>
          <w:color w:val="auto"/>
        </w:rPr>
        <w:t>Key Operating Expenses</w:t>
      </w:r>
    </w:p>
    <w:p>
      <w:pPr>
        <w:spacing w:after="0" w:line="140"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2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3"/>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8"/>
        </w:trPr>
        <w:tc>
          <w:tcPr>
            <w:tcW w:w="2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right"/>
              <w:ind w:right="901"/>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163"/>
        </w:trPr>
        <w:tc>
          <w:tcPr>
            <w:tcW w:w="2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21"/>
              <w:spacing w:after="0" w:line="162" w:lineRule="exact"/>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shd w:val="clear" w:color="auto" w:fill="F2F2F2"/>
          </w:tcPr>
          <w:p>
            <w:pPr>
              <w:spacing w:after="0"/>
              <w:rPr>
                <w:sz w:val="14"/>
                <w:szCs w:val="14"/>
                <w:color w:val="auto"/>
              </w:rPr>
            </w:pPr>
          </w:p>
        </w:tc>
        <w:tc>
          <w:tcPr>
            <w:tcW w:w="1180" w:type="dxa"/>
            <w:vAlign w:val="bottom"/>
            <w:shd w:val="clear" w:color="auto" w:fill="F2F2F2"/>
          </w:tcPr>
          <w:p>
            <w:pPr>
              <w:jc w:val="center"/>
              <w:ind w:right="141"/>
              <w:spacing w:after="0" w:line="162" w:lineRule="exact"/>
              <w:rPr>
                <w:sz w:val="20"/>
                <w:szCs w:val="20"/>
                <w:color w:val="auto"/>
              </w:rPr>
            </w:pPr>
            <w:r>
              <w:rPr>
                <w:rFonts w:ascii="Times New Roman" w:cs="Times New Roman" w:eastAsia="Times New Roman" w:hAnsi="Times New Roman"/>
                <w:sz w:val="16"/>
                <w:szCs w:val="16"/>
                <w:b w:val="1"/>
                <w:bCs w:val="1"/>
                <w:color w:val="auto"/>
                <w:w w:val="99"/>
              </w:rPr>
              <w:t>2026</w:t>
            </w:r>
          </w:p>
        </w:tc>
        <w:tc>
          <w:tcPr>
            <w:tcW w:w="220" w:type="dxa"/>
            <w:vAlign w:val="bottom"/>
            <w:shd w:val="clear" w:color="auto" w:fill="F2F2F2"/>
          </w:tcPr>
          <w:p>
            <w:pPr>
              <w:spacing w:after="0"/>
              <w:rPr>
                <w:sz w:val="14"/>
                <w:szCs w:val="14"/>
                <w:color w:val="auto"/>
              </w:rPr>
            </w:pPr>
          </w:p>
        </w:tc>
        <w:tc>
          <w:tcPr>
            <w:tcW w:w="1080" w:type="dxa"/>
            <w:vAlign w:val="bottom"/>
            <w:shd w:val="clear" w:color="auto" w:fill="F2F2F2"/>
          </w:tcPr>
          <w:p>
            <w:pPr>
              <w:jc w:val="center"/>
              <w:ind w:right="141"/>
              <w:spacing w:after="0" w:line="162" w:lineRule="exact"/>
              <w:rPr>
                <w:sz w:val="20"/>
                <w:szCs w:val="20"/>
                <w:color w:val="auto"/>
              </w:rPr>
            </w:pPr>
            <w:r>
              <w:rPr>
                <w:rFonts w:ascii="Times New Roman" w:cs="Times New Roman" w:eastAsia="Times New Roman" w:hAnsi="Times New Roman"/>
                <w:sz w:val="16"/>
                <w:szCs w:val="16"/>
                <w:b w:val="1"/>
                <w:bCs w:val="1"/>
                <w:color w:val="auto"/>
                <w:w w:val="93"/>
              </w:rPr>
              <w:t>2026</w:t>
            </w:r>
          </w:p>
        </w:tc>
        <w:tc>
          <w:tcPr>
            <w:tcW w:w="300" w:type="dxa"/>
            <w:vAlign w:val="bottom"/>
          </w:tcPr>
          <w:p>
            <w:pPr>
              <w:spacing w:after="0"/>
              <w:rPr>
                <w:sz w:val="14"/>
                <w:szCs w:val="14"/>
                <w:color w:val="auto"/>
              </w:rPr>
            </w:pPr>
          </w:p>
        </w:tc>
        <w:tc>
          <w:tcPr>
            <w:tcW w:w="1040" w:type="dxa"/>
            <w:vAlign w:val="bottom"/>
          </w:tcPr>
          <w:p>
            <w:pPr>
              <w:jc w:val="right"/>
              <w:ind w:right="461"/>
              <w:spacing w:after="0" w:line="162" w:lineRule="exact"/>
              <w:rPr>
                <w:sz w:val="20"/>
                <w:szCs w:val="20"/>
                <w:color w:val="auto"/>
              </w:rPr>
            </w:pPr>
            <w:r>
              <w:rPr>
                <w:rFonts w:ascii="Times New Roman" w:cs="Times New Roman" w:eastAsia="Times New Roman" w:hAnsi="Times New Roman"/>
                <w:sz w:val="16"/>
                <w:szCs w:val="16"/>
                <w:b w:val="1"/>
                <w:bCs w:val="1"/>
                <w:color w:val="auto"/>
              </w:rPr>
              <w:t>2025</w:t>
            </w:r>
          </w:p>
        </w:tc>
      </w:tr>
      <w:tr>
        <w:trPr>
          <w:trHeight w:val="171"/>
        </w:trPr>
        <w:tc>
          <w:tcPr>
            <w:tcW w:w="2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361"/>
              <w:spacing w:after="0" w:line="171" w:lineRule="exact"/>
              <w:rPr>
                <w:sz w:val="20"/>
                <w:szCs w:val="20"/>
                <w:color w:val="auto"/>
              </w:rPr>
            </w:pPr>
            <w:r>
              <w:rPr>
                <w:rFonts w:ascii="Times New Roman" w:cs="Times New Roman" w:eastAsia="Times New Roman" w:hAnsi="Times New Roman"/>
                <w:sz w:val="16"/>
                <w:szCs w:val="16"/>
                <w:b w:val="1"/>
                <w:bCs w:val="1"/>
                <w:color w:val="auto"/>
              </w:rPr>
              <w:t>GAAP</w:t>
            </w:r>
          </w:p>
        </w:tc>
        <w:tc>
          <w:tcPr>
            <w:tcW w:w="180" w:type="dxa"/>
            <w:vAlign w:val="bottom"/>
            <w:shd w:val="clear" w:color="auto" w:fill="F2F2F2"/>
          </w:tcPr>
          <w:p>
            <w:pPr>
              <w:spacing w:after="0"/>
              <w:rPr>
                <w:sz w:val="14"/>
                <w:szCs w:val="14"/>
                <w:color w:val="auto"/>
              </w:rPr>
            </w:pPr>
          </w:p>
        </w:tc>
        <w:tc>
          <w:tcPr>
            <w:tcW w:w="1180" w:type="dxa"/>
            <w:vAlign w:val="bottom"/>
            <w:shd w:val="clear" w:color="auto" w:fill="F2F2F2"/>
          </w:tcPr>
          <w:p>
            <w:pPr>
              <w:jc w:val="center"/>
              <w:ind w:right="141"/>
              <w:spacing w:after="0" w:line="171" w:lineRule="exact"/>
              <w:rPr>
                <w:sz w:val="20"/>
                <w:szCs w:val="20"/>
                <w:color w:val="auto"/>
              </w:rPr>
            </w:pPr>
            <w:r>
              <w:rPr>
                <w:rFonts w:ascii="Times New Roman" w:cs="Times New Roman" w:eastAsia="Times New Roman" w:hAnsi="Times New Roman"/>
                <w:sz w:val="16"/>
                <w:szCs w:val="16"/>
                <w:b w:val="1"/>
                <w:bCs w:val="1"/>
                <w:color w:val="auto"/>
                <w:w w:val="96"/>
              </w:rPr>
              <w:t>Transaction</w:t>
            </w:r>
          </w:p>
        </w:tc>
        <w:tc>
          <w:tcPr>
            <w:tcW w:w="220" w:type="dxa"/>
            <w:vAlign w:val="bottom"/>
            <w:shd w:val="clear" w:color="auto" w:fill="F2F2F2"/>
          </w:tcPr>
          <w:p>
            <w:pPr>
              <w:spacing w:after="0"/>
              <w:rPr>
                <w:sz w:val="14"/>
                <w:szCs w:val="14"/>
                <w:color w:val="auto"/>
              </w:rPr>
            </w:pPr>
          </w:p>
        </w:tc>
        <w:tc>
          <w:tcPr>
            <w:tcW w:w="1080" w:type="dxa"/>
            <w:vAlign w:val="bottom"/>
            <w:shd w:val="clear" w:color="auto" w:fill="F2F2F2"/>
          </w:tcPr>
          <w:p>
            <w:pPr>
              <w:jc w:val="center"/>
              <w:ind w:right="141"/>
              <w:spacing w:after="0" w:line="171" w:lineRule="exact"/>
              <w:rPr>
                <w:sz w:val="20"/>
                <w:szCs w:val="20"/>
                <w:color w:val="auto"/>
              </w:rPr>
            </w:pPr>
            <w:r>
              <w:rPr>
                <w:rFonts w:ascii="Times New Roman" w:cs="Times New Roman" w:eastAsia="Times New Roman" w:hAnsi="Times New Roman"/>
                <w:sz w:val="16"/>
                <w:szCs w:val="16"/>
                <w:b w:val="1"/>
                <w:bCs w:val="1"/>
                <w:color w:val="auto"/>
                <w:w w:val="98"/>
              </w:rPr>
              <w:t>Non-GAAP</w:t>
            </w:r>
          </w:p>
        </w:tc>
        <w:tc>
          <w:tcPr>
            <w:tcW w:w="300" w:type="dxa"/>
            <w:vAlign w:val="bottom"/>
          </w:tcPr>
          <w:p>
            <w:pPr>
              <w:spacing w:after="0"/>
              <w:rPr>
                <w:sz w:val="14"/>
                <w:szCs w:val="14"/>
                <w:color w:val="auto"/>
              </w:rPr>
            </w:pPr>
          </w:p>
        </w:tc>
        <w:tc>
          <w:tcPr>
            <w:tcW w:w="1040" w:type="dxa"/>
            <w:vAlign w:val="bottom"/>
          </w:tcPr>
          <w:p>
            <w:pPr>
              <w:jc w:val="right"/>
              <w:ind w:right="361"/>
              <w:spacing w:after="0" w:line="171" w:lineRule="exact"/>
              <w:rPr>
                <w:sz w:val="20"/>
                <w:szCs w:val="20"/>
                <w:color w:val="auto"/>
              </w:rPr>
            </w:pPr>
            <w:r>
              <w:rPr>
                <w:rFonts w:ascii="Times New Roman" w:cs="Times New Roman" w:eastAsia="Times New Roman" w:hAnsi="Times New Roman"/>
                <w:sz w:val="16"/>
                <w:szCs w:val="16"/>
                <w:b w:val="1"/>
                <w:bCs w:val="1"/>
                <w:color w:val="auto"/>
              </w:rPr>
              <w:t>GAAP</w:t>
            </w:r>
          </w:p>
        </w:tc>
      </w:tr>
      <w:tr>
        <w:trPr>
          <w:trHeight w:val="226"/>
        </w:trPr>
        <w:tc>
          <w:tcPr>
            <w:tcW w:w="252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shd w:val="clear" w:color="auto" w:fill="F2F2F2"/>
          </w:tcPr>
          <w:p>
            <w:pPr>
              <w:spacing w:after="0"/>
              <w:rPr>
                <w:sz w:val="19"/>
                <w:szCs w:val="19"/>
                <w:color w:val="auto"/>
              </w:rPr>
            </w:pPr>
          </w:p>
        </w:tc>
        <w:tc>
          <w:tcPr>
            <w:tcW w:w="1180" w:type="dxa"/>
            <w:vAlign w:val="bottom"/>
            <w:tcBorders>
              <w:bottom w:val="single" w:sz="8" w:color="auto"/>
            </w:tcBorders>
            <w:shd w:val="clear" w:color="auto" w:fill="F2F2F2"/>
          </w:tcPr>
          <w:p>
            <w:pPr>
              <w:jc w:val="center"/>
              <w:ind w:right="81"/>
              <w:spacing w:after="0" w:line="226" w:lineRule="exact"/>
              <w:rPr>
                <w:sz w:val="20"/>
                <w:szCs w:val="20"/>
                <w:color w:val="auto"/>
              </w:rPr>
            </w:pPr>
            <w:r>
              <w:rPr>
                <w:rFonts w:ascii="Times New Roman" w:cs="Times New Roman" w:eastAsia="Times New Roman" w:hAnsi="Times New Roman"/>
                <w:sz w:val="16"/>
                <w:szCs w:val="16"/>
                <w:b w:val="1"/>
                <w:bCs w:val="1"/>
                <w:color w:val="auto"/>
                <w:w w:val="94"/>
              </w:rPr>
              <w:t>Adjustments</w:t>
            </w:r>
            <w:r>
              <w:rPr>
                <w:rFonts w:ascii="Times New Roman" w:cs="Times New Roman" w:eastAsia="Times New Roman" w:hAnsi="Times New Roman"/>
                <w:sz w:val="21"/>
                <w:szCs w:val="21"/>
                <w:b w:val="1"/>
                <w:bCs w:val="1"/>
                <w:color w:val="auto"/>
                <w:w w:val="94"/>
                <w:vertAlign w:val="superscript"/>
              </w:rPr>
              <w:t>(1)</w:t>
            </w:r>
          </w:p>
        </w:tc>
        <w:tc>
          <w:tcPr>
            <w:tcW w:w="220" w:type="dxa"/>
            <w:vAlign w:val="bottom"/>
            <w:tcBorders>
              <w:bottom w:val="single" w:sz="8" w:color="auto"/>
            </w:tcBorders>
            <w:shd w:val="clear" w:color="auto" w:fill="F2F2F2"/>
          </w:tcPr>
          <w:p>
            <w:pPr>
              <w:spacing w:after="0"/>
              <w:rPr>
                <w:sz w:val="19"/>
                <w:szCs w:val="19"/>
                <w:color w:val="auto"/>
              </w:rPr>
            </w:pPr>
          </w:p>
        </w:tc>
        <w:tc>
          <w:tcPr>
            <w:tcW w:w="1080" w:type="dxa"/>
            <w:vAlign w:val="bottom"/>
            <w:tcBorders>
              <w:bottom w:val="single" w:sz="8" w:color="auto"/>
            </w:tcBorders>
            <w:shd w:val="clear" w:color="auto" w:fill="F2F2F2"/>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w w:val="99"/>
              </w:rPr>
              <w:t>Adjusted</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181"/>
        </w:trPr>
        <w:tc>
          <w:tcPr>
            <w:tcW w:w="2520" w:type="dxa"/>
            <w:vAlign w:val="bottom"/>
            <w:shd w:val="clear" w:color="auto" w:fill="F2F2F2"/>
          </w:tcPr>
          <w:p>
            <w:pPr>
              <w:ind w:left="100"/>
              <w:spacing w:after="0" w:line="181" w:lineRule="exact"/>
              <w:rPr>
                <w:sz w:val="20"/>
                <w:szCs w:val="20"/>
                <w:color w:val="auto"/>
              </w:rPr>
            </w:pPr>
            <w:r>
              <w:rPr>
                <w:rFonts w:ascii="Times New Roman" w:cs="Times New Roman" w:eastAsia="Times New Roman" w:hAnsi="Times New Roman"/>
                <w:sz w:val="16"/>
                <w:szCs w:val="16"/>
                <w:color w:val="auto"/>
              </w:rPr>
              <w:t>Cost of Goods Sold</w:t>
            </w:r>
          </w:p>
        </w:tc>
        <w:tc>
          <w:tcPr>
            <w:tcW w:w="300" w:type="dxa"/>
            <w:vAlign w:val="bottom"/>
            <w:shd w:val="clear" w:color="auto" w:fill="F2F2F2"/>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F2F2F2"/>
          </w:tcPr>
          <w:p>
            <w:pPr>
              <w:jc w:val="right"/>
              <w:ind w:right="1"/>
              <w:spacing w:after="0" w:line="181" w:lineRule="exact"/>
              <w:rPr>
                <w:sz w:val="20"/>
                <w:szCs w:val="20"/>
                <w:color w:val="auto"/>
              </w:rPr>
            </w:pPr>
            <w:r>
              <w:rPr>
                <w:rFonts w:ascii="Times New Roman" w:cs="Times New Roman" w:eastAsia="Times New Roman" w:hAnsi="Times New Roman"/>
                <w:sz w:val="16"/>
                <w:szCs w:val="16"/>
                <w:color w:val="auto"/>
              </w:rPr>
              <w:t>61.6</w:t>
            </w:r>
          </w:p>
        </w:tc>
        <w:tc>
          <w:tcPr>
            <w:tcW w:w="180" w:type="dxa"/>
            <w:vAlign w:val="bottom"/>
            <w:shd w:val="clear" w:color="auto" w:fill="F2F2F2"/>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F2F2F2"/>
          </w:tcPr>
          <w:p>
            <w:pPr>
              <w:jc w:val="right"/>
              <w:ind w:right="1"/>
              <w:spacing w:after="0" w:line="181" w:lineRule="exact"/>
              <w:rPr>
                <w:sz w:val="20"/>
                <w:szCs w:val="20"/>
                <w:color w:val="auto"/>
              </w:rPr>
            </w:pPr>
            <w:r>
              <w:rPr>
                <w:rFonts w:ascii="Times New Roman" w:cs="Times New Roman" w:eastAsia="Times New Roman" w:hAnsi="Times New Roman"/>
                <w:sz w:val="16"/>
                <w:szCs w:val="16"/>
                <w:color w:val="auto"/>
              </w:rPr>
              <w:t>12.7</w:t>
            </w:r>
          </w:p>
        </w:tc>
        <w:tc>
          <w:tcPr>
            <w:tcW w:w="220" w:type="dxa"/>
            <w:vAlign w:val="bottom"/>
            <w:shd w:val="clear" w:color="auto" w:fill="F2F2F2"/>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F2F2F2"/>
          </w:tcPr>
          <w:p>
            <w:pPr>
              <w:jc w:val="right"/>
              <w:ind w:right="1"/>
              <w:spacing w:after="0" w:line="181" w:lineRule="exact"/>
              <w:rPr>
                <w:sz w:val="20"/>
                <w:szCs w:val="20"/>
                <w:color w:val="auto"/>
              </w:rPr>
            </w:pPr>
            <w:r>
              <w:rPr>
                <w:rFonts w:ascii="Times New Roman" w:cs="Times New Roman" w:eastAsia="Times New Roman" w:hAnsi="Times New Roman"/>
                <w:sz w:val="16"/>
                <w:szCs w:val="16"/>
                <w:color w:val="auto"/>
              </w:rPr>
              <w:t>48.9</w:t>
            </w:r>
          </w:p>
        </w:tc>
        <w:tc>
          <w:tcPr>
            <w:tcW w:w="300" w:type="dxa"/>
            <w:vAlign w:val="bottom"/>
            <w:shd w:val="clear" w:color="auto" w:fill="F2F2F2"/>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F2F2F2"/>
          </w:tcPr>
          <w:p>
            <w:pPr>
              <w:jc w:val="right"/>
              <w:ind w:right="21"/>
              <w:spacing w:after="0" w:line="181" w:lineRule="exact"/>
              <w:rPr>
                <w:sz w:val="20"/>
                <w:szCs w:val="20"/>
                <w:color w:val="auto"/>
              </w:rPr>
            </w:pPr>
            <w:r>
              <w:rPr>
                <w:rFonts w:ascii="Times New Roman" w:cs="Times New Roman" w:eastAsia="Times New Roman" w:hAnsi="Times New Roman"/>
                <w:sz w:val="16"/>
                <w:szCs w:val="16"/>
                <w:color w:val="auto"/>
              </w:rPr>
              <w:t>49.2</w:t>
            </w:r>
          </w:p>
        </w:tc>
      </w:tr>
      <w:tr>
        <w:trPr>
          <w:trHeight w:val="189"/>
        </w:trPr>
        <w:tc>
          <w:tcPr>
            <w:tcW w:w="2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R&amp;D Expense</w:t>
            </w:r>
          </w:p>
        </w:tc>
        <w:tc>
          <w:tcPr>
            <w:tcW w:w="3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103.3</w:t>
            </w:r>
          </w:p>
        </w:tc>
        <w:tc>
          <w:tcPr>
            <w:tcW w:w="180" w:type="dxa"/>
            <w:vAlign w:val="bottom"/>
            <w:shd w:val="clear" w:color="auto" w:fill="F2F2F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F2F2F2"/>
          </w:tcPr>
          <w:p>
            <w:pPr>
              <w:jc w:val="right"/>
              <w:ind w:right="1"/>
              <w:spacing w:after="0"/>
              <w:rPr>
                <w:sz w:val="20"/>
                <w:szCs w:val="20"/>
                <w:color w:val="auto"/>
              </w:rPr>
            </w:pPr>
            <w:r>
              <w:rPr>
                <w:rFonts w:ascii="Times New Roman" w:cs="Times New Roman" w:eastAsia="Times New Roman" w:hAnsi="Times New Roman"/>
                <w:sz w:val="16"/>
                <w:szCs w:val="16"/>
                <w:color w:val="auto"/>
              </w:rPr>
              <w:t>8.1</w:t>
            </w:r>
          </w:p>
        </w:tc>
        <w:tc>
          <w:tcPr>
            <w:tcW w:w="220" w:type="dxa"/>
            <w:vAlign w:val="bottom"/>
            <w:shd w:val="clear" w:color="auto" w:fill="F2F2F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F2F2F2"/>
          </w:tcPr>
          <w:p>
            <w:pPr>
              <w:jc w:val="right"/>
              <w:ind w:right="1"/>
              <w:spacing w:after="0"/>
              <w:rPr>
                <w:sz w:val="20"/>
                <w:szCs w:val="20"/>
                <w:color w:val="auto"/>
              </w:rPr>
            </w:pPr>
            <w:r>
              <w:rPr>
                <w:rFonts w:ascii="Times New Roman" w:cs="Times New Roman" w:eastAsia="Times New Roman" w:hAnsi="Times New Roman"/>
                <w:sz w:val="16"/>
                <w:szCs w:val="16"/>
                <w:color w:val="auto"/>
              </w:rPr>
              <w:t>95.3</w:t>
            </w:r>
          </w:p>
        </w:tc>
        <w:tc>
          <w:tcPr>
            <w:tcW w:w="3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71.8</w:t>
            </w:r>
          </w:p>
        </w:tc>
      </w:tr>
      <w:tr>
        <w:trPr>
          <w:trHeight w:val="189"/>
        </w:trPr>
        <w:tc>
          <w:tcPr>
            <w:tcW w:w="2520" w:type="dxa"/>
            <w:vAlign w:val="bottom"/>
            <w:shd w:val="clear" w:color="auto" w:fill="F2F2F2"/>
          </w:tcPr>
          <w:p>
            <w:pPr>
              <w:ind w:left="100"/>
              <w:spacing w:after="0"/>
              <w:rPr>
                <w:sz w:val="20"/>
                <w:szCs w:val="20"/>
                <w:color w:val="auto"/>
              </w:rPr>
            </w:pPr>
            <w:r>
              <w:rPr>
                <w:rFonts w:ascii="Times New Roman" w:cs="Times New Roman" w:eastAsia="Times New Roman" w:hAnsi="Times New Roman"/>
                <w:sz w:val="16"/>
                <w:szCs w:val="16"/>
                <w:color w:val="auto"/>
              </w:rPr>
              <w:t>SG&amp;A Expense</w:t>
            </w:r>
          </w:p>
        </w:tc>
        <w:tc>
          <w:tcPr>
            <w:tcW w:w="300" w:type="dxa"/>
            <w:vAlign w:val="bottom"/>
            <w:shd w:val="clear" w:color="auto" w:fill="F2F2F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F2F2F2"/>
          </w:tcPr>
          <w:p>
            <w:pPr>
              <w:jc w:val="right"/>
              <w:ind w:right="1"/>
              <w:spacing w:after="0"/>
              <w:rPr>
                <w:sz w:val="20"/>
                <w:szCs w:val="20"/>
                <w:color w:val="auto"/>
              </w:rPr>
            </w:pPr>
            <w:r>
              <w:rPr>
                <w:rFonts w:ascii="Times New Roman" w:cs="Times New Roman" w:eastAsia="Times New Roman" w:hAnsi="Times New Roman"/>
                <w:sz w:val="16"/>
                <w:szCs w:val="16"/>
                <w:color w:val="auto"/>
              </w:rPr>
              <w:t>264.6</w:t>
            </w:r>
          </w:p>
        </w:tc>
        <w:tc>
          <w:tcPr>
            <w:tcW w:w="180" w:type="dxa"/>
            <w:vAlign w:val="bottom"/>
            <w:shd w:val="clear" w:color="auto" w:fill="F2F2F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F2F2F2"/>
          </w:tcPr>
          <w:p>
            <w:pPr>
              <w:jc w:val="right"/>
              <w:ind w:right="1"/>
              <w:spacing w:after="0"/>
              <w:rPr>
                <w:sz w:val="20"/>
                <w:szCs w:val="20"/>
                <w:color w:val="auto"/>
              </w:rPr>
            </w:pPr>
            <w:r>
              <w:rPr>
                <w:rFonts w:ascii="Times New Roman" w:cs="Times New Roman" w:eastAsia="Times New Roman" w:hAnsi="Times New Roman"/>
                <w:sz w:val="16"/>
                <w:szCs w:val="16"/>
                <w:color w:val="auto"/>
              </w:rPr>
              <w:t>55.2</w:t>
            </w:r>
          </w:p>
        </w:tc>
        <w:tc>
          <w:tcPr>
            <w:tcW w:w="220" w:type="dxa"/>
            <w:vAlign w:val="bottom"/>
            <w:shd w:val="clear" w:color="auto" w:fill="F2F2F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F2F2F2"/>
          </w:tcPr>
          <w:p>
            <w:pPr>
              <w:jc w:val="right"/>
              <w:ind w:right="1"/>
              <w:spacing w:after="0"/>
              <w:rPr>
                <w:sz w:val="20"/>
                <w:szCs w:val="20"/>
                <w:color w:val="auto"/>
              </w:rPr>
            </w:pPr>
            <w:r>
              <w:rPr>
                <w:rFonts w:ascii="Times New Roman" w:cs="Times New Roman" w:eastAsia="Times New Roman" w:hAnsi="Times New Roman"/>
                <w:sz w:val="16"/>
                <w:szCs w:val="16"/>
                <w:color w:val="auto"/>
              </w:rPr>
              <w:t>209.4</w:t>
            </w:r>
          </w:p>
        </w:tc>
        <w:tc>
          <w:tcPr>
            <w:tcW w:w="300" w:type="dxa"/>
            <w:vAlign w:val="bottom"/>
            <w:shd w:val="clear" w:color="auto" w:fill="F2F2F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F2F2F2"/>
          </w:tcPr>
          <w:p>
            <w:pPr>
              <w:jc w:val="right"/>
              <w:ind w:right="21"/>
              <w:spacing w:after="0"/>
              <w:rPr>
                <w:sz w:val="20"/>
                <w:szCs w:val="20"/>
                <w:color w:val="auto"/>
              </w:rPr>
            </w:pPr>
            <w:r>
              <w:rPr>
                <w:rFonts w:ascii="Times New Roman" w:cs="Times New Roman" w:eastAsia="Times New Roman" w:hAnsi="Times New Roman"/>
                <w:sz w:val="16"/>
                <w:szCs w:val="16"/>
                <w:color w:val="auto"/>
              </w:rPr>
              <w:t>171.7</w:t>
            </w:r>
          </w:p>
        </w:tc>
      </w:tr>
    </w:tbl>
    <w:p>
      <w:pPr>
        <w:spacing w:after="0" w:line="106" w:lineRule="exact"/>
        <w:rPr>
          <w:sz w:val="20"/>
          <w:szCs w:val="20"/>
          <w:color w:val="auto"/>
        </w:rPr>
      </w:pPr>
    </w:p>
    <w:p>
      <w:pPr>
        <w:ind w:left="1160" w:right="699" w:hanging="289"/>
        <w:spacing w:after="0" w:line="299" w:lineRule="auto"/>
        <w:tabs>
          <w:tab w:leader="none" w:pos="11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$20.2 million of share-based compensation expense related to the acceleration of vesting of equity awards for former Avadel employees which vested in full upon the closing of the transaction.</w:t>
      </w:r>
    </w:p>
    <w:p>
      <w:pPr>
        <w:spacing w:after="0" w:line="1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u w:val="single" w:color="auto"/>
          <w:color w:val="auto"/>
        </w:rPr>
        <w:t>Balance Sheet</w:t>
      </w:r>
    </w:p>
    <w:p>
      <w:pPr>
        <w:spacing w:after="0" w:line="102" w:lineRule="exact"/>
        <w:rPr>
          <w:sz w:val="20"/>
          <w:szCs w:val="20"/>
          <w:color w:val="auto"/>
        </w:rPr>
      </w:pPr>
    </w:p>
    <w:p>
      <w:pPr>
        <w:ind w:left="1160" w:right="739" w:hanging="289"/>
        <w:spacing w:after="0" w:line="284" w:lineRule="auto"/>
        <w:tabs>
          <w:tab w:leader="none" w:pos="11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March 31, 2026, the company recorded cash, cash equivalents, restricted cash and total investments of $538.2 million, compared to $1.32 billion at Dec. 31, 2025.</w:t>
      </w:r>
    </w:p>
    <w:p>
      <w:pPr>
        <w:spacing w:after="0" w:line="34" w:lineRule="exact"/>
        <w:rPr>
          <w:rFonts w:ascii="Times New Roman" w:cs="Times New Roman" w:eastAsia="Times New Roman" w:hAnsi="Times New Roman"/>
          <w:sz w:val="17"/>
          <w:szCs w:val="17"/>
          <w:color w:val="auto"/>
        </w:rPr>
      </w:pPr>
    </w:p>
    <w:p>
      <w:pPr>
        <w:ind w:left="1160" w:right="719" w:hanging="289"/>
        <w:spacing w:after="0" w:line="265" w:lineRule="auto"/>
        <w:tabs>
          <w:tab w:leader="none" w:pos="11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finance the acquisition of Avadel, which closed in February 2026, the company used approximately $775 million of cash from its balance sheet and entered into term loans totaling $1.525 billion due in 2031.</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u w:val="single" w:color="auto"/>
          <w:color w:val="auto"/>
        </w:rPr>
        <w:t>Share Repurchase Program</w:t>
      </w:r>
    </w:p>
    <w:p>
      <w:pPr>
        <w:spacing w:after="0" w:line="102" w:lineRule="exact"/>
        <w:rPr>
          <w:sz w:val="20"/>
          <w:szCs w:val="20"/>
          <w:color w:val="auto"/>
        </w:rPr>
      </w:pPr>
    </w:p>
    <w:p>
      <w:pPr>
        <w:jc w:val="both"/>
        <w:ind w:left="1160" w:right="859" w:hanging="289"/>
        <w:spacing w:after="0" w:line="265" w:lineRule="auto"/>
        <w:tabs>
          <w:tab w:leader="none" w:pos="11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first quarter of 2026, the company repurchased approximately 1 million of the company’s ordinary shares under the share repurchase program authorized in February 2024, at a total purchase price of approximately $28 million.</w:t>
      </w:r>
    </w:p>
    <w:p>
      <w:pPr>
        <w:spacing w:after="0" w:line="50" w:lineRule="exact"/>
        <w:rPr>
          <w:rFonts w:ascii="Times New Roman" w:cs="Times New Roman" w:eastAsia="Times New Roman" w:hAnsi="Times New Roman"/>
          <w:sz w:val="17"/>
          <w:szCs w:val="17"/>
          <w:color w:val="auto"/>
        </w:rPr>
      </w:pPr>
    </w:p>
    <w:p>
      <w:pPr>
        <w:ind w:left="1160" w:right="1479" w:hanging="289"/>
        <w:spacing w:after="0" w:line="284" w:lineRule="auto"/>
        <w:tabs>
          <w:tab w:leader="none" w:pos="11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March 31, 2026, the company had approximately $172 million (exclusive of any fees, commissions or other related expenses) remaining under the program.</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346710</wp:posOffset>
            </wp:positionV>
            <wp:extent cx="6168390"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5" w:name="page6"/>
    <w:bookmarkEnd w:id="5"/>
    <w:p>
      <w:pPr>
        <w:ind w:left="580"/>
        <w:spacing w:after="0"/>
        <w:rPr>
          <w:sz w:val="20"/>
          <w:szCs w:val="20"/>
          <w:color w:val="auto"/>
        </w:rPr>
      </w:pPr>
      <w:r>
        <w:rPr>
          <w:rFonts w:ascii="Times New Roman" w:cs="Times New Roman" w:eastAsia="Times New Roman" w:hAnsi="Times New Roman"/>
          <w:sz w:val="17"/>
          <w:szCs w:val="17"/>
          <w:b w:val="1"/>
          <w:bCs w:val="1"/>
          <w:u w:val="single" w:color="auto"/>
          <w:color w:val="auto"/>
        </w:rPr>
        <w:t>Financial Expectations for 2026</w:t>
      </w:r>
    </w:p>
    <w:p>
      <w:pPr>
        <w:spacing w:after="0" w:line="138" w:lineRule="exact"/>
        <w:rPr>
          <w:sz w:val="20"/>
          <w:szCs w:val="20"/>
          <w:color w:val="auto"/>
        </w:rPr>
      </w:pPr>
    </w:p>
    <w:p>
      <w:pPr>
        <w:ind w:left="580" w:right="759"/>
        <w:spacing w:after="0" w:line="265" w:lineRule="auto"/>
        <w:rPr>
          <w:sz w:val="20"/>
          <w:szCs w:val="20"/>
          <w:color w:val="auto"/>
        </w:rPr>
      </w:pPr>
      <w:r>
        <w:rPr>
          <w:rFonts w:ascii="Times New Roman" w:cs="Times New Roman" w:eastAsia="Times New Roman" w:hAnsi="Times New Roman"/>
          <w:sz w:val="17"/>
          <w:szCs w:val="17"/>
          <w:color w:val="auto"/>
        </w:rPr>
        <w:t>In connection with the purchase price accounting related to the acquisition of Avadel, the company is updating certain non-cash elements of its 2026 full year financial expectations, resulting in improved expectations for GAAP net loss and EBITDA. All line items are according to GAAP, except as otherwise noted.</w:t>
      </w:r>
    </w:p>
    <w:p>
      <w:pPr>
        <w:spacing w:after="0" w:line="159" w:lineRule="exact"/>
        <w:rPr>
          <w:sz w:val="20"/>
          <w:szCs w:val="20"/>
          <w:color w:val="auto"/>
        </w:rPr>
      </w:pPr>
    </w:p>
    <w:tbl>
      <w:tblPr>
        <w:tblLayout w:type="fixed"/>
        <w:tblInd w:w="1160" w:type="dxa"/>
        <w:tblCellMar>
          <w:top w:w="0" w:type="dxa"/>
          <w:left w:w="0" w:type="dxa"/>
          <w:bottom w:w="0" w:type="dxa"/>
          <w:right w:w="0" w:type="dxa"/>
        </w:tblCellMar>
      </w:tblPr>
      <w:tr>
        <w:trPr>
          <w:trHeight w:val="189"/>
        </w:trPr>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8"/>
              </w:rPr>
              <w:t>Previous 2026</w:t>
            </w:r>
          </w:p>
        </w:tc>
        <w:tc>
          <w:tcPr>
            <w:tcW w:w="204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b w:val="1"/>
                <w:bCs w:val="1"/>
                <w:color w:val="auto"/>
                <w:w w:val="97"/>
              </w:rPr>
              <w:t>Updated 2026</w:t>
            </w:r>
          </w:p>
        </w:tc>
        <w:tc>
          <w:tcPr>
            <w:tcW w:w="0" w:type="dxa"/>
            <w:vAlign w:val="bottom"/>
          </w:tcPr>
          <w:p>
            <w:pPr>
              <w:spacing w:after="0"/>
              <w:rPr>
                <w:sz w:val="1"/>
                <w:szCs w:val="1"/>
                <w:color w:val="auto"/>
              </w:rPr>
            </w:pPr>
          </w:p>
        </w:tc>
      </w:tr>
      <w:tr>
        <w:trPr>
          <w:trHeight w:val="191"/>
        </w:trPr>
        <w:tc>
          <w:tcPr>
            <w:tcW w:w="23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40" w:type="dxa"/>
            <w:vAlign w:val="bottom"/>
          </w:tcPr>
          <w:p>
            <w:pPr>
              <w:spacing w:after="0"/>
              <w:rPr>
                <w:sz w:val="16"/>
                <w:szCs w:val="16"/>
                <w:color w:val="auto"/>
              </w:rPr>
            </w:pPr>
          </w:p>
        </w:tc>
        <w:tc>
          <w:tcPr>
            <w:tcW w:w="2060" w:type="dxa"/>
            <w:vAlign w:val="bottom"/>
            <w:gridSpan w:val="2"/>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7"/>
              </w:rPr>
              <w:t>Expectations</w:t>
            </w:r>
          </w:p>
        </w:tc>
        <w:tc>
          <w:tcPr>
            <w:tcW w:w="204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b w:val="1"/>
                <w:bCs w:val="1"/>
                <w:color w:val="auto"/>
                <w:w w:val="99"/>
              </w:rPr>
              <w:t>Expectations</w:t>
            </w:r>
          </w:p>
        </w:tc>
        <w:tc>
          <w:tcPr>
            <w:tcW w:w="0" w:type="dxa"/>
            <w:vAlign w:val="bottom"/>
          </w:tcPr>
          <w:p>
            <w:pPr>
              <w:spacing w:after="0"/>
              <w:rPr>
                <w:sz w:val="1"/>
                <w:szCs w:val="1"/>
                <w:color w:val="auto"/>
              </w:rPr>
            </w:pPr>
          </w:p>
        </w:tc>
      </w:tr>
      <w:tr>
        <w:trPr>
          <w:trHeight w:val="206"/>
        </w:trPr>
        <w:tc>
          <w:tcPr>
            <w:tcW w:w="232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tcBorders>
              <w:bottom w:val="single" w:sz="8" w:color="auto"/>
            </w:tcBorders>
            <w:gridSpan w:val="2"/>
          </w:tcPr>
          <w:p>
            <w:pPr>
              <w:jc w:val="center"/>
              <w:ind w:right="41"/>
              <w:spacing w:after="0"/>
              <w:rPr>
                <w:sz w:val="20"/>
                <w:szCs w:val="20"/>
                <w:color w:val="auto"/>
              </w:rPr>
            </w:pPr>
            <w:r>
              <w:rPr>
                <w:rFonts w:ascii="Times New Roman" w:cs="Times New Roman" w:eastAsia="Times New Roman" w:hAnsi="Times New Roman"/>
                <w:sz w:val="16"/>
                <w:szCs w:val="16"/>
                <w:color w:val="auto"/>
                <w:w w:val="99"/>
              </w:rPr>
              <w:t>(provided Feb. 25, 2026)</w:t>
            </w:r>
          </w:p>
        </w:tc>
        <w:tc>
          <w:tcPr>
            <w:tcW w:w="2040" w:type="dxa"/>
            <w:vAlign w:val="bottom"/>
            <w:tcBorders>
              <w:bottom w:val="single" w:sz="8" w:color="auto"/>
            </w:tcBorders>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9"/>
              </w:rPr>
              <w:t>(provided May 5, 2026)</w:t>
            </w:r>
          </w:p>
        </w:tc>
        <w:tc>
          <w:tcPr>
            <w:tcW w:w="0" w:type="dxa"/>
            <w:vAlign w:val="bottom"/>
          </w:tcPr>
          <w:p>
            <w:pPr>
              <w:spacing w:after="0"/>
              <w:rPr>
                <w:sz w:val="1"/>
                <w:szCs w:val="1"/>
                <w:color w:val="auto"/>
              </w:rPr>
            </w:pPr>
          </w:p>
        </w:tc>
      </w:tr>
      <w:tr>
        <w:trPr>
          <w:trHeight w:val="228"/>
        </w:trPr>
        <w:tc>
          <w:tcPr>
            <w:tcW w:w="2320" w:type="dxa"/>
            <w:vAlign w:val="bottom"/>
            <w:shd w:val="clear" w:color="auto" w:fill="F2F2F2"/>
          </w:tcPr>
          <w:p>
            <w:pPr>
              <w:ind w:left="100"/>
              <w:spacing w:after="0"/>
              <w:rPr>
                <w:sz w:val="20"/>
                <w:szCs w:val="20"/>
                <w:color w:val="auto"/>
              </w:rPr>
            </w:pPr>
            <w:r>
              <w:rPr>
                <w:rFonts w:ascii="Times New Roman" w:cs="Times New Roman" w:eastAsia="Times New Roman" w:hAnsi="Times New Roman"/>
                <w:sz w:val="16"/>
                <w:szCs w:val="16"/>
                <w:color w:val="auto"/>
              </w:rPr>
              <w:t>Total Revenues</w:t>
            </w:r>
          </w:p>
        </w:tc>
        <w:tc>
          <w:tcPr>
            <w:tcW w:w="1140" w:type="dxa"/>
            <w:vAlign w:val="bottom"/>
            <w:gridSpan w:val="2"/>
            <w:shd w:val="clear" w:color="auto" w:fill="F2F2F2"/>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1160" w:type="dxa"/>
            <w:vAlign w:val="bottom"/>
            <w:shd w:val="clear" w:color="auto" w:fill="F2F2F2"/>
          </w:tcPr>
          <w:p>
            <w:pPr>
              <w:ind w:left="20"/>
              <w:spacing w:after="0"/>
              <w:rPr>
                <w:sz w:val="20"/>
                <w:szCs w:val="20"/>
                <w:color w:val="auto"/>
              </w:rPr>
            </w:pPr>
            <w:r>
              <w:rPr>
                <w:rFonts w:ascii="Times New Roman" w:cs="Times New Roman" w:eastAsia="Times New Roman" w:hAnsi="Times New Roman"/>
                <w:sz w:val="16"/>
                <w:szCs w:val="16"/>
                <w:color w:val="auto"/>
              </w:rPr>
              <w:t>– $1,840</w:t>
            </w:r>
          </w:p>
        </w:tc>
        <w:tc>
          <w:tcPr>
            <w:tcW w:w="1020" w:type="dxa"/>
            <w:vAlign w:val="bottom"/>
            <w:shd w:val="clear" w:color="auto" w:fill="F2F2F2"/>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1020" w:type="dxa"/>
            <w:vAlign w:val="bottom"/>
            <w:shd w:val="clear" w:color="auto" w:fill="F2F2F2"/>
          </w:tcPr>
          <w:p>
            <w:pPr>
              <w:ind w:left="20"/>
              <w:spacing w:after="0"/>
              <w:rPr>
                <w:sz w:val="20"/>
                <w:szCs w:val="20"/>
                <w:color w:val="auto"/>
              </w:rPr>
            </w:pPr>
            <w:r>
              <w:rPr>
                <w:rFonts w:ascii="Times New Roman" w:cs="Times New Roman" w:eastAsia="Times New Roman" w:hAnsi="Times New Roman"/>
                <w:sz w:val="16"/>
                <w:szCs w:val="16"/>
                <w:color w:val="auto"/>
              </w:rPr>
              <w:t>– $1,840</w:t>
            </w:r>
          </w:p>
        </w:tc>
        <w:tc>
          <w:tcPr>
            <w:tcW w:w="0" w:type="dxa"/>
            <w:vAlign w:val="bottom"/>
          </w:tcPr>
          <w:p>
            <w:pPr>
              <w:spacing w:after="0"/>
              <w:rPr>
                <w:sz w:val="1"/>
                <w:szCs w:val="1"/>
                <w:color w:val="auto"/>
              </w:rPr>
            </w:pPr>
          </w:p>
        </w:tc>
      </w:tr>
      <w:tr>
        <w:trPr>
          <w:trHeight w:val="189"/>
        </w:trPr>
        <w:tc>
          <w:tcPr>
            <w:tcW w:w="2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VIVITROL Net Sales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$480</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$480</w:t>
            </w:r>
          </w:p>
        </w:tc>
        <w:tc>
          <w:tcPr>
            <w:tcW w:w="0" w:type="dxa"/>
            <w:vAlign w:val="bottom"/>
          </w:tcPr>
          <w:p>
            <w:pPr>
              <w:spacing w:after="0"/>
              <w:rPr>
                <w:sz w:val="1"/>
                <w:szCs w:val="1"/>
                <w:color w:val="auto"/>
              </w:rPr>
            </w:pPr>
          </w:p>
        </w:tc>
      </w:tr>
      <w:tr>
        <w:trPr>
          <w:trHeight w:val="142"/>
        </w:trPr>
        <w:tc>
          <w:tcPr>
            <w:tcW w:w="2320" w:type="dxa"/>
            <w:vAlign w:val="bottom"/>
          </w:tcPr>
          <w:p>
            <w:pPr>
              <w:ind w:left="380"/>
              <w:spacing w:after="0" w:line="142" w:lineRule="exact"/>
              <w:rPr>
                <w:sz w:val="20"/>
                <w:szCs w:val="20"/>
                <w:color w:val="auto"/>
              </w:rPr>
            </w:pPr>
            <w:r>
              <w:rPr>
                <w:rFonts w:ascii="Times New Roman" w:cs="Times New Roman" w:eastAsia="Times New Roman" w:hAnsi="Times New Roman"/>
                <w:sz w:val="16"/>
                <w:szCs w:val="16"/>
                <w:color w:val="auto"/>
              </w:rPr>
              <w:t>LYBALVI Net Sales</w:t>
            </w:r>
          </w:p>
        </w:tc>
        <w:tc>
          <w:tcPr>
            <w:tcW w:w="11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auto"/>
              </w:rPr>
              <w:t>$380</w:t>
            </w:r>
          </w:p>
        </w:tc>
        <w:tc>
          <w:tcPr>
            <w:tcW w:w="116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 $400</w:t>
            </w: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$380</w:t>
            </w:r>
          </w:p>
        </w:tc>
        <w:tc>
          <w:tcPr>
            <w:tcW w:w="102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 $400</w:t>
            </w:r>
          </w:p>
        </w:tc>
        <w:tc>
          <w:tcPr>
            <w:tcW w:w="0" w:type="dxa"/>
            <w:vAlign w:val="bottom"/>
          </w:tcPr>
          <w:p>
            <w:pPr>
              <w:spacing w:after="0"/>
              <w:rPr>
                <w:sz w:val="1"/>
                <w:szCs w:val="1"/>
                <w:color w:val="auto"/>
              </w:rPr>
            </w:pPr>
          </w:p>
        </w:tc>
      </w:tr>
      <w:tr>
        <w:trPr>
          <w:trHeight w:val="189"/>
        </w:trPr>
        <w:tc>
          <w:tcPr>
            <w:tcW w:w="2320" w:type="dxa"/>
            <w:vAlign w:val="bottom"/>
          </w:tcPr>
          <w:p>
            <w:pPr>
              <w:ind w:left="380"/>
              <w:spacing w:after="0" w:line="190" w:lineRule="exact"/>
              <w:rPr>
                <w:sz w:val="20"/>
                <w:szCs w:val="20"/>
                <w:color w:val="auto"/>
              </w:rPr>
            </w:pPr>
            <w:r>
              <w:rPr>
                <w:rFonts w:ascii="Times New Roman" w:cs="Times New Roman" w:eastAsia="Times New Roman" w:hAnsi="Times New Roman"/>
                <w:sz w:val="16"/>
                <w:szCs w:val="16"/>
                <w:color w:val="auto"/>
              </w:rPr>
              <w:t>ARISTADA</w:t>
            </w:r>
            <w:r>
              <w:rPr>
                <w:rFonts w:ascii="Times New Roman" w:cs="Times New Roman" w:eastAsia="Times New Roman" w:hAnsi="Times New Roman"/>
                <w:sz w:val="21"/>
                <w:szCs w:val="21"/>
                <w:color w:val="auto"/>
                <w:vertAlign w:val="superscript"/>
              </w:rPr>
              <w:t>i</w:t>
            </w:r>
            <w:r>
              <w:rPr>
                <w:rFonts w:ascii="Times New Roman" w:cs="Times New Roman" w:eastAsia="Times New Roman" w:hAnsi="Times New Roman"/>
                <w:sz w:val="16"/>
                <w:szCs w:val="16"/>
                <w:color w:val="auto"/>
              </w:rPr>
              <w:t xml:space="preserve"> Net Sales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$385</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$385</w:t>
            </w:r>
          </w:p>
        </w:tc>
        <w:tc>
          <w:tcPr>
            <w:tcW w:w="0" w:type="dxa"/>
            <w:vAlign w:val="bottom"/>
          </w:tcPr>
          <w:p>
            <w:pPr>
              <w:spacing w:after="0"/>
              <w:rPr>
                <w:sz w:val="1"/>
                <w:szCs w:val="1"/>
                <w:color w:val="auto"/>
              </w:rPr>
            </w:pPr>
          </w:p>
        </w:tc>
      </w:tr>
      <w:tr>
        <w:trPr>
          <w:trHeight w:val="189"/>
        </w:trPr>
        <w:tc>
          <w:tcPr>
            <w:tcW w:w="2320" w:type="dxa"/>
            <w:vAlign w:val="bottom"/>
          </w:tcPr>
          <w:p>
            <w:pPr>
              <w:ind w:left="380"/>
              <w:spacing w:after="0" w:line="190" w:lineRule="exact"/>
              <w:rPr>
                <w:sz w:val="20"/>
                <w:szCs w:val="20"/>
                <w:color w:val="auto"/>
              </w:rPr>
            </w:pPr>
            <w:r>
              <w:rPr>
                <w:rFonts w:ascii="Times New Roman" w:cs="Times New Roman" w:eastAsia="Times New Roman" w:hAnsi="Times New Roman"/>
                <w:sz w:val="16"/>
                <w:szCs w:val="16"/>
                <w:color w:val="auto"/>
              </w:rPr>
              <w:t xml:space="preserve">LUMRYZ Net Sales </w:t>
            </w:r>
            <w:r>
              <w:rPr>
                <w:rFonts w:ascii="Times New Roman" w:cs="Times New Roman" w:eastAsia="Times New Roman" w:hAnsi="Times New Roman"/>
                <w:sz w:val="21"/>
                <w:szCs w:val="21"/>
                <w:color w:val="auto"/>
                <w:vertAlign w:val="superscript"/>
              </w:rPr>
              <w:t>a</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$335</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$335</w:t>
            </w:r>
          </w:p>
        </w:tc>
        <w:tc>
          <w:tcPr>
            <w:tcW w:w="0" w:type="dxa"/>
            <w:vAlign w:val="bottom"/>
          </w:tcPr>
          <w:p>
            <w:pPr>
              <w:spacing w:after="0"/>
              <w:rPr>
                <w:sz w:val="1"/>
                <w:szCs w:val="1"/>
                <w:color w:val="auto"/>
              </w:rPr>
            </w:pPr>
          </w:p>
        </w:tc>
      </w:tr>
      <w:tr>
        <w:trPr>
          <w:trHeight w:val="236"/>
        </w:trPr>
        <w:tc>
          <w:tcPr>
            <w:tcW w:w="2320" w:type="dxa"/>
            <w:vAlign w:val="bottom"/>
          </w:tcPr>
          <w:p>
            <w:pPr>
              <w:ind w:left="100"/>
              <w:spacing w:after="0" w:line="236" w:lineRule="exact"/>
              <w:rPr>
                <w:sz w:val="20"/>
                <w:szCs w:val="20"/>
                <w:color w:val="auto"/>
              </w:rPr>
            </w:pPr>
            <w:r>
              <w:rPr>
                <w:rFonts w:ascii="Times New Roman" w:cs="Times New Roman" w:eastAsia="Times New Roman" w:hAnsi="Times New Roman"/>
                <w:sz w:val="16"/>
                <w:szCs w:val="16"/>
                <w:color w:val="auto"/>
              </w:rPr>
              <w:t xml:space="preserve">Cost of Goods Sold </w:t>
            </w:r>
            <w:r>
              <w:rPr>
                <w:rFonts w:ascii="Times New Roman" w:cs="Times New Roman" w:eastAsia="Times New Roman" w:hAnsi="Times New Roman"/>
                <w:sz w:val="21"/>
                <w:szCs w:val="21"/>
                <w:color w:val="auto"/>
                <w:vertAlign w:val="superscript"/>
              </w:rPr>
              <w:t>b</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$385</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$320</w:t>
            </w: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$340</w:t>
            </w:r>
          </w:p>
        </w:tc>
        <w:tc>
          <w:tcPr>
            <w:tcW w:w="0" w:type="dxa"/>
            <w:vAlign w:val="bottom"/>
          </w:tcPr>
          <w:p>
            <w:pPr>
              <w:spacing w:after="0"/>
              <w:rPr>
                <w:sz w:val="1"/>
                <w:szCs w:val="1"/>
                <w:color w:val="auto"/>
              </w:rPr>
            </w:pPr>
          </w:p>
        </w:tc>
      </w:tr>
      <w:tr>
        <w:trPr>
          <w:trHeight w:val="189"/>
        </w:trPr>
        <w:tc>
          <w:tcPr>
            <w:tcW w:w="2320" w:type="dxa"/>
            <w:vAlign w:val="bottom"/>
            <w:shd w:val="clear" w:color="auto" w:fill="F2F2F2"/>
          </w:tcPr>
          <w:p>
            <w:pPr>
              <w:ind w:left="100"/>
              <w:spacing w:after="0"/>
              <w:rPr>
                <w:sz w:val="20"/>
                <w:szCs w:val="20"/>
                <w:color w:val="auto"/>
              </w:rPr>
            </w:pPr>
            <w:r>
              <w:rPr>
                <w:rFonts w:ascii="Times New Roman" w:cs="Times New Roman" w:eastAsia="Times New Roman" w:hAnsi="Times New Roman"/>
                <w:sz w:val="16"/>
                <w:szCs w:val="16"/>
                <w:color w:val="auto"/>
              </w:rPr>
              <w:t>R&amp;D Expenses</w:t>
            </w:r>
          </w:p>
        </w:tc>
        <w:tc>
          <w:tcPr>
            <w:tcW w:w="1140" w:type="dxa"/>
            <w:vAlign w:val="bottom"/>
            <w:gridSpan w:val="2"/>
            <w:shd w:val="clear" w:color="auto" w:fill="F2F2F2"/>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160" w:type="dxa"/>
            <w:vAlign w:val="bottom"/>
            <w:shd w:val="clear" w:color="auto" w:fill="F2F2F2"/>
          </w:tcPr>
          <w:p>
            <w:pPr>
              <w:ind w:left="20"/>
              <w:spacing w:after="0"/>
              <w:rPr>
                <w:sz w:val="20"/>
                <w:szCs w:val="20"/>
                <w:color w:val="auto"/>
              </w:rPr>
            </w:pPr>
            <w:r>
              <w:rPr>
                <w:rFonts w:ascii="Times New Roman" w:cs="Times New Roman" w:eastAsia="Times New Roman" w:hAnsi="Times New Roman"/>
                <w:sz w:val="16"/>
                <w:szCs w:val="16"/>
                <w:color w:val="auto"/>
              </w:rPr>
              <w:t>– $485</w:t>
            </w:r>
          </w:p>
        </w:tc>
        <w:tc>
          <w:tcPr>
            <w:tcW w:w="1020" w:type="dxa"/>
            <w:vAlign w:val="bottom"/>
            <w:shd w:val="clear" w:color="auto" w:fill="F2F2F2"/>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020" w:type="dxa"/>
            <w:vAlign w:val="bottom"/>
            <w:shd w:val="clear" w:color="auto" w:fill="F2F2F2"/>
          </w:tcPr>
          <w:p>
            <w:pPr>
              <w:ind w:left="20"/>
              <w:spacing w:after="0"/>
              <w:rPr>
                <w:sz w:val="20"/>
                <w:szCs w:val="20"/>
                <w:color w:val="auto"/>
              </w:rPr>
            </w:pPr>
            <w:r>
              <w:rPr>
                <w:rFonts w:ascii="Times New Roman" w:cs="Times New Roman" w:eastAsia="Times New Roman" w:hAnsi="Times New Roman"/>
                <w:sz w:val="16"/>
                <w:szCs w:val="16"/>
                <w:color w:val="auto"/>
              </w:rPr>
              <w:t>– $485</w:t>
            </w:r>
          </w:p>
        </w:tc>
        <w:tc>
          <w:tcPr>
            <w:tcW w:w="0" w:type="dxa"/>
            <w:vAlign w:val="bottom"/>
          </w:tcPr>
          <w:p>
            <w:pPr>
              <w:spacing w:after="0"/>
              <w:rPr>
                <w:sz w:val="1"/>
                <w:szCs w:val="1"/>
                <w:color w:val="auto"/>
              </w:rPr>
            </w:pPr>
          </w:p>
        </w:tc>
      </w:tr>
      <w:tr>
        <w:trPr>
          <w:trHeight w:val="189"/>
        </w:trPr>
        <w:tc>
          <w:tcPr>
            <w:tcW w:w="2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SG&amp;A Expenses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$930</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$930</w:t>
            </w:r>
          </w:p>
        </w:tc>
        <w:tc>
          <w:tcPr>
            <w:tcW w:w="0" w:type="dxa"/>
            <w:vAlign w:val="bottom"/>
          </w:tcPr>
          <w:p>
            <w:pPr>
              <w:spacing w:after="0"/>
              <w:rPr>
                <w:sz w:val="1"/>
                <w:szCs w:val="1"/>
                <w:color w:val="auto"/>
              </w:rPr>
            </w:pPr>
          </w:p>
        </w:tc>
      </w:tr>
      <w:tr>
        <w:trPr>
          <w:trHeight w:val="142"/>
        </w:trPr>
        <w:tc>
          <w:tcPr>
            <w:tcW w:w="2320" w:type="dxa"/>
            <w:vAlign w:val="bottom"/>
            <w:shd w:val="clear" w:color="auto" w:fill="F2F2F2"/>
          </w:tcPr>
          <w:p>
            <w:pPr>
              <w:ind w:left="100"/>
              <w:spacing w:after="0" w:line="142" w:lineRule="exact"/>
              <w:rPr>
                <w:sz w:val="20"/>
                <w:szCs w:val="20"/>
                <w:color w:val="auto"/>
              </w:rPr>
            </w:pPr>
            <w:r>
              <w:rPr>
                <w:rFonts w:ascii="Times New Roman" w:cs="Times New Roman" w:eastAsia="Times New Roman" w:hAnsi="Times New Roman"/>
                <w:sz w:val="16"/>
                <w:szCs w:val="16"/>
                <w:color w:val="auto"/>
              </w:rPr>
              <w:t>Amortization of Intangible</w:t>
            </w:r>
          </w:p>
        </w:tc>
        <w:tc>
          <w:tcPr>
            <w:tcW w:w="240" w:type="dxa"/>
            <w:vAlign w:val="bottom"/>
            <w:shd w:val="clear" w:color="auto" w:fill="F2F2F2"/>
          </w:tcPr>
          <w:p>
            <w:pPr>
              <w:spacing w:after="0"/>
              <w:rPr>
                <w:sz w:val="12"/>
                <w:szCs w:val="12"/>
                <w:color w:val="auto"/>
              </w:rPr>
            </w:pPr>
          </w:p>
        </w:tc>
        <w:tc>
          <w:tcPr>
            <w:tcW w:w="900" w:type="dxa"/>
            <w:vAlign w:val="bottom"/>
            <w:shd w:val="clear" w:color="auto" w:fill="F2F2F2"/>
          </w:tcPr>
          <w:p>
            <w:pPr>
              <w:spacing w:after="0"/>
              <w:rPr>
                <w:sz w:val="12"/>
                <w:szCs w:val="12"/>
                <w:color w:val="auto"/>
              </w:rPr>
            </w:pPr>
          </w:p>
        </w:tc>
        <w:tc>
          <w:tcPr>
            <w:tcW w:w="1160" w:type="dxa"/>
            <w:vAlign w:val="bottom"/>
            <w:shd w:val="clear" w:color="auto" w:fill="F2F2F2"/>
          </w:tcPr>
          <w:p>
            <w:pPr>
              <w:spacing w:after="0"/>
              <w:rPr>
                <w:sz w:val="12"/>
                <w:szCs w:val="12"/>
                <w:color w:val="auto"/>
              </w:rPr>
            </w:pPr>
          </w:p>
        </w:tc>
        <w:tc>
          <w:tcPr>
            <w:tcW w:w="1020" w:type="dxa"/>
            <w:vAlign w:val="bottom"/>
            <w:shd w:val="clear" w:color="auto" w:fill="F2F2F2"/>
          </w:tcPr>
          <w:p>
            <w:pPr>
              <w:spacing w:after="0"/>
              <w:rPr>
                <w:sz w:val="12"/>
                <w:szCs w:val="12"/>
                <w:color w:val="auto"/>
              </w:rPr>
            </w:pPr>
          </w:p>
        </w:tc>
        <w:tc>
          <w:tcPr>
            <w:tcW w:w="102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2320" w:type="dxa"/>
            <w:vAlign w:val="bottom"/>
            <w:shd w:val="clear" w:color="auto" w:fill="F2F2F2"/>
          </w:tcPr>
          <w:p>
            <w:pPr>
              <w:ind w:left="100"/>
              <w:spacing w:after="0" w:line="236" w:lineRule="exact"/>
              <w:rPr>
                <w:sz w:val="20"/>
                <w:szCs w:val="20"/>
                <w:color w:val="auto"/>
              </w:rPr>
            </w:pPr>
            <w:r>
              <w:rPr>
                <w:rFonts w:ascii="Times New Roman" w:cs="Times New Roman" w:eastAsia="Times New Roman" w:hAnsi="Times New Roman"/>
                <w:sz w:val="16"/>
                <w:szCs w:val="16"/>
                <w:color w:val="auto"/>
              </w:rPr>
              <w:t xml:space="preserve">Assets </w:t>
            </w:r>
            <w:r>
              <w:rPr>
                <w:rFonts w:ascii="Times New Roman" w:cs="Times New Roman" w:eastAsia="Times New Roman" w:hAnsi="Times New Roman"/>
                <w:sz w:val="21"/>
                <w:szCs w:val="21"/>
                <w:color w:val="auto"/>
                <w:vertAlign w:val="superscript"/>
              </w:rPr>
              <w:t>c</w:t>
            </w:r>
          </w:p>
        </w:tc>
        <w:tc>
          <w:tcPr>
            <w:tcW w:w="240" w:type="dxa"/>
            <w:vAlign w:val="bottom"/>
            <w:shd w:val="clear" w:color="auto" w:fill="F2F2F2"/>
          </w:tcPr>
          <w:p>
            <w:pPr>
              <w:spacing w:after="0"/>
              <w:rPr>
                <w:sz w:val="20"/>
                <w:szCs w:val="20"/>
                <w:color w:val="auto"/>
              </w:rPr>
            </w:pPr>
          </w:p>
        </w:tc>
        <w:tc>
          <w:tcPr>
            <w:tcW w:w="2060" w:type="dxa"/>
            <w:vAlign w:val="bottom"/>
            <w:gridSpan w:val="2"/>
            <w:shd w:val="clear" w:color="auto" w:fill="F2F2F2"/>
          </w:tcPr>
          <w:p>
            <w:pPr>
              <w:jc w:val="center"/>
              <w:ind w:right="81"/>
              <w:spacing w:after="0"/>
              <w:rPr>
                <w:sz w:val="20"/>
                <w:szCs w:val="20"/>
                <w:color w:val="auto"/>
              </w:rPr>
            </w:pPr>
            <w:r>
              <w:rPr>
                <w:rFonts w:ascii="Times New Roman" w:cs="Times New Roman" w:eastAsia="Times New Roman" w:hAnsi="Times New Roman"/>
                <w:sz w:val="16"/>
                <w:szCs w:val="16"/>
                <w:color w:val="auto"/>
                <w:w w:val="97"/>
              </w:rPr>
              <w:t>$95 – $105</w:t>
            </w:r>
          </w:p>
        </w:tc>
        <w:tc>
          <w:tcPr>
            <w:tcW w:w="1020" w:type="dxa"/>
            <w:vAlign w:val="bottom"/>
            <w:shd w:val="clear" w:color="auto" w:fill="F2F2F2"/>
          </w:tcPr>
          <w:p>
            <w:pPr>
              <w:jc w:val="right"/>
              <w:spacing w:after="0"/>
              <w:rPr>
                <w:sz w:val="20"/>
                <w:szCs w:val="20"/>
                <w:color w:val="auto"/>
              </w:rPr>
            </w:pPr>
            <w:r>
              <w:rPr>
                <w:rFonts w:ascii="Times New Roman" w:cs="Times New Roman" w:eastAsia="Times New Roman" w:hAnsi="Times New Roman"/>
                <w:sz w:val="16"/>
                <w:szCs w:val="16"/>
                <w:b w:val="1"/>
                <w:bCs w:val="1"/>
                <w:color w:val="auto"/>
              </w:rPr>
              <w:t>$75</w:t>
            </w:r>
          </w:p>
        </w:tc>
        <w:tc>
          <w:tcPr>
            <w:tcW w:w="1020" w:type="dxa"/>
            <w:vAlign w:val="bottom"/>
            <w:shd w:val="clear" w:color="auto" w:fill="F2F2F2"/>
          </w:tcPr>
          <w:p>
            <w:pPr>
              <w:ind w:left="20"/>
              <w:spacing w:after="0"/>
              <w:rPr>
                <w:sz w:val="20"/>
                <w:szCs w:val="20"/>
                <w:color w:val="auto"/>
              </w:rPr>
            </w:pPr>
            <w:r>
              <w:rPr>
                <w:rFonts w:ascii="Times New Roman" w:cs="Times New Roman" w:eastAsia="Times New Roman" w:hAnsi="Times New Roman"/>
                <w:sz w:val="16"/>
                <w:szCs w:val="16"/>
                <w:b w:val="1"/>
                <w:bCs w:val="1"/>
                <w:color w:val="auto"/>
              </w:rPr>
              <w:t>– $85</w:t>
            </w:r>
          </w:p>
        </w:tc>
        <w:tc>
          <w:tcPr>
            <w:tcW w:w="0" w:type="dxa"/>
            <w:vAlign w:val="bottom"/>
          </w:tcPr>
          <w:p>
            <w:pPr>
              <w:spacing w:after="0"/>
              <w:rPr>
                <w:sz w:val="1"/>
                <w:szCs w:val="1"/>
                <w:color w:val="auto"/>
              </w:rPr>
            </w:pPr>
          </w:p>
        </w:tc>
      </w:tr>
      <w:tr>
        <w:trPr>
          <w:trHeight w:val="189"/>
        </w:trPr>
        <w:tc>
          <w:tcPr>
            <w:tcW w:w="2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Interest Expense</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$85</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$85</w:t>
            </w:r>
          </w:p>
        </w:tc>
        <w:tc>
          <w:tcPr>
            <w:tcW w:w="0" w:type="dxa"/>
            <w:vAlign w:val="bottom"/>
          </w:tcPr>
          <w:p>
            <w:pPr>
              <w:spacing w:after="0"/>
              <w:rPr>
                <w:sz w:val="1"/>
                <w:szCs w:val="1"/>
                <w:color w:val="auto"/>
              </w:rPr>
            </w:pPr>
          </w:p>
        </w:tc>
      </w:tr>
      <w:tr>
        <w:trPr>
          <w:trHeight w:val="142"/>
        </w:trPr>
        <w:tc>
          <w:tcPr>
            <w:tcW w:w="2320" w:type="dxa"/>
            <w:vAlign w:val="bottom"/>
          </w:tcPr>
          <w:p>
            <w:pPr>
              <w:ind w:left="100"/>
              <w:spacing w:after="0" w:line="142" w:lineRule="exact"/>
              <w:rPr>
                <w:sz w:val="20"/>
                <w:szCs w:val="20"/>
                <w:color w:val="auto"/>
              </w:rPr>
            </w:pPr>
            <w:r>
              <w:rPr>
                <w:rFonts w:ascii="Times New Roman" w:cs="Times New Roman" w:eastAsia="Times New Roman" w:hAnsi="Times New Roman"/>
                <w:sz w:val="16"/>
                <w:szCs w:val="16"/>
                <w:color w:val="auto"/>
              </w:rPr>
              <w:t>Net Tax Benefit</w:t>
            </w:r>
          </w:p>
        </w:tc>
        <w:tc>
          <w:tcPr>
            <w:tcW w:w="2300" w:type="dxa"/>
            <w:vAlign w:val="bottom"/>
            <w:gridSpan w:val="3"/>
          </w:tcPr>
          <w:p>
            <w:pPr>
              <w:jc w:val="center"/>
              <w:ind w:left="21"/>
              <w:spacing w:after="0" w:line="142" w:lineRule="exact"/>
              <w:rPr>
                <w:sz w:val="20"/>
                <w:szCs w:val="20"/>
                <w:color w:val="auto"/>
              </w:rPr>
            </w:pPr>
            <w:r>
              <w:rPr>
                <w:rFonts w:ascii="Times New Roman" w:cs="Times New Roman" w:eastAsia="Times New Roman" w:hAnsi="Times New Roman"/>
                <w:sz w:val="16"/>
                <w:szCs w:val="16"/>
                <w:color w:val="auto"/>
                <w:w w:val="97"/>
              </w:rPr>
              <w:t>~$20</w:t>
            </w:r>
          </w:p>
        </w:tc>
        <w:tc>
          <w:tcPr>
            <w:tcW w:w="2040" w:type="dxa"/>
            <w:vAlign w:val="bottom"/>
            <w:gridSpan w:val="2"/>
          </w:tcPr>
          <w:p>
            <w:pPr>
              <w:jc w:val="center"/>
              <w:ind w:left="41"/>
              <w:spacing w:after="0" w:line="142" w:lineRule="exact"/>
              <w:rPr>
                <w:sz w:val="20"/>
                <w:szCs w:val="20"/>
                <w:color w:val="auto"/>
              </w:rPr>
            </w:pPr>
            <w:r>
              <w:rPr>
                <w:rFonts w:ascii="Times New Roman" w:cs="Times New Roman" w:eastAsia="Times New Roman" w:hAnsi="Times New Roman"/>
                <w:sz w:val="16"/>
                <w:szCs w:val="16"/>
                <w:b w:val="1"/>
                <w:bCs w:val="1"/>
                <w:color w:val="auto"/>
                <w:w w:val="98"/>
              </w:rPr>
              <w:t>~$0</w:t>
            </w:r>
          </w:p>
        </w:tc>
        <w:tc>
          <w:tcPr>
            <w:tcW w:w="0" w:type="dxa"/>
            <w:vAlign w:val="bottom"/>
          </w:tcPr>
          <w:p>
            <w:pPr>
              <w:spacing w:after="0"/>
              <w:rPr>
                <w:sz w:val="1"/>
                <w:szCs w:val="1"/>
                <w:color w:val="auto"/>
              </w:rPr>
            </w:pPr>
          </w:p>
        </w:tc>
      </w:tr>
      <w:tr>
        <w:trPr>
          <w:trHeight w:val="190"/>
        </w:trPr>
        <w:tc>
          <w:tcPr>
            <w:tcW w:w="2320" w:type="dxa"/>
            <w:vAlign w:val="bottom"/>
          </w:tcPr>
          <w:p>
            <w:pPr>
              <w:ind w:left="100"/>
              <w:spacing w:after="0" w:line="190" w:lineRule="exact"/>
              <w:rPr>
                <w:sz w:val="20"/>
                <w:szCs w:val="20"/>
                <w:color w:val="auto"/>
              </w:rPr>
            </w:pPr>
            <w:r>
              <w:rPr>
                <w:rFonts w:ascii="Times New Roman" w:cs="Times New Roman" w:eastAsia="Times New Roman" w:hAnsi="Times New Roman"/>
                <w:sz w:val="16"/>
                <w:szCs w:val="16"/>
                <w:color w:val="auto"/>
              </w:rPr>
              <w:t xml:space="preserve">GAAP Net Loss </w:t>
            </w:r>
            <w:r>
              <w:rPr>
                <w:rFonts w:ascii="Times New Roman" w:cs="Times New Roman" w:eastAsia="Times New Roman" w:hAnsi="Times New Roman"/>
                <w:sz w:val="21"/>
                <w:szCs w:val="21"/>
                <w:color w:val="auto"/>
                <w:vertAlign w:val="superscript"/>
              </w:rPr>
              <w:t>d</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($135)</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($70)</w:t>
            </w: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($90)</w:t>
            </w:r>
          </w:p>
        </w:tc>
        <w:tc>
          <w:tcPr>
            <w:tcW w:w="0" w:type="dxa"/>
            <w:vAlign w:val="bottom"/>
          </w:tcPr>
          <w:p>
            <w:pPr>
              <w:spacing w:after="0"/>
              <w:rPr>
                <w:sz w:val="1"/>
                <w:szCs w:val="1"/>
                <w:color w:val="auto"/>
              </w:rPr>
            </w:pPr>
          </w:p>
        </w:tc>
      </w:tr>
      <w:tr>
        <w:trPr>
          <w:trHeight w:val="189"/>
        </w:trPr>
        <w:tc>
          <w:tcPr>
            <w:tcW w:w="2320" w:type="dxa"/>
            <w:vAlign w:val="bottom"/>
          </w:tcPr>
          <w:p>
            <w:pPr>
              <w:ind w:left="100"/>
              <w:spacing w:after="0" w:line="189" w:lineRule="exact"/>
              <w:rPr>
                <w:sz w:val="20"/>
                <w:szCs w:val="20"/>
                <w:color w:val="auto"/>
              </w:rPr>
            </w:pPr>
            <w:r>
              <w:rPr>
                <w:rFonts w:ascii="Times New Roman" w:cs="Times New Roman" w:eastAsia="Times New Roman" w:hAnsi="Times New Roman"/>
                <w:sz w:val="16"/>
                <w:szCs w:val="16"/>
                <w:color w:val="auto"/>
              </w:rPr>
              <w:t xml:space="preserve">EBITDA </w:t>
            </w:r>
            <w:r>
              <w:rPr>
                <w:rFonts w:ascii="Arial" w:cs="Arial" w:eastAsia="Arial" w:hAnsi="Arial"/>
                <w:sz w:val="21"/>
                <w:szCs w:val="21"/>
                <w:color w:val="auto"/>
                <w:vertAlign w:val="superscript"/>
              </w:rPr>
              <w:t>e</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$90</w:t>
            </w:r>
          </w:p>
        </w:tc>
        <w:tc>
          <w:tcPr>
            <w:tcW w:w="204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b w:val="1"/>
                <w:bCs w:val="1"/>
                <w:color w:val="auto"/>
                <w:w w:val="99"/>
              </w:rPr>
              <w:t>$105 – $135</w:t>
            </w:r>
          </w:p>
        </w:tc>
        <w:tc>
          <w:tcPr>
            <w:tcW w:w="0" w:type="dxa"/>
            <w:vAlign w:val="bottom"/>
          </w:tcPr>
          <w:p>
            <w:pPr>
              <w:spacing w:after="0"/>
              <w:rPr>
                <w:sz w:val="1"/>
                <w:szCs w:val="1"/>
                <w:color w:val="auto"/>
              </w:rPr>
            </w:pPr>
          </w:p>
        </w:tc>
      </w:tr>
      <w:tr>
        <w:trPr>
          <w:trHeight w:val="283"/>
        </w:trPr>
        <w:tc>
          <w:tcPr>
            <w:tcW w:w="2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xml:space="preserve">Adjusted EBITDA </w:t>
            </w:r>
            <w:r>
              <w:rPr>
                <w:rFonts w:ascii="Arial" w:cs="Arial" w:eastAsia="Arial" w:hAnsi="Arial"/>
                <w:sz w:val="21"/>
                <w:szCs w:val="21"/>
                <w:color w:val="auto"/>
                <w:vertAlign w:val="superscript"/>
              </w:rPr>
              <w:t>e</w:t>
            </w:r>
          </w:p>
        </w:tc>
        <w:tc>
          <w:tcPr>
            <w:tcW w:w="240" w:type="dxa"/>
            <w:vAlign w:val="bottom"/>
          </w:tcPr>
          <w:p>
            <w:pPr>
              <w:spacing w:after="0"/>
              <w:rPr>
                <w:sz w:val="24"/>
                <w:szCs w:val="24"/>
                <w:color w:val="auto"/>
              </w:rPr>
            </w:pPr>
          </w:p>
        </w:tc>
        <w:tc>
          <w:tcPr>
            <w:tcW w:w="2060" w:type="dxa"/>
            <w:vAlign w:val="bottom"/>
            <w:gridSpan w:val="2"/>
          </w:tcPr>
          <w:p>
            <w:pPr>
              <w:jc w:val="center"/>
              <w:ind w:right="81"/>
              <w:spacing w:after="0"/>
              <w:rPr>
                <w:sz w:val="20"/>
                <w:szCs w:val="20"/>
                <w:color w:val="auto"/>
              </w:rPr>
            </w:pPr>
            <w:r>
              <w:rPr>
                <w:rFonts w:ascii="Times New Roman" w:cs="Times New Roman" w:eastAsia="Times New Roman" w:hAnsi="Times New Roman"/>
                <w:sz w:val="16"/>
                <w:szCs w:val="16"/>
                <w:color w:val="auto"/>
                <w:w w:val="97"/>
              </w:rPr>
              <w:t>$370 – $410</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$410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-1591310</wp:posOffset>
            </wp:positionV>
            <wp:extent cx="4227830" cy="1200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27830" cy="12001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-1351280</wp:posOffset>
            </wp:positionV>
            <wp:extent cx="4227830" cy="1200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27830" cy="12001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-509905</wp:posOffset>
            </wp:positionV>
            <wp:extent cx="4227830" cy="120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27830" cy="12001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-269875</wp:posOffset>
            </wp:positionV>
            <wp:extent cx="4227830" cy="120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27830" cy="120015"/>
                    </a:xfrm>
                    <a:prstGeom prst="rect">
                      <a:avLst/>
                    </a:prstGeom>
                    <a:noFill/>
                  </pic:spPr>
                </pic:pic>
              </a:graphicData>
            </a:graphic>
          </wp:anchor>
        </w:drawing>
      </w:r>
    </w:p>
    <w:p>
      <w:pPr>
        <w:spacing w:after="0" w:line="39" w:lineRule="exact"/>
        <w:rPr>
          <w:sz w:val="20"/>
          <w:szCs w:val="20"/>
          <w:color w:val="auto"/>
        </w:rPr>
      </w:pPr>
    </w:p>
    <w:p>
      <w:pPr>
        <w:ind w:left="920" w:right="939" w:hanging="162"/>
        <w:spacing w:after="0" w:line="269" w:lineRule="auto"/>
        <w:tabs>
          <w:tab w:leader="none" w:pos="9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acquisition of Avadel closed on Feb. 12, 2026. LUMRYZ Net Sales expectations represents the period of Feb. 12, 2026 – Dec.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-227965</wp:posOffset>
            </wp:positionV>
            <wp:extent cx="15049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0495" cy="7620"/>
                    </a:xfrm>
                    <a:prstGeom prst="rect">
                      <a:avLst/>
                    </a:prstGeom>
                    <a:noFill/>
                  </pic:spPr>
                </pic:pic>
              </a:graphicData>
            </a:graphic>
          </wp:anchor>
        </w:drawing>
      </w:r>
    </w:p>
    <w:p>
      <w:pPr>
        <w:ind w:left="920" w:right="779" w:hanging="135"/>
        <w:spacing w:after="0" w:line="264" w:lineRule="auto"/>
        <w:tabs>
          <w:tab w:leader="none" w:pos="9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acquisition of Avadel, the company will record approximately $125 million of LUMRYZ inventory fair value step-up; the company expects that approximately $105 million of this amount will be expensed in 2026 as this inventory is sold.</w:t>
      </w:r>
    </w:p>
    <w:p>
      <w:pPr>
        <w:spacing w:after="0" w:line="1" w:lineRule="exact"/>
        <w:rPr>
          <w:sz w:val="20"/>
          <w:szCs w:val="20"/>
          <w:color w:val="auto"/>
        </w:rPr>
      </w:pPr>
    </w:p>
    <w:p>
      <w:pPr>
        <w:ind w:left="920" w:right="879" w:hanging="127"/>
        <w:spacing w:after="0" w:line="264" w:lineRule="auto"/>
        <w:tabs>
          <w:tab w:leader="none" w:pos="9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acquisition of Avadel, the company expects to record approximately $1.8 billion of intellectual property related to LUMRYZ, which will be amortized over an expected life of 14 years.</w:t>
      </w:r>
    </w:p>
    <w:p>
      <w:pPr>
        <w:spacing w:after="0" w:line="1" w:lineRule="exact"/>
        <w:rPr>
          <w:sz w:val="20"/>
          <w:szCs w:val="20"/>
          <w:color w:val="auto"/>
        </w:rPr>
      </w:pPr>
    </w:p>
    <w:p>
      <w:pPr>
        <w:ind w:left="920" w:right="939" w:hanging="135"/>
        <w:spacing w:after="0" w:line="264" w:lineRule="auto"/>
        <w:tabs>
          <w:tab w:leader="none" w:pos="9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2026 weighted average basic share count of approximately 169.1 million shares outstanding and a weighted average diluted share count of approximately 172.8 million shares outstanding.</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e Non-GAAP measure.</w:t>
      </w:r>
    </w:p>
    <w:p>
      <w:pPr>
        <w:spacing w:after="0" w:line="1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u w:val="single" w:color="auto"/>
          <w:color w:val="auto"/>
        </w:rPr>
        <w:t>Conference Call</w:t>
      </w:r>
    </w:p>
    <w:p>
      <w:pPr>
        <w:spacing w:after="0" w:line="126" w:lineRule="exact"/>
        <w:rPr>
          <w:sz w:val="20"/>
          <w:szCs w:val="20"/>
          <w:color w:val="auto"/>
        </w:rPr>
      </w:pPr>
    </w:p>
    <w:p>
      <w:pPr>
        <w:ind w:left="580" w:right="739"/>
        <w:spacing w:after="0" w:line="254" w:lineRule="auto"/>
        <w:rPr>
          <w:sz w:val="20"/>
          <w:szCs w:val="20"/>
          <w:color w:val="auto"/>
        </w:rPr>
      </w:pPr>
      <w:r>
        <w:rPr>
          <w:rFonts w:ascii="Times New Roman" w:cs="Times New Roman" w:eastAsia="Times New Roman" w:hAnsi="Times New Roman"/>
          <w:sz w:val="17"/>
          <w:szCs w:val="17"/>
          <w:color w:val="auto"/>
        </w:rPr>
        <w:t>Alkermes will host a conference call and webcast presentation with accompanying slides at 8:00 a.m. ET (1:00 p.m. BST) on Tuesday, May 5, 2026, to discuss these financial results and expectations and provide an update on the company. The webcast may be accessed on the Investors section of Alkermes’ website at www.alkermes.com. The conference call may be accessed by dialing +1 877 407 2988 for U.S. callers and +1 201 389 0923 for international callers. In addition, a replay of the conference call may be accessed by visiting Alkermes’ website.</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u w:val="single" w:color="auto"/>
          <w:color w:val="auto"/>
        </w:rPr>
        <w:t>About Alkermes plc</w:t>
      </w:r>
    </w:p>
    <w:p>
      <w:pPr>
        <w:spacing w:after="0" w:line="138" w:lineRule="exact"/>
        <w:rPr>
          <w:sz w:val="20"/>
          <w:szCs w:val="20"/>
          <w:color w:val="auto"/>
        </w:rPr>
      </w:pPr>
    </w:p>
    <w:p>
      <w:pPr>
        <w:ind w:left="580" w:right="719"/>
        <w:spacing w:after="0" w:line="251" w:lineRule="auto"/>
        <w:rPr>
          <w:sz w:val="20"/>
          <w:szCs w:val="20"/>
          <w:color w:val="auto"/>
        </w:rPr>
      </w:pPr>
      <w:r>
        <w:rPr>
          <w:rFonts w:ascii="Times New Roman" w:cs="Times New Roman" w:eastAsia="Times New Roman" w:hAnsi="Times New Roman"/>
          <w:sz w:val="17"/>
          <w:szCs w:val="17"/>
          <w:color w:val="auto"/>
        </w:rPr>
        <w:t>Alkermes plc, a mid-cap growth and value equity, is a global biopharmaceutical company that seeks to develop innovative medicines in the field of neuroscience. The company has a portfolio of proprietary commercial products for the treatment of alcohol dependence, opioid dependence, schizophrenia, bipolar I disorder and narcolepsy. Alkermes’ pipeline includes late-stage clinical candidates in development for narcolepsy and idiopathic hypersomnia, and orexin 2 receptor agonists in early clinical development for other neurological disorders, including attention-deficit hyperactivity disorder (ADHD) and fatigue associated with multiple sclerosis and Parkinson’s disease. Headquartered in Ireland, Alkermes also has a corporate office and research and development center in Massachusetts and a manufacturing facility in Ohio. For more information, please visit Alkermes’ website at www.alkermes.com.</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354330</wp:posOffset>
            </wp:positionV>
            <wp:extent cx="616839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1039" w:right="1440" w:bottom="1440" w:gutter="0" w:footer="0" w:header="0"/>
        </w:sectPr>
      </w:pPr>
    </w:p>
    <w:bookmarkStart w:id="6" w:name="page7"/>
    <w:bookmarkEnd w:id="6"/>
    <w:p>
      <w:pPr>
        <w:ind w:left="580"/>
        <w:spacing w:after="0"/>
        <w:rPr>
          <w:sz w:val="20"/>
          <w:szCs w:val="20"/>
          <w:color w:val="auto"/>
        </w:rPr>
      </w:pPr>
      <w:r>
        <w:rPr>
          <w:rFonts w:ascii="Times New Roman" w:cs="Times New Roman" w:eastAsia="Times New Roman" w:hAnsi="Times New Roman"/>
          <w:sz w:val="17"/>
          <w:szCs w:val="17"/>
          <w:b w:val="1"/>
          <w:bCs w:val="1"/>
          <w:u w:val="single" w:color="auto"/>
          <w:color w:val="auto"/>
        </w:rPr>
        <w:t>Non-GAAP Financial Measures</w:t>
      </w:r>
    </w:p>
    <w:p>
      <w:pPr>
        <w:spacing w:after="0" w:line="138" w:lineRule="exact"/>
        <w:rPr>
          <w:sz w:val="20"/>
          <w:szCs w:val="20"/>
          <w:color w:val="auto"/>
        </w:rPr>
      </w:pPr>
    </w:p>
    <w:p>
      <w:pPr>
        <w:ind w:left="580" w:right="619"/>
        <w:spacing w:after="0" w:line="259" w:lineRule="auto"/>
        <w:rPr>
          <w:sz w:val="20"/>
          <w:szCs w:val="20"/>
          <w:color w:val="auto"/>
        </w:rPr>
      </w:pPr>
      <w:r>
        <w:rPr>
          <w:rFonts w:ascii="Times New Roman" w:cs="Times New Roman" w:eastAsia="Times New Roman" w:hAnsi="Times New Roman"/>
          <w:sz w:val="17"/>
          <w:szCs w:val="17"/>
          <w:color w:val="auto"/>
        </w:rPr>
        <w:t>This press release includes information about certain financial measures that are not prepared in accordance with generally accepted accounting principles in the U.S. (GAAP), including EBITDA and Adjusted EBITDA. These non-GAAP measures are not based on any standardized methodology prescribed by GAAP and are not necessarily comparable to similar measures presented by other companies.</w:t>
      </w:r>
    </w:p>
    <w:p>
      <w:pPr>
        <w:spacing w:after="0" w:line="161" w:lineRule="exact"/>
        <w:rPr>
          <w:sz w:val="20"/>
          <w:szCs w:val="20"/>
          <w:color w:val="auto"/>
        </w:rPr>
      </w:pPr>
    </w:p>
    <w:p>
      <w:pPr>
        <w:ind w:left="580" w:right="699"/>
        <w:spacing w:after="0" w:line="265" w:lineRule="auto"/>
        <w:rPr>
          <w:sz w:val="20"/>
          <w:szCs w:val="20"/>
          <w:color w:val="auto"/>
        </w:rPr>
      </w:pPr>
      <w:r>
        <w:rPr>
          <w:rFonts w:ascii="Times New Roman" w:cs="Times New Roman" w:eastAsia="Times New Roman" w:hAnsi="Times New Roman"/>
          <w:sz w:val="17"/>
          <w:szCs w:val="17"/>
          <w:color w:val="auto"/>
        </w:rPr>
        <w:t>EBITDA represents earnings before interest, tax, depreciation and amortization. Adjusted EBITDA excludes share-based compensation expense and non-recurring gains or losses in addition to the components of EBITDA from earnings.</w:t>
      </w:r>
    </w:p>
    <w:p>
      <w:pPr>
        <w:spacing w:after="0" w:line="157" w:lineRule="exact"/>
        <w:rPr>
          <w:sz w:val="20"/>
          <w:szCs w:val="20"/>
          <w:color w:val="auto"/>
        </w:rPr>
      </w:pPr>
    </w:p>
    <w:p>
      <w:pPr>
        <w:ind w:left="580" w:right="699"/>
        <w:spacing w:after="0" w:line="252" w:lineRule="auto"/>
        <w:rPr>
          <w:sz w:val="20"/>
          <w:szCs w:val="20"/>
          <w:color w:val="auto"/>
        </w:rPr>
      </w:pPr>
      <w:r>
        <w:rPr>
          <w:rFonts w:ascii="Times New Roman" w:cs="Times New Roman" w:eastAsia="Times New Roman" w:hAnsi="Times New Roman"/>
          <w:sz w:val="17"/>
          <w:szCs w:val="17"/>
          <w:color w:val="auto"/>
        </w:rPr>
        <w:t>The company’s management and board of directors utilize these non-GAAP financial measures to evaluate the company’s performance. The company provides these non-GAAP financial measures of the company’s performance to investors because management believes that these non-GAAP financial measures, when viewed with the company’s results under GAAP and the accompanying reconciliations, are useful in identifying underlying trends in ongoing operations. However, EBITDA and Adjusted EBITDA are not measures of financial performance under GAAP and, accordingly, should not be considered as alternatives to GAAP measures as indicators of operating performance. Further, EBITDA and Adjusted EBITDA should not be considered measures of the company’s liquidity.</w:t>
      </w:r>
    </w:p>
    <w:p>
      <w:pPr>
        <w:spacing w:after="0" w:line="120" w:lineRule="exact"/>
        <w:rPr>
          <w:sz w:val="20"/>
          <w:szCs w:val="20"/>
          <w:color w:val="auto"/>
        </w:rPr>
      </w:pPr>
    </w:p>
    <w:p>
      <w:pPr>
        <w:ind w:left="580" w:right="959"/>
        <w:spacing w:after="0" w:line="284" w:lineRule="auto"/>
        <w:rPr>
          <w:sz w:val="20"/>
          <w:szCs w:val="20"/>
          <w:color w:val="auto"/>
        </w:rPr>
      </w:pPr>
      <w:r>
        <w:rPr>
          <w:rFonts w:ascii="Times New Roman" w:cs="Times New Roman" w:eastAsia="Times New Roman" w:hAnsi="Times New Roman"/>
          <w:sz w:val="17"/>
          <w:szCs w:val="17"/>
          <w:color w:val="auto"/>
        </w:rPr>
        <w:t>A reconciliation of GAAP to non-GAAP financial measures has been provided in the tables included in this press release.</w:t>
      </w:r>
    </w:p>
    <w:p>
      <w:pPr>
        <w:spacing w:after="0" w:line="11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u w:val="single" w:color="auto"/>
          <w:color w:val="auto"/>
        </w:rPr>
        <w:t>Note Regarding Forward-Looking Statements</w:t>
      </w:r>
    </w:p>
    <w:p>
      <w:pPr>
        <w:spacing w:after="0" w:line="138" w:lineRule="exact"/>
        <w:rPr>
          <w:sz w:val="20"/>
          <w:szCs w:val="20"/>
          <w:color w:val="auto"/>
        </w:rPr>
      </w:pPr>
    </w:p>
    <w:p>
      <w:pPr>
        <w:ind w:left="580" w:right="619"/>
        <w:spacing w:after="0" w:line="248" w:lineRule="auto"/>
        <w:rPr>
          <w:sz w:val="20"/>
          <w:szCs w:val="20"/>
          <w:color w:val="auto"/>
        </w:rPr>
      </w:pPr>
      <w:r>
        <w:rPr>
          <w:rFonts w:ascii="Times New Roman" w:cs="Times New Roman" w:eastAsia="Times New Roman" w:hAnsi="Times New Roman"/>
          <w:sz w:val="17"/>
          <w:szCs w:val="17"/>
          <w:color w:val="auto"/>
        </w:rPr>
        <w:t>Certain statements set forth in this press release constitute “forward-looking statements” within the meaning of the Private Securities Litigation Reform Act of 1995, as amended, including, but not limited to, statements concerning: the company’s expectations concerning its future financial and operating performance, business plans or prospects, including profitability; and the potential therapeutic and commercial value of alixorexton and the company’s other development candidates. The company cautions that forward-looking statements are inherently uncertain. The forward-looking statements are neither promises nor guarantees and they are necessarily subject to a high degree of uncertainty and risk. Actual performance and results may differ materially from those expressed or implied in the forward-looking statements due to various risks and uncertainties. These risks and uncertainties include, among others: whether the company is able to achieve its financial expectations, including those related to profitability; the businesses of Alkermes and Avadel may not be effectively integrated and the expected benefits and value of the acquisition may not be achieved; there may be unknown or inestimable liabilities and potential litigation associated with the acquisition; clinical development activities may not be completed on time or at all; the results of the company’s development activities may not be positive, or predictive of final results from such activities, results of future development activities or real-world results; the unfavorable outcome of arbitration, litigation, or other proceedings or disputes related to the company’s products or products using the company’s proprietary technologies; the company’s products or product candidates could be shown to be ineffective or unsafe; the U.S. Food and Drug Administration or regulatory authorities outside the U.S. may not agree with the company’s regulatory approval strategies or may make adverse decisions regarding the company’s products; the company and its licensees may not be able to continue to successfully commercialize their products or support revenue growth from such products; potential changes in the cost, scope and duration of the company’s development programs; there may be a reduction in payment rate or reimbursement for the company’s products or an increase in the company’s financial obligations to government payers; the company’s products may prove difficult to manufacture, be precluded from commercialization by the proprietary rights of third parties, or have unintended side effects, adverse reactions or incidents of misuse; and those risks and uncertainties described under the heading “Risk Factors” in the company’s Annual Report on Form 10-K for the year ended Dec. 31, 2025 and in subsequent filings made by the company with the U.S. Securities and Exchange Commission (SEC), which are available on the SEC’s website at www.sec.gov. Existing and prospective investors are cautioned not to place undue reliance on these forward-looking statements, which speak only as of the date hereof. Except as required by law, the</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354330</wp:posOffset>
            </wp:positionV>
            <wp:extent cx="6168390"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7" w:name="page8"/>
    <w:bookmarkEnd w:id="7"/>
    <w:p>
      <w:pPr>
        <w:ind w:left="580" w:right="1039"/>
        <w:spacing w:after="0" w:line="284" w:lineRule="auto"/>
        <w:rPr>
          <w:sz w:val="20"/>
          <w:szCs w:val="20"/>
          <w:color w:val="auto"/>
        </w:rPr>
      </w:pPr>
      <w:r>
        <w:rPr>
          <w:rFonts w:ascii="Times New Roman" w:cs="Times New Roman" w:eastAsia="Times New Roman" w:hAnsi="Times New Roman"/>
          <w:sz w:val="17"/>
          <w:szCs w:val="17"/>
          <w:color w:val="auto"/>
        </w:rPr>
        <w:t>company disclaims any intention or responsibility for updating or revising any forward-looking statements contained in this press release.</w:t>
      </w:r>
    </w:p>
    <w:p>
      <w:pPr>
        <w:spacing w:after="0" w:line="152" w:lineRule="exact"/>
        <w:rPr>
          <w:sz w:val="20"/>
          <w:szCs w:val="20"/>
          <w:color w:val="auto"/>
        </w:rPr>
      </w:pPr>
    </w:p>
    <w:p>
      <w:pPr>
        <w:ind w:left="580" w:right="659"/>
        <w:spacing w:after="0" w:line="209" w:lineRule="auto"/>
        <w:rPr>
          <w:sz w:val="20"/>
          <w:szCs w:val="20"/>
          <w:color w:val="auto"/>
        </w:rPr>
      </w:pPr>
      <w:r>
        <w:rPr>
          <w:rFonts w:ascii="Times New Roman" w:cs="Times New Roman" w:eastAsia="Times New Roman" w:hAnsi="Times New Roman"/>
          <w:sz w:val="17"/>
          <w:szCs w:val="17"/>
          <w:color w:val="auto"/>
        </w:rPr>
        <w:t>VIVITROL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is a registered trademark of Alkermes, Inc.; ARISTADA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ARISTADA INITIO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and LYBALVI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are registered trademarks of Alkermes Pharma Ireland Limited, used by Alkermes, Inc. under license; LUMRYZ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is a registered trademark of Flamel Ireland Limited, an affiliate of Alkermes plc; BYANNLI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INVEGA HAFYERA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INVEGA TRINZA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TREVICTA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and XEPLION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are registered trademarks of Johnson &amp; Johnson or its affiliated companies; and VUMERITY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is a registered trademark of Biogen MA Inc., used by Alkermes under license.</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(tables follow)</w:t>
      </w:r>
    </w:p>
    <w:p>
      <w:pPr>
        <w:spacing w:after="0" w:line="393" w:lineRule="exact"/>
        <w:rPr>
          <w:sz w:val="20"/>
          <w:szCs w:val="20"/>
          <w:color w:val="auto"/>
        </w:rPr>
      </w:pPr>
    </w:p>
    <w:p>
      <w:pPr>
        <w:ind w:left="860" w:right="719" w:hanging="66"/>
        <w:spacing w:after="0" w:line="248" w:lineRule="auto"/>
        <w:tabs>
          <w:tab w:leader="none" w:pos="895"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term “ARISTADA” as used in this press release refers to ARISTADA and ARISTADA INITIO</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unless the context indicates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-233045</wp:posOffset>
            </wp:positionV>
            <wp:extent cx="15049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0495" cy="762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346710</wp:posOffset>
            </wp:positionV>
            <wp:extent cx="6168390"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1041" w:right="1440" w:bottom="1440" w:gutter="0" w:footer="0" w:header="0"/>
        </w:sectPr>
      </w:pPr>
    </w:p>
    <w:bookmarkStart w:id="8" w:name="page9"/>
    <w:bookmarkEnd w:id="8"/>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Alkermes plc and Subsidiaries</w:t>
      </w:r>
    </w:p>
    <w:p>
      <w:pPr>
        <w:spacing w:after="0" w:line="2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Selected Financial Information (Unaudited)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0" w:type="dxa"/>
            <w:vAlign w:val="bottom"/>
            <w:gridSpan w:val="2"/>
          </w:tcPr>
          <w:p>
            <w:pPr>
              <w:ind w:left="920"/>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Operations - GAAP</w:t>
            </w:r>
          </w:p>
        </w:tc>
        <w:tc>
          <w:tcPr>
            <w:tcW w:w="140" w:type="dxa"/>
            <w:vAlign w:val="bottom"/>
          </w:tcPr>
          <w:p>
            <w:pPr>
              <w:spacing w:after="0"/>
              <w:rPr>
                <w:sz w:val="12"/>
                <w:szCs w:val="12"/>
                <w:color w:val="auto"/>
              </w:rPr>
            </w:pPr>
          </w:p>
        </w:tc>
        <w:tc>
          <w:tcPr>
            <w:tcW w:w="14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9"/>
              </w:rPr>
              <w:t>Three Months Ended</w:t>
            </w:r>
          </w:p>
        </w:tc>
        <w:tc>
          <w:tcPr>
            <w:tcW w:w="80" w:type="dxa"/>
            <w:vAlign w:val="bottom"/>
          </w:tcPr>
          <w:p>
            <w:pPr>
              <w:spacing w:after="0"/>
              <w:rPr>
                <w:sz w:val="12"/>
                <w:szCs w:val="12"/>
                <w:color w:val="auto"/>
              </w:rPr>
            </w:pPr>
          </w:p>
        </w:tc>
        <w:tc>
          <w:tcPr>
            <w:tcW w:w="2260" w:type="dxa"/>
            <w:vAlign w:val="bottom"/>
            <w:gridSpan w:val="4"/>
          </w:tcPr>
          <w:p>
            <w:pPr>
              <w:jc w:val="center"/>
              <w:ind w:right="1020"/>
              <w:spacing w:after="0"/>
              <w:rPr>
                <w:sz w:val="20"/>
                <w:szCs w:val="20"/>
                <w:color w:val="auto"/>
              </w:rPr>
            </w:pPr>
            <w:r>
              <w:rPr>
                <w:rFonts w:ascii="Times New Roman" w:cs="Times New Roman" w:eastAsia="Times New Roman" w:hAnsi="Times New Roman"/>
                <w:sz w:val="13"/>
                <w:szCs w:val="13"/>
                <w:b w:val="1"/>
                <w:bCs w:val="1"/>
                <w:color w:val="auto"/>
                <w:w w:val="97"/>
              </w:rPr>
              <w:t>Three Months Ended</w:t>
            </w:r>
          </w:p>
        </w:tc>
        <w:tc>
          <w:tcPr>
            <w:tcW w:w="0" w:type="dxa"/>
            <w:vAlign w:val="bottom"/>
          </w:tcPr>
          <w:p>
            <w:pPr>
              <w:spacing w:after="0"/>
              <w:rPr>
                <w:sz w:val="1"/>
                <w:szCs w:val="1"/>
                <w:color w:val="auto"/>
              </w:rPr>
            </w:pPr>
          </w:p>
        </w:tc>
      </w:tr>
      <w:tr>
        <w:trPr>
          <w:trHeight w:val="167"/>
        </w:trPr>
        <w:tc>
          <w:tcPr>
            <w:tcW w:w="5800" w:type="dxa"/>
            <w:vAlign w:val="bottom"/>
            <w:gridSpan w:val="2"/>
          </w:tcPr>
          <w:p>
            <w:pPr>
              <w:ind w:left="920"/>
              <w:spacing w:after="0"/>
              <w:rPr>
                <w:sz w:val="20"/>
                <w:szCs w:val="20"/>
                <w:color w:val="auto"/>
              </w:rPr>
            </w:pPr>
            <w:r>
              <w:rPr>
                <w:rFonts w:ascii="Times New Roman" w:cs="Times New Roman" w:eastAsia="Times New Roman" w:hAnsi="Times New Roman"/>
                <w:sz w:val="13"/>
                <w:szCs w:val="13"/>
                <w:b w:val="1"/>
                <w:bCs w:val="1"/>
                <w:color w:val="auto"/>
              </w:rPr>
              <w:t>(In thousands, except per share data)</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3"/>
          </w:tcPr>
          <w:p>
            <w:pPr>
              <w:jc w:val="center"/>
              <w:ind w:right="1160"/>
              <w:spacing w:after="0"/>
              <w:rPr>
                <w:sz w:val="20"/>
                <w:szCs w:val="20"/>
                <w:color w:val="auto"/>
              </w:rPr>
            </w:pPr>
            <w:r>
              <w:rPr>
                <w:rFonts w:ascii="Times New Roman" w:cs="Times New Roman" w:eastAsia="Times New Roman" w:hAnsi="Times New Roman"/>
                <w:sz w:val="13"/>
                <w:szCs w:val="13"/>
                <w:b w:val="1"/>
                <w:bCs w:val="1"/>
                <w:color w:val="auto"/>
                <w:w w:val="97"/>
              </w:rPr>
              <w:t>March 31, 2025</w:t>
            </w: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48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w:t>
            </w:r>
          </w:p>
        </w:tc>
        <w:tc>
          <w:tcPr>
            <w:tcW w:w="14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Product sales, net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338,114</w:t>
            </w:r>
          </w:p>
        </w:tc>
        <w:tc>
          <w:tcPr>
            <w:tcW w:w="140" w:type="dxa"/>
            <w:vAlign w:val="bottom"/>
          </w:tcPr>
          <w:p>
            <w:pPr>
              <w:spacing w:after="0"/>
              <w:rPr>
                <w:sz w:val="16"/>
                <w:szCs w:val="16"/>
                <w:color w:val="auto"/>
              </w:rPr>
            </w:pPr>
          </w:p>
        </w:tc>
        <w:tc>
          <w:tcPr>
            <w:tcW w:w="220" w:type="dxa"/>
            <w:vAlign w:val="bottom"/>
            <w:gridSpan w:val="2"/>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244,493</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48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Manufacturing and royalty revenues</w:t>
            </w:r>
          </w:p>
        </w:tc>
        <w:tc>
          <w:tcPr>
            <w:tcW w:w="1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54,797</w:t>
            </w:r>
          </w:p>
        </w:tc>
        <w:tc>
          <w:tcPr>
            <w:tcW w:w="1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62,017</w:t>
            </w:r>
          </w:p>
        </w:tc>
        <w:tc>
          <w:tcPr>
            <w:tcW w:w="80" w:type="dxa"/>
            <w:vAlign w:val="bottom"/>
            <w:tcBorders>
              <w:bottom w:val="single" w:sz="8" w:color="CFF0FC"/>
            </w:tcBorders>
            <w:shd w:val="clear" w:color="auto" w:fill="CFF0FC"/>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920" w:type="dxa"/>
            <w:vAlign w:val="bottom"/>
          </w:tcPr>
          <w:p>
            <w:pPr>
              <w:spacing w:after="0"/>
              <w:rPr>
                <w:sz w:val="15"/>
                <w:szCs w:val="15"/>
                <w:color w:val="auto"/>
              </w:rPr>
            </w:pPr>
          </w:p>
        </w:tc>
        <w:tc>
          <w:tcPr>
            <w:tcW w:w="4880" w:type="dxa"/>
            <w:vAlign w:val="bottom"/>
          </w:tcPr>
          <w:p>
            <w:pPr>
              <w:ind w:left="320"/>
              <w:spacing w:after="0" w:line="181" w:lineRule="exact"/>
              <w:rPr>
                <w:sz w:val="20"/>
                <w:szCs w:val="20"/>
                <w:color w:val="auto"/>
              </w:rPr>
            </w:pPr>
            <w:r>
              <w:rPr>
                <w:rFonts w:ascii="Times New Roman" w:cs="Times New Roman" w:eastAsia="Times New Roman" w:hAnsi="Times New Roman"/>
                <w:sz w:val="16"/>
                <w:szCs w:val="16"/>
                <w:color w:val="auto"/>
              </w:rPr>
              <w:t>Total Revenues</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392,911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306,510</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920" w:type="dxa"/>
            <w:vAlign w:val="bottom"/>
          </w:tcPr>
          <w:p>
            <w:pPr>
              <w:spacing w:after="0"/>
              <w:rPr>
                <w:sz w:val="15"/>
                <w:szCs w:val="15"/>
                <w:color w:val="auto"/>
              </w:rPr>
            </w:pPr>
          </w:p>
        </w:tc>
        <w:tc>
          <w:tcPr>
            <w:tcW w:w="48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Expenses:</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Cost of goods manufactured and sold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61,578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49,197</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48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103,345</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71,817</w:t>
            </w:r>
          </w:p>
        </w:tc>
        <w:tc>
          <w:tcPr>
            <w:tcW w:w="80" w:type="dxa"/>
            <w:vAlign w:val="bottom"/>
            <w:shd w:val="clear" w:color="auto" w:fill="CFF0FC"/>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264,593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171,704</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48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Amortization of acquired intangible assets</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11,675</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920" w:type="dxa"/>
            <w:vAlign w:val="bottom"/>
          </w:tcPr>
          <w:p>
            <w:pPr>
              <w:spacing w:after="0"/>
              <w:rPr>
                <w:sz w:val="15"/>
                <w:szCs w:val="15"/>
                <w:color w:val="auto"/>
              </w:rPr>
            </w:pPr>
          </w:p>
        </w:tc>
        <w:tc>
          <w:tcPr>
            <w:tcW w:w="4880" w:type="dxa"/>
            <w:vAlign w:val="bottom"/>
            <w:tcBorders>
              <w:top w:val="single" w:sz="8" w:color="CFF0FC"/>
            </w:tcBorders>
          </w:tcPr>
          <w:p>
            <w:pPr>
              <w:ind w:left="320"/>
              <w:spacing w:after="0" w:line="181" w:lineRule="exact"/>
              <w:rPr>
                <w:sz w:val="20"/>
                <w:szCs w:val="20"/>
                <w:color w:val="auto"/>
              </w:rPr>
            </w:pPr>
            <w:r>
              <w:rPr>
                <w:rFonts w:ascii="Times New Roman" w:cs="Times New Roman" w:eastAsia="Times New Roman" w:hAnsi="Times New Roman"/>
                <w:sz w:val="16"/>
                <w:szCs w:val="16"/>
                <w:color w:val="auto"/>
              </w:rPr>
              <w:t>Total Expenses</w:t>
            </w:r>
          </w:p>
        </w:tc>
        <w:tc>
          <w:tcPr>
            <w:tcW w:w="140" w:type="dxa"/>
            <w:vAlign w:val="bottom"/>
            <w:tcBorders>
              <w:top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441,191</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292,718</w:t>
            </w:r>
          </w:p>
        </w:tc>
        <w:tc>
          <w:tcPr>
            <w:tcW w:w="80" w:type="dxa"/>
            <w:vAlign w:val="bottom"/>
            <w:tcBorders>
              <w:top w:val="single" w:sz="8" w:color="CFF0FC"/>
            </w:tcBorders>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920" w:type="dxa"/>
            <w:vAlign w:val="bottom"/>
          </w:tcPr>
          <w:p>
            <w:pPr>
              <w:spacing w:after="0"/>
              <w:rPr>
                <w:sz w:val="15"/>
                <w:szCs w:val="15"/>
                <w:color w:val="auto"/>
              </w:rPr>
            </w:pPr>
          </w:p>
        </w:tc>
        <w:tc>
          <w:tcPr>
            <w:tcW w:w="48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Operating (Loss) Income</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(48,280)</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13,792</w:t>
            </w:r>
          </w:p>
        </w:tc>
        <w:tc>
          <w:tcPr>
            <w:tcW w:w="80" w:type="dxa"/>
            <w:vAlign w:val="bottom"/>
            <w:shd w:val="clear" w:color="auto" w:fill="CFF0FC"/>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920" w:type="dxa"/>
            <w:vAlign w:val="bottom"/>
          </w:tcPr>
          <w:p>
            <w:pPr>
              <w:spacing w:after="0"/>
              <w:rPr>
                <w:sz w:val="15"/>
                <w:szCs w:val="15"/>
                <w:color w:val="auto"/>
              </w:rPr>
            </w:pPr>
          </w:p>
        </w:tc>
        <w:tc>
          <w:tcPr>
            <w:tcW w:w="4880" w:type="dxa"/>
            <w:vAlign w:val="bottom"/>
            <w:tcBorders>
              <w:top w:val="single" w:sz="8" w:color="CFF0FC"/>
            </w:tcBorders>
          </w:tcPr>
          <w:p>
            <w:pPr>
              <w:spacing w:after="0" w:line="181" w:lineRule="exact"/>
              <w:rPr>
                <w:sz w:val="20"/>
                <w:szCs w:val="20"/>
                <w:color w:val="auto"/>
              </w:rPr>
            </w:pPr>
            <w:r>
              <w:rPr>
                <w:rFonts w:ascii="Times New Roman" w:cs="Times New Roman" w:eastAsia="Times New Roman" w:hAnsi="Times New Roman"/>
                <w:sz w:val="16"/>
                <w:szCs w:val="16"/>
                <w:color w:val="auto"/>
              </w:rPr>
              <w:t>Other (Expense) Income, net:</w:t>
            </w:r>
          </w:p>
        </w:tc>
        <w:tc>
          <w:tcPr>
            <w:tcW w:w="14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48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Interest income</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8,539</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10,141</w:t>
            </w:r>
          </w:p>
        </w:tc>
        <w:tc>
          <w:tcPr>
            <w:tcW w:w="80" w:type="dxa"/>
            <w:vAlign w:val="bottom"/>
            <w:shd w:val="clear" w:color="auto" w:fill="CFF0FC"/>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(20,892)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48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(1,293)</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1,556</w:t>
            </w:r>
          </w:p>
        </w:tc>
        <w:tc>
          <w:tcPr>
            <w:tcW w:w="80" w:type="dxa"/>
            <w:vAlign w:val="bottom"/>
            <w:shd w:val="clear" w:color="auto" w:fill="CFF0FC"/>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8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920" w:type="dxa"/>
            <w:vAlign w:val="bottom"/>
          </w:tcPr>
          <w:p>
            <w:pPr>
              <w:spacing w:after="0"/>
              <w:rPr>
                <w:sz w:val="15"/>
                <w:szCs w:val="15"/>
                <w:color w:val="auto"/>
              </w:rPr>
            </w:pPr>
          </w:p>
        </w:tc>
        <w:tc>
          <w:tcPr>
            <w:tcW w:w="4880" w:type="dxa"/>
            <w:vAlign w:val="bottom"/>
          </w:tcPr>
          <w:p>
            <w:pPr>
              <w:ind w:left="320"/>
              <w:spacing w:after="0" w:line="181" w:lineRule="exact"/>
              <w:rPr>
                <w:sz w:val="20"/>
                <w:szCs w:val="20"/>
                <w:color w:val="auto"/>
              </w:rPr>
            </w:pPr>
            <w:r>
              <w:rPr>
                <w:rFonts w:ascii="Times New Roman" w:cs="Times New Roman" w:eastAsia="Times New Roman" w:hAnsi="Times New Roman"/>
                <w:sz w:val="16"/>
                <w:szCs w:val="16"/>
                <w:color w:val="auto"/>
              </w:rPr>
              <w:t>Total Other (Expense) Income, net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(13,646)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11,697</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920" w:type="dxa"/>
            <w:vAlign w:val="bottom"/>
            <w:vMerge w:val="continue"/>
          </w:tcPr>
          <w:p>
            <w:pPr>
              <w:spacing w:after="0"/>
              <w:rPr>
                <w:sz w:val="15"/>
                <w:szCs w:val="15"/>
                <w:color w:val="auto"/>
              </w:rPr>
            </w:pPr>
          </w:p>
        </w:tc>
        <w:tc>
          <w:tcPr>
            <w:tcW w:w="48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(Loss) Income Before Income Taxes</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(61,926)</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25,489</w:t>
            </w:r>
          </w:p>
        </w:tc>
        <w:tc>
          <w:tcPr>
            <w:tcW w:w="80" w:type="dxa"/>
            <w:vAlign w:val="bottom"/>
            <w:shd w:val="clear" w:color="auto" w:fill="CFF0FC"/>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920" w:type="dxa"/>
            <w:vAlign w:val="bottom"/>
          </w:tcPr>
          <w:p>
            <w:pPr>
              <w:spacing w:after="0"/>
              <w:rPr>
                <w:sz w:val="15"/>
                <w:szCs w:val="15"/>
                <w:color w:val="auto"/>
              </w:rPr>
            </w:pPr>
          </w:p>
        </w:tc>
        <w:tc>
          <w:tcPr>
            <w:tcW w:w="4880" w:type="dxa"/>
            <w:vAlign w:val="bottom"/>
            <w:tcBorders>
              <w:top w:val="single" w:sz="8" w:color="CFF0FC"/>
            </w:tcBorders>
          </w:tcPr>
          <w:p>
            <w:pPr>
              <w:spacing w:after="0" w:line="181" w:lineRule="exact"/>
              <w:rPr>
                <w:sz w:val="20"/>
                <w:szCs w:val="20"/>
                <w:color w:val="auto"/>
              </w:rPr>
            </w:pPr>
            <w:r>
              <w:rPr>
                <w:rFonts w:ascii="Times New Roman" w:cs="Times New Roman" w:eastAsia="Times New Roman" w:hAnsi="Times New Roman"/>
                <w:sz w:val="16"/>
                <w:szCs w:val="16"/>
                <w:color w:val="auto"/>
              </w:rPr>
              <w:t>Income Tax (Benefit) Provision</w:t>
            </w:r>
          </w:p>
        </w:tc>
        <w:tc>
          <w:tcPr>
            <w:tcW w:w="140" w:type="dxa"/>
            <w:vAlign w:val="bottom"/>
            <w:tcBorders>
              <w:top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4,554</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3,025</w:t>
            </w:r>
          </w:p>
        </w:tc>
        <w:tc>
          <w:tcPr>
            <w:tcW w:w="80" w:type="dxa"/>
            <w:vAlign w:val="bottom"/>
            <w:tcBorders>
              <w:top w:val="single" w:sz="8" w:color="CFF0FC"/>
            </w:tcBorders>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48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Net (Loss) Income — GAAP</w:t>
            </w:r>
          </w:p>
        </w:tc>
        <w:tc>
          <w:tcPr>
            <w:tcW w:w="280" w:type="dxa"/>
            <w:vAlign w:val="bottom"/>
            <w:gridSpan w:val="2"/>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(66,480)</w:t>
            </w:r>
          </w:p>
        </w:tc>
        <w:tc>
          <w:tcPr>
            <w:tcW w:w="220" w:type="dxa"/>
            <w:vAlign w:val="bottom"/>
            <w:gridSpan w:val="2"/>
            <w:shd w:val="clear" w:color="auto" w:fill="CFF0FC"/>
          </w:tcPr>
          <w:p>
            <w:pPr>
              <w:jc w:val="right"/>
              <w:ind w:right="17"/>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22,464</w:t>
            </w:r>
          </w:p>
        </w:tc>
        <w:tc>
          <w:tcPr>
            <w:tcW w:w="80" w:type="dxa"/>
            <w:vAlign w:val="bottom"/>
            <w:shd w:val="clear" w:color="auto" w:fill="CFF0FC"/>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920" w:type="dxa"/>
            <w:vAlign w:val="bottom"/>
          </w:tcPr>
          <w:p>
            <w:pPr>
              <w:spacing w:after="0"/>
              <w:rPr>
                <w:sz w:val="14"/>
                <w:szCs w:val="14"/>
                <w:color w:val="auto"/>
              </w:rPr>
            </w:pPr>
          </w:p>
        </w:tc>
        <w:tc>
          <w:tcPr>
            <w:tcW w:w="488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(Loss) Earnings Per Share - Basic</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(0.40)</w:t>
            </w:r>
          </w:p>
        </w:tc>
        <w:tc>
          <w:tcPr>
            <w:tcW w:w="22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80" w:type="dxa"/>
            <w:vAlign w:val="bottom"/>
            <w:shd w:val="clear" w:color="auto" w:fill="CFF0FC"/>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8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920" w:type="dxa"/>
            <w:vAlign w:val="bottom"/>
          </w:tcPr>
          <w:p>
            <w:pPr>
              <w:spacing w:after="0"/>
              <w:rPr>
                <w:sz w:val="14"/>
                <w:szCs w:val="14"/>
                <w:color w:val="auto"/>
              </w:rPr>
            </w:pPr>
          </w:p>
        </w:tc>
        <w:tc>
          <w:tcPr>
            <w:tcW w:w="488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(Loss) Earnings Per Share - Diluted</w:t>
            </w:r>
          </w:p>
        </w:tc>
        <w:tc>
          <w:tcPr>
            <w:tcW w:w="28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80"/>
              <w:spacing w:after="0" w:line="165" w:lineRule="exact"/>
              <w:rPr>
                <w:sz w:val="20"/>
                <w:szCs w:val="20"/>
                <w:color w:val="auto"/>
              </w:rPr>
            </w:pPr>
            <w:r>
              <w:rPr>
                <w:rFonts w:ascii="Times New Roman" w:cs="Times New Roman" w:eastAsia="Times New Roman" w:hAnsi="Times New Roman"/>
                <w:sz w:val="16"/>
                <w:szCs w:val="16"/>
                <w:color w:val="auto"/>
              </w:rPr>
              <w:t>(0.40)</w:t>
            </w:r>
          </w:p>
        </w:tc>
        <w:tc>
          <w:tcPr>
            <w:tcW w:w="220" w:type="dxa"/>
            <w:vAlign w:val="bottom"/>
            <w:gridSpan w:val="2"/>
          </w:tcPr>
          <w:p>
            <w:pPr>
              <w:jc w:val="right"/>
              <w:ind w:right="17"/>
              <w:spacing w:after="0" w:line="165"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0.13</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920" w:type="dxa"/>
            <w:vAlign w:val="bottom"/>
            <w:vMerge w:val="restart"/>
          </w:tcPr>
          <w:p>
            <w:pPr>
              <w:spacing w:after="0"/>
              <w:rPr>
                <w:sz w:val="14"/>
                <w:szCs w:val="14"/>
                <w:color w:val="auto"/>
              </w:rPr>
            </w:pPr>
          </w:p>
        </w:tc>
        <w:tc>
          <w:tcPr>
            <w:tcW w:w="4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20" w:type="dxa"/>
            <w:vAlign w:val="bottom"/>
            <w:vMerge w:val="continue"/>
          </w:tcPr>
          <w:p>
            <w:pPr>
              <w:spacing w:after="0"/>
              <w:rPr>
                <w:sz w:val="16"/>
                <w:szCs w:val="16"/>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Weighted Average Number of Ordinary Shares Outstanding:</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4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166,196</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163,407</w:t>
            </w:r>
          </w:p>
        </w:tc>
        <w:tc>
          <w:tcPr>
            <w:tcW w:w="80" w:type="dxa"/>
            <w:vAlign w:val="bottom"/>
            <w:shd w:val="clear" w:color="auto" w:fill="CFF0FC"/>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48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166,196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168,737</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vMerge w:val="restart"/>
          </w:tcPr>
          <w:p>
            <w:pPr>
              <w:spacing w:after="0"/>
              <w:rPr>
                <w:sz w:val="16"/>
                <w:szCs w:val="16"/>
                <w:color w:val="auto"/>
              </w:rPr>
            </w:pPr>
          </w:p>
        </w:tc>
        <w:tc>
          <w:tcPr>
            <w:tcW w:w="48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920" w:type="dxa"/>
            <w:vAlign w:val="bottom"/>
            <w:vMerge w:val="continue"/>
          </w:tcPr>
          <w:p>
            <w:pPr>
              <w:spacing w:after="0"/>
              <w:rPr>
                <w:sz w:val="15"/>
                <w:szCs w:val="15"/>
                <w:color w:val="auto"/>
              </w:rPr>
            </w:pPr>
          </w:p>
        </w:tc>
        <w:tc>
          <w:tcPr>
            <w:tcW w:w="488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An itemized reconciliation between net (loss) income on a GAAP basis and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80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Adjusted EBITDA is as follows: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(66,480)</w:t>
            </w:r>
          </w:p>
        </w:tc>
        <w:tc>
          <w:tcPr>
            <w:tcW w:w="22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22,464</w:t>
            </w:r>
          </w:p>
        </w:tc>
        <w:tc>
          <w:tcPr>
            <w:tcW w:w="80" w:type="dxa"/>
            <w:vAlign w:val="bottom"/>
            <w:shd w:val="clear" w:color="auto" w:fill="CFF0FC"/>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6"/>
                <w:szCs w:val="16"/>
                <w:color w:val="auto"/>
              </w:rPr>
              <w:t>Adjustments: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4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Interest income</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(8,539)</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(10,141)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48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20,892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4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Income tax provision</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4,554</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3,025</w:t>
            </w:r>
          </w:p>
        </w:tc>
        <w:tc>
          <w:tcPr>
            <w:tcW w:w="80" w:type="dxa"/>
            <w:vAlign w:val="bottom"/>
            <w:shd w:val="clear" w:color="auto" w:fill="CFF0FC"/>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48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Depreciation expense</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7,421</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48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Amortization of acquired intangible assets</w:t>
            </w:r>
          </w:p>
        </w:tc>
        <w:tc>
          <w:tcPr>
            <w:tcW w:w="1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11,675</w:t>
            </w:r>
          </w:p>
        </w:tc>
        <w:tc>
          <w:tcPr>
            <w:tcW w:w="1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shd w:val="clear" w:color="auto" w:fill="CFF0FC"/>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920" w:type="dxa"/>
            <w:vAlign w:val="bottom"/>
          </w:tcPr>
          <w:p>
            <w:pPr>
              <w:spacing w:after="0"/>
              <w:rPr>
                <w:sz w:val="15"/>
                <w:szCs w:val="15"/>
                <w:color w:val="auto"/>
              </w:rPr>
            </w:pPr>
          </w:p>
        </w:tc>
        <w:tc>
          <w:tcPr>
            <w:tcW w:w="488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EBITDA</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(30,145)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22,769</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920" w:type="dxa"/>
            <w:vAlign w:val="bottom"/>
          </w:tcPr>
          <w:p>
            <w:pPr>
              <w:spacing w:after="0"/>
              <w:rPr>
                <w:sz w:val="15"/>
                <w:szCs w:val="15"/>
                <w:color w:val="auto"/>
              </w:rPr>
            </w:pPr>
          </w:p>
        </w:tc>
        <w:tc>
          <w:tcPr>
            <w:tcW w:w="4880" w:type="dxa"/>
            <w:vAlign w:val="bottom"/>
            <w:shd w:val="clear" w:color="auto" w:fill="CFF0FC"/>
          </w:tcPr>
          <w:p>
            <w:pPr>
              <w:ind w:left="80"/>
              <w:spacing w:after="0" w:line="181" w:lineRule="exact"/>
              <w:rPr>
                <w:sz w:val="20"/>
                <w:szCs w:val="20"/>
                <w:color w:val="auto"/>
              </w:rPr>
            </w:pPr>
            <w:r>
              <w:rPr>
                <w:rFonts w:ascii="Times New Roman" w:cs="Times New Roman" w:eastAsia="Times New Roman" w:hAnsi="Times New Roman"/>
                <w:sz w:val="16"/>
                <w:szCs w:val="16"/>
                <w:color w:val="auto"/>
              </w:rPr>
              <w:t>Share-based compensation expense</w:t>
            </w:r>
          </w:p>
        </w:tc>
        <w:tc>
          <w:tcPr>
            <w:tcW w:w="14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54,581</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22,810</w:t>
            </w:r>
          </w:p>
        </w:tc>
        <w:tc>
          <w:tcPr>
            <w:tcW w:w="80" w:type="dxa"/>
            <w:vAlign w:val="bottom"/>
            <w:shd w:val="clear" w:color="auto" w:fill="CFF0FC"/>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48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Costs related to the acquisition of Avadel</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55,825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48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Adjusted EBITDA</w:t>
            </w:r>
          </w:p>
        </w:tc>
        <w:tc>
          <w:tcPr>
            <w:tcW w:w="280" w:type="dxa"/>
            <w:vAlign w:val="bottom"/>
            <w:gridSpan w:val="2"/>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80,261</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17"/>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45,579</w:t>
            </w:r>
          </w:p>
        </w:tc>
        <w:tc>
          <w:tcPr>
            <w:tcW w:w="80" w:type="dxa"/>
            <w:vAlign w:val="bottom"/>
            <w:shd w:val="clear" w:color="auto" w:fill="CFF0FC"/>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7"/>
        </w:trPr>
        <w:tc>
          <w:tcPr>
            <w:tcW w:w="920" w:type="dxa"/>
            <w:vAlign w:val="bottom"/>
          </w:tcPr>
          <w:p>
            <w:pPr>
              <w:spacing w:after="0"/>
              <w:rPr>
                <w:sz w:val="24"/>
                <w:szCs w:val="24"/>
                <w:color w:val="auto"/>
              </w:rPr>
            </w:pPr>
          </w:p>
        </w:tc>
        <w:tc>
          <w:tcPr>
            <w:tcW w:w="4880" w:type="dxa"/>
            <w:vAlign w:val="bottom"/>
            <w:tcBorders>
              <w:top w:val="single" w:sz="8" w:color="CFF0FC"/>
            </w:tcBorders>
          </w:tcPr>
          <w:p>
            <w:pPr>
              <w:ind w:left="3880"/>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2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6127115</wp:posOffset>
            </wp:positionH>
            <wp:positionV relativeFrom="paragraph">
              <wp:posOffset>-27305</wp:posOffset>
            </wp:positionV>
            <wp:extent cx="3302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-27305</wp:posOffset>
            </wp:positionV>
            <wp:extent cx="33020"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4577715</wp:posOffset>
            </wp:positionH>
            <wp:positionV relativeFrom="paragraph">
              <wp:posOffset>-5316220</wp:posOffset>
            </wp:positionV>
            <wp:extent cx="4508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-5316220</wp:posOffset>
            </wp:positionV>
            <wp:extent cx="4508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4577715</wp:posOffset>
            </wp:positionH>
            <wp:positionV relativeFrom="paragraph">
              <wp:posOffset>-4580255</wp:posOffset>
            </wp:positionV>
            <wp:extent cx="4508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-4580255</wp:posOffset>
            </wp:positionV>
            <wp:extent cx="4508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4577715</wp:posOffset>
            </wp:positionH>
            <wp:positionV relativeFrom="paragraph">
              <wp:posOffset>-4324985</wp:posOffset>
            </wp:positionV>
            <wp:extent cx="4508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-4324985</wp:posOffset>
            </wp:positionV>
            <wp:extent cx="4508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4577715</wp:posOffset>
            </wp:positionH>
            <wp:positionV relativeFrom="paragraph">
              <wp:posOffset>-3836670</wp:posOffset>
            </wp:positionV>
            <wp:extent cx="4508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-3836670</wp:posOffset>
            </wp:positionV>
            <wp:extent cx="4508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4577715</wp:posOffset>
            </wp:positionH>
            <wp:positionV relativeFrom="paragraph">
              <wp:posOffset>-3581400</wp:posOffset>
            </wp:positionV>
            <wp:extent cx="4508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-3581400</wp:posOffset>
            </wp:positionV>
            <wp:extent cx="4508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4577715</wp:posOffset>
            </wp:positionH>
            <wp:positionV relativeFrom="paragraph">
              <wp:posOffset>-3326130</wp:posOffset>
            </wp:positionV>
            <wp:extent cx="4508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4577715</wp:posOffset>
            </wp:positionH>
            <wp:positionV relativeFrom="paragraph">
              <wp:posOffset>-3310890</wp:posOffset>
            </wp:positionV>
            <wp:extent cx="4508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-3326130</wp:posOffset>
            </wp:positionV>
            <wp:extent cx="4508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-3310890</wp:posOffset>
            </wp:positionV>
            <wp:extent cx="4508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4577715</wp:posOffset>
            </wp:positionH>
            <wp:positionV relativeFrom="paragraph">
              <wp:posOffset>-3063240</wp:posOffset>
            </wp:positionV>
            <wp:extent cx="4508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4577715</wp:posOffset>
            </wp:positionH>
            <wp:positionV relativeFrom="paragraph">
              <wp:posOffset>-3048635</wp:posOffset>
            </wp:positionV>
            <wp:extent cx="4508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-3063240</wp:posOffset>
            </wp:positionV>
            <wp:extent cx="4508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-3048635</wp:posOffset>
            </wp:positionV>
            <wp:extent cx="4508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4577715</wp:posOffset>
            </wp:positionH>
            <wp:positionV relativeFrom="paragraph">
              <wp:posOffset>-1216025</wp:posOffset>
            </wp:positionV>
            <wp:extent cx="4508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-1216025</wp:posOffset>
            </wp:positionV>
            <wp:extent cx="4508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4577715</wp:posOffset>
            </wp:positionH>
            <wp:positionV relativeFrom="paragraph">
              <wp:posOffset>-713105</wp:posOffset>
            </wp:positionV>
            <wp:extent cx="4508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4577715</wp:posOffset>
            </wp:positionH>
            <wp:positionV relativeFrom="paragraph">
              <wp:posOffset>-697865</wp:posOffset>
            </wp:positionV>
            <wp:extent cx="4508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-713105</wp:posOffset>
            </wp:positionV>
            <wp:extent cx="4508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-697865</wp:posOffset>
            </wp:positionV>
            <wp:extent cx="4508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5085" cy="7620"/>
                    </a:xfrm>
                    <a:prstGeom prst="rect">
                      <a:avLst/>
                    </a:prstGeom>
                    <a:noFill/>
                  </pic:spPr>
                </pic:pic>
              </a:graphicData>
            </a:graphic>
          </wp:anchor>
        </w:drawing>
      </w:r>
    </w:p>
    <w:p>
      <w:pPr>
        <w:sectPr>
          <w:pgSz w:w="11900" w:h="16838" w:orient="portrait"/>
          <w:cols w:equalWidth="0" w:num="1">
            <w:col w:w="9680"/>
          </w:cols>
          <w:pgMar w:left="1100" w:top="909" w:right="1119" w:bottom="1440" w:gutter="0" w:footer="0" w:header="0"/>
        </w:sectPr>
      </w:pPr>
    </w:p>
    <w:bookmarkStart w:id="9" w:name="page10"/>
    <w:bookmarkEnd w:id="9"/>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Alkermes plc and Subsidiaries</w:t>
      </w:r>
    </w:p>
    <w:p>
      <w:pPr>
        <w:spacing w:after="0" w:line="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Selected Financial Information (Unaudited)</w:t>
      </w:r>
    </w:p>
    <w:p>
      <w:pPr>
        <w:spacing w:after="0" w:line="95"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45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Condensed Consolidated Balance Sheets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67"/>
        </w:trPr>
        <w:tc>
          <w:tcPr>
            <w:tcW w:w="45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543"/>
              <w:spacing w:after="0"/>
              <w:rPr>
                <w:sz w:val="20"/>
                <w:szCs w:val="20"/>
                <w:color w:val="auto"/>
              </w:rPr>
            </w:pPr>
            <w:r>
              <w:rPr>
                <w:rFonts w:ascii="Times New Roman" w:cs="Times New Roman" w:eastAsia="Times New Roman" w:hAnsi="Times New Roman"/>
                <w:sz w:val="13"/>
                <w:szCs w:val="13"/>
                <w:b w:val="1"/>
                <w:bCs w:val="1"/>
                <w:color w:val="auto"/>
              </w:rPr>
              <w:t>2026</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523"/>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total investments</w:t>
            </w:r>
          </w:p>
        </w:tc>
        <w:tc>
          <w:tcPr>
            <w:tcW w:w="120" w:type="dxa"/>
            <w:vAlign w:val="bottom"/>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538,225</w:t>
            </w:r>
          </w:p>
        </w:tc>
        <w:tc>
          <w:tcPr>
            <w:tcW w:w="18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588,360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731,206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Receivables</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407,630</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334,025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Inventory</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336,703</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196,625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102,449</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79,090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220,587</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221,722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1,784,040</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596,029</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83,027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134,808</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125,815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137,605</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126,308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00" w:type="dxa"/>
            <w:vAlign w:val="bottom"/>
            <w:tcBorders>
              <w:bottom w:val="single" w:sz="8" w:color="CFF0FC"/>
            </w:tcBorders>
            <w:shd w:val="clear" w:color="auto" w:fill="CFF0FC"/>
          </w:tcPr>
          <w:p>
            <w:pPr>
              <w:ind w:left="140"/>
              <w:spacing w:after="0" w:line="181" w:lineRule="exact"/>
              <w:rPr>
                <w:sz w:val="20"/>
                <w:szCs w:val="20"/>
                <w:color w:val="auto"/>
              </w:rPr>
            </w:pPr>
            <w:r>
              <w:rPr>
                <w:rFonts w:ascii="Times New Roman" w:cs="Times New Roman" w:eastAsia="Times New Roman" w:hAnsi="Times New Roman"/>
                <w:sz w:val="16"/>
                <w:szCs w:val="16"/>
                <w:b w:val="1"/>
                <w:bCs w:val="1"/>
                <w:color w:val="auto"/>
              </w:rPr>
              <w:t>Total Assets</w:t>
            </w:r>
          </w:p>
        </w:tc>
        <w:tc>
          <w:tcPr>
            <w:tcW w:w="1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4,258,076</w:t>
            </w:r>
          </w:p>
        </w:tc>
        <w:tc>
          <w:tcPr>
            <w:tcW w:w="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2,486,993</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Accrued sales discounts, allowances and reserves</w:t>
            </w:r>
          </w:p>
        </w:tc>
        <w:tc>
          <w:tcPr>
            <w:tcW w:w="40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272,843</w:t>
            </w:r>
          </w:p>
        </w:tc>
        <w:tc>
          <w:tcPr>
            <w:tcW w:w="40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247,126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debt, current portion</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26,500</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300,156</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296,311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1,483,837</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423,209</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124,261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1,751,531</w:t>
            </w:r>
          </w:p>
        </w:tc>
        <w:tc>
          <w:tcPr>
            <w:tcW w:w="18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1,819,295</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00" w:type="dxa"/>
            <w:vAlign w:val="bottom"/>
          </w:tcPr>
          <w:p>
            <w:pPr>
              <w:ind w:left="140"/>
              <w:spacing w:after="0" w:line="181" w:lineRule="exact"/>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400" w:type="dxa"/>
            <w:vAlign w:val="bottom"/>
            <w:gridSpan w:val="2"/>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4,258,076</w:t>
            </w:r>
          </w:p>
        </w:tc>
        <w:tc>
          <w:tcPr>
            <w:tcW w:w="400" w:type="dxa"/>
            <w:vAlign w:val="bottom"/>
            <w:gridSpan w:val="2"/>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2,486,993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5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1200" w:type="dxa"/>
            <w:vAlign w:val="bottom"/>
            <w:tcBorders>
              <w:top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24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Ordinary shares outstanding (in thousands)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166,462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165,607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4249420</wp:posOffset>
            </wp:positionH>
            <wp:positionV relativeFrom="paragraph">
              <wp:posOffset>-1144270</wp:posOffset>
            </wp:positionV>
            <wp:extent cx="45085" cy="222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5085" cy="22225"/>
                    </a:xfrm>
                    <a:prstGeom prst="rect">
                      <a:avLst/>
                    </a:prstGeom>
                    <a:noFill/>
                  </pic:spPr>
                </pic:pic>
              </a:graphicData>
            </a:graphic>
          </wp:anchor>
        </w:drawing>
        <w:drawing>
          <wp:anchor simplePos="0" relativeHeight="251657728" behindDoc="1" locked="0" layoutInCell="0" allowOverlap="1">
            <wp:simplePos x="0" y="0"/>
            <wp:positionH relativeFrom="column">
              <wp:posOffset>5300980</wp:posOffset>
            </wp:positionH>
            <wp:positionV relativeFrom="paragraph">
              <wp:posOffset>-1144270</wp:posOffset>
            </wp:positionV>
            <wp:extent cx="45085" cy="222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5085" cy="2222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-400685</wp:posOffset>
            </wp:positionV>
            <wp:extent cx="4508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5300980</wp:posOffset>
            </wp:positionH>
            <wp:positionV relativeFrom="paragraph">
              <wp:posOffset>-400685</wp:posOffset>
            </wp:positionV>
            <wp:extent cx="4508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109220</wp:posOffset>
            </wp:positionV>
            <wp:extent cx="4926330" cy="222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26330" cy="22225"/>
                    </a:xfrm>
                    <a:prstGeom prst="rect">
                      <a:avLst/>
                    </a:prstGeom>
                    <a:noFill/>
                  </pic:spPr>
                </pic:pic>
              </a:graphicData>
            </a:graphic>
          </wp:anchor>
        </w:drawing>
      </w:r>
    </w:p>
    <w:p>
      <w:pPr>
        <w:spacing w:after="0" w:line="171" w:lineRule="exact"/>
        <w:rPr>
          <w:sz w:val="20"/>
          <w:szCs w:val="20"/>
          <w:color w:val="auto"/>
        </w:rPr>
      </w:pPr>
    </w:p>
    <w:p>
      <w:pPr>
        <w:ind w:left="580" w:right="999"/>
        <w:spacing w:after="0" w:line="261" w:lineRule="auto"/>
        <w:rPr>
          <w:sz w:val="20"/>
          <w:szCs w:val="20"/>
          <w:color w:val="auto"/>
        </w:rPr>
      </w:pPr>
      <w:r>
        <w:rPr>
          <w:rFonts w:ascii="Times New Roman" w:cs="Times New Roman" w:eastAsia="Times New Roman" w:hAnsi="Times New Roman"/>
          <w:sz w:val="16"/>
          <w:szCs w:val="16"/>
          <w:color w:val="auto"/>
        </w:rPr>
        <w:t>This selected financial information should be read in conjunction with the consolidated financial statements and notes thereto included in Alkermes plc's Quarterly Report on Form 10-Q for the quarter ended March 31, 2026, which the company intends to file in May 2026.</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346710</wp:posOffset>
            </wp:positionV>
            <wp:extent cx="6168390"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0" w:name="page11"/>
    <w:bookmarkEnd w:id="10"/>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Alkermes plc and Subsidiaries</w:t>
      </w:r>
    </w:p>
    <w:p>
      <w:pPr>
        <w:spacing w:after="0" w:line="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Summary of Costs Related to the Acquisition of Avadel</w:t>
      </w:r>
    </w:p>
    <w:p>
      <w:pPr>
        <w:spacing w:after="0" w:line="16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p>
      <w:pPr>
        <w:spacing w:after="0" w:line="24" w:lineRule="exact"/>
        <w:rPr>
          <w:sz w:val="20"/>
          <w:szCs w:val="20"/>
          <w:color w:val="auto"/>
        </w:rPr>
      </w:pPr>
    </w:p>
    <w:tbl>
      <w:tblPr>
        <w:tblLayout w:type="fixed"/>
        <w:tblInd w:w="58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Costs Related</w:t>
            </w: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center"/>
              <w:ind w:right="44"/>
              <w:spacing w:after="0" w:line="155" w:lineRule="exact"/>
              <w:rPr>
                <w:sz w:val="20"/>
                <w:szCs w:val="20"/>
                <w:color w:val="auto"/>
              </w:rPr>
            </w:pPr>
            <w:r>
              <w:rPr>
                <w:rFonts w:ascii="Times New Roman" w:cs="Times New Roman" w:eastAsia="Times New Roman" w:hAnsi="Times New Roman"/>
                <w:sz w:val="14"/>
                <w:szCs w:val="14"/>
                <w:b w:val="1"/>
                <w:bCs w:val="1"/>
                <w:color w:val="auto"/>
                <w:w w:val="99"/>
              </w:rPr>
              <w:t>Net of Costs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to the</w:t>
            </w:r>
          </w:p>
        </w:tc>
        <w:tc>
          <w:tcPr>
            <w:tcW w:w="180" w:type="dxa"/>
            <w:vAlign w:val="bottom"/>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Related to the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 of</w:t>
            </w:r>
          </w:p>
        </w:tc>
        <w:tc>
          <w:tcPr>
            <w:tcW w:w="18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 of</w:t>
            </w:r>
          </w:p>
        </w:tc>
        <w:tc>
          <w:tcPr>
            <w:tcW w:w="24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203"/>
        </w:trPr>
        <w:tc>
          <w:tcPr>
            <w:tcW w:w="30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120" w:type="dxa"/>
            <w:vAlign w:val="bottom"/>
          </w:tcPr>
          <w:p>
            <w:pPr>
              <w:spacing w:after="0"/>
              <w:rPr>
                <w:sz w:val="17"/>
                <w:szCs w:val="17"/>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GAAP Results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center"/>
              <w:ind w:right="64"/>
              <w:spacing w:after="0" w:line="204" w:lineRule="exact"/>
              <w:rPr>
                <w:sz w:val="20"/>
                <w:szCs w:val="20"/>
                <w:color w:val="auto"/>
              </w:rPr>
            </w:pPr>
            <w:r>
              <w:rPr>
                <w:rFonts w:ascii="Times New Roman" w:cs="Times New Roman" w:eastAsia="Times New Roman" w:hAnsi="Times New Roman"/>
                <w:sz w:val="14"/>
                <w:szCs w:val="14"/>
                <w:b w:val="1"/>
                <w:bCs w:val="1"/>
                <w:color w:val="auto"/>
                <w:w w:val="92"/>
              </w:rPr>
              <w:t xml:space="preserve">Avadel </w:t>
            </w:r>
            <w:r>
              <w:rPr>
                <w:rFonts w:ascii="Times New Roman" w:cs="Times New Roman" w:eastAsia="Times New Roman" w:hAnsi="Times New Roman"/>
                <w:sz w:val="19"/>
                <w:szCs w:val="19"/>
                <w:b w:val="1"/>
                <w:bCs w:val="1"/>
                <w:color w:val="auto"/>
                <w:w w:val="92"/>
                <w:vertAlign w:val="superscript"/>
              </w:rPr>
              <w:t>(1)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9"/>
              </w:rPr>
              <w:t>Avadel</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302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02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goods manufactured and sold</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5"/>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61,578</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12,726</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48,852</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49,197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420" w:type="dxa"/>
            <w:vAlign w:val="bottom"/>
            <w:gridSpan w:val="2"/>
          </w:tcPr>
          <w:p>
            <w:pPr>
              <w:jc w:val="right"/>
              <w:ind w:right="145"/>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103,345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95,295</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71,817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420" w:type="dxa"/>
            <w:vAlign w:val="bottom"/>
            <w:gridSpan w:val="2"/>
            <w:shd w:val="clear" w:color="auto" w:fill="CFF0FC"/>
          </w:tcPr>
          <w:p>
            <w:pPr>
              <w:jc w:val="right"/>
              <w:ind w:right="145"/>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264,593</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55,238</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209,355</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171,704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580" w:right="839" w:firstLine="9"/>
        <w:spacing w:after="0" w:line="235" w:lineRule="auto"/>
        <w:tabs>
          <w:tab w:leader="none" w:pos="718"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$20,188 of share-based compensation expense related to the acceleration of vesting of equity awards for Avadel employees which vested in full upon the closing of the transaction.</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346710</wp:posOffset>
            </wp:positionV>
            <wp:extent cx="6168390"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11" w:name="page12"/>
    <w:bookmarkEnd w:id="11"/>
    <w:p>
      <w:pPr>
        <w:jc w:val="center"/>
        <w:ind w:right="80"/>
        <w:spacing w:after="0"/>
        <w:rPr>
          <w:sz w:val="20"/>
          <w:szCs w:val="20"/>
          <w:color w:val="auto"/>
        </w:rPr>
      </w:pPr>
      <w:r>
        <w:rPr>
          <w:rFonts w:ascii="Times New Roman" w:cs="Times New Roman" w:eastAsia="Times New Roman" w:hAnsi="Times New Roman"/>
          <w:sz w:val="19"/>
          <w:szCs w:val="19"/>
          <w:b w:val="1"/>
          <w:bCs w:val="1"/>
          <w:color w:val="auto"/>
        </w:rPr>
        <w:t>Alkermes plc and Subsidiaries</w:t>
      </w:r>
    </w:p>
    <w:p>
      <w:pPr>
        <w:spacing w:after="0" w:line="1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b w:val="1"/>
          <w:bCs w:val="1"/>
          <w:color w:val="auto"/>
        </w:rPr>
        <w:t>2026 Guidance — GAAP to EBITDA and Adjusted EBITDA</w:t>
      </w:r>
    </w:p>
    <w:p>
      <w:pPr>
        <w:spacing w:after="0" w:line="17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An itemized reconciliation between projected net loss on a GAAP basis, EBITDA and Adjusted EBITDA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0" w:type="dxa"/>
            <w:vAlign w:val="bottom"/>
          </w:tcPr>
          <w:p>
            <w:pPr>
              <w:spacing w:after="0"/>
              <w:rPr>
                <w:sz w:val="14"/>
                <w:szCs w:val="14"/>
                <w:color w:val="auto"/>
              </w:rPr>
            </w:pPr>
          </w:p>
        </w:tc>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0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0" w:type="dxa"/>
            <w:vAlign w:val="bottom"/>
            <w:gridSpan w:val="2"/>
          </w:tcPr>
          <w:p>
            <w:pPr>
              <w:spacing w:after="0"/>
              <w:rPr>
                <w:sz w:val="14"/>
                <w:szCs w:val="14"/>
                <w:color w:val="auto"/>
              </w:rPr>
            </w:pPr>
          </w:p>
        </w:tc>
      </w:tr>
      <w:tr>
        <w:trPr>
          <w:trHeight w:val="189"/>
        </w:trPr>
        <w:tc>
          <w:tcPr>
            <w:tcW w:w="920" w:type="dxa"/>
            <w:vAlign w:val="bottom"/>
          </w:tcPr>
          <w:p>
            <w:pPr>
              <w:spacing w:after="0"/>
              <w:rPr>
                <w:sz w:val="16"/>
                <w:szCs w:val="16"/>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Projected Net Loss — GAAP</w:t>
            </w:r>
          </w:p>
        </w:tc>
        <w:tc>
          <w:tcPr>
            <w:tcW w:w="34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(80.0)</w:t>
            </w:r>
          </w:p>
        </w:tc>
        <w:tc>
          <w:tcPr>
            <w:tcW w:w="920" w:type="dxa"/>
            <w:vAlign w:val="bottom"/>
          </w:tcPr>
          <w:p>
            <w:pPr>
              <w:spacing w:after="0"/>
              <w:rPr>
                <w:sz w:val="16"/>
                <w:szCs w:val="16"/>
                <w:color w:val="auto"/>
              </w:rPr>
            </w:pPr>
          </w:p>
        </w:tc>
      </w:tr>
      <w:tr>
        <w:trPr>
          <w:trHeight w:val="189"/>
        </w:trPr>
        <w:tc>
          <w:tcPr>
            <w:tcW w:w="920" w:type="dxa"/>
            <w:vAlign w:val="bottom"/>
          </w:tcPr>
          <w:p>
            <w:pPr>
              <w:spacing w:after="0"/>
              <w:rPr>
                <w:sz w:val="16"/>
                <w:szCs w:val="16"/>
                <w:color w:val="auto"/>
              </w:rPr>
            </w:pPr>
          </w:p>
        </w:tc>
        <w:tc>
          <w:tcPr>
            <w:tcW w:w="3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Adjustments:</w:t>
            </w:r>
          </w:p>
        </w:tc>
        <w:tc>
          <w:tcPr>
            <w:tcW w:w="3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920" w:type="dxa"/>
            <w:vAlign w:val="bottom"/>
          </w:tcPr>
          <w:p>
            <w:pPr>
              <w:spacing w:after="0"/>
              <w:rPr>
                <w:sz w:val="16"/>
                <w:szCs w:val="16"/>
                <w:color w:val="auto"/>
              </w:rPr>
            </w:pPr>
          </w:p>
        </w:tc>
        <w:tc>
          <w:tcPr>
            <w:tcW w:w="3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Net interest expense</w:t>
            </w:r>
          </w:p>
        </w:tc>
        <w:tc>
          <w:tcPr>
            <w:tcW w:w="30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80" w:type="dxa"/>
            <w:vAlign w:val="bottom"/>
            <w:shd w:val="clear" w:color="auto" w:fill="CFF0FC"/>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920" w:type="dxa"/>
            <w:vAlign w:val="bottom"/>
          </w:tcPr>
          <w:p>
            <w:pPr>
              <w:spacing w:after="0"/>
              <w:rPr>
                <w:sz w:val="16"/>
                <w:szCs w:val="16"/>
                <w:color w:val="auto"/>
              </w:rPr>
            </w:pPr>
          </w:p>
        </w:tc>
        <w:tc>
          <w:tcPr>
            <w:tcW w:w="3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3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920" w:type="dxa"/>
            <w:vAlign w:val="bottom"/>
          </w:tcPr>
          <w:p>
            <w:pPr>
              <w:spacing w:after="0"/>
              <w:rPr>
                <w:sz w:val="16"/>
                <w:szCs w:val="16"/>
                <w:color w:val="auto"/>
              </w:rPr>
            </w:pPr>
          </w:p>
        </w:tc>
        <w:tc>
          <w:tcPr>
            <w:tcW w:w="33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Income tax benefit</w:t>
            </w:r>
          </w:p>
        </w:tc>
        <w:tc>
          <w:tcPr>
            <w:tcW w:w="306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shd w:val="clear" w:color="auto" w:fill="CFF0FC"/>
          </w:tcPr>
          <w:p>
            <w:pPr>
              <w:spacing w:after="0"/>
              <w:rPr>
                <w:sz w:val="16"/>
                <w:szCs w:val="16"/>
                <w:color w:val="auto"/>
              </w:rPr>
            </w:pPr>
          </w:p>
        </w:tc>
        <w:tc>
          <w:tcPr>
            <w:tcW w:w="920" w:type="dxa"/>
            <w:vAlign w:val="bottom"/>
          </w:tcPr>
          <w:p>
            <w:pPr>
              <w:spacing w:after="0"/>
              <w:rPr>
                <w:sz w:val="16"/>
                <w:szCs w:val="16"/>
                <w:color w:val="auto"/>
              </w:rPr>
            </w:pPr>
          </w:p>
        </w:tc>
      </w:tr>
      <w:tr>
        <w:trPr>
          <w:trHeight w:val="181"/>
        </w:trPr>
        <w:tc>
          <w:tcPr>
            <w:tcW w:w="920" w:type="dxa"/>
            <w:vAlign w:val="bottom"/>
          </w:tcPr>
          <w:p>
            <w:pPr>
              <w:spacing w:after="0"/>
              <w:rPr>
                <w:sz w:val="15"/>
                <w:szCs w:val="15"/>
                <w:color w:val="auto"/>
              </w:rPr>
            </w:pPr>
          </w:p>
        </w:tc>
        <w:tc>
          <w:tcPr>
            <w:tcW w:w="33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Projected EBITDA</w:t>
            </w:r>
          </w:p>
        </w:tc>
        <w:tc>
          <w:tcPr>
            <w:tcW w:w="3460" w:type="dxa"/>
            <w:vAlign w:val="bottom"/>
            <w:gridSpan w:val="3"/>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120.0</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1"/>
        </w:trPr>
        <w:tc>
          <w:tcPr>
            <w:tcW w:w="920" w:type="dxa"/>
            <w:vAlign w:val="bottom"/>
          </w:tcPr>
          <w:p>
            <w:pPr>
              <w:spacing w:after="0"/>
              <w:rPr>
                <w:sz w:val="15"/>
                <w:szCs w:val="15"/>
                <w:color w:val="auto"/>
              </w:rPr>
            </w:pPr>
          </w:p>
        </w:tc>
        <w:tc>
          <w:tcPr>
            <w:tcW w:w="3340" w:type="dxa"/>
            <w:vAlign w:val="bottom"/>
            <w:shd w:val="clear" w:color="auto" w:fill="CFF0FC"/>
          </w:tcPr>
          <w:p>
            <w:pPr>
              <w:ind w:left="160"/>
              <w:spacing w:after="0" w:line="181" w:lineRule="exact"/>
              <w:rPr>
                <w:sz w:val="20"/>
                <w:szCs w:val="20"/>
                <w:color w:val="auto"/>
              </w:rPr>
            </w:pPr>
            <w:r>
              <w:rPr>
                <w:rFonts w:ascii="Times New Roman" w:cs="Times New Roman" w:eastAsia="Times New Roman" w:hAnsi="Times New Roman"/>
                <w:sz w:val="16"/>
                <w:szCs w:val="16"/>
                <w:color w:val="auto"/>
              </w:rPr>
              <w:t>Share-based compensation expense</w:t>
            </w:r>
          </w:p>
        </w:tc>
        <w:tc>
          <w:tcPr>
            <w:tcW w:w="30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115.0</w:t>
            </w:r>
          </w:p>
        </w:tc>
        <w:tc>
          <w:tcPr>
            <w:tcW w:w="80" w:type="dxa"/>
            <w:vAlign w:val="bottom"/>
            <w:shd w:val="clear" w:color="auto" w:fill="CFF0FC"/>
          </w:tcPr>
          <w:p>
            <w:pPr>
              <w:spacing w:after="0"/>
              <w:rPr>
                <w:sz w:val="15"/>
                <w:szCs w:val="15"/>
                <w:color w:val="auto"/>
              </w:rPr>
            </w:pPr>
          </w:p>
        </w:tc>
        <w:tc>
          <w:tcPr>
            <w:tcW w:w="920" w:type="dxa"/>
            <w:vAlign w:val="bottom"/>
          </w:tcPr>
          <w:p>
            <w:pPr>
              <w:spacing w:after="0"/>
              <w:rPr>
                <w:sz w:val="15"/>
                <w:szCs w:val="15"/>
                <w:color w:val="auto"/>
              </w:rPr>
            </w:pPr>
          </w:p>
        </w:tc>
      </w:tr>
      <w:tr>
        <w:trPr>
          <w:trHeight w:val="189"/>
        </w:trPr>
        <w:tc>
          <w:tcPr>
            <w:tcW w:w="920" w:type="dxa"/>
            <w:vAlign w:val="bottom"/>
          </w:tcPr>
          <w:p>
            <w:pPr>
              <w:spacing w:after="0"/>
              <w:rPr>
                <w:sz w:val="16"/>
                <w:szCs w:val="16"/>
                <w:color w:val="auto"/>
              </w:rPr>
            </w:pPr>
          </w:p>
        </w:tc>
        <w:tc>
          <w:tcPr>
            <w:tcW w:w="3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Costs related to the acquisition of Avadel</w:t>
            </w:r>
          </w:p>
        </w:tc>
        <w:tc>
          <w:tcPr>
            <w:tcW w:w="3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1"/>
        </w:trPr>
        <w:tc>
          <w:tcPr>
            <w:tcW w:w="920" w:type="dxa"/>
            <w:vAlign w:val="bottom"/>
          </w:tcPr>
          <w:p>
            <w:pPr>
              <w:spacing w:after="0"/>
              <w:rPr>
                <w:sz w:val="19"/>
                <w:szCs w:val="19"/>
                <w:color w:val="auto"/>
              </w:rPr>
            </w:pPr>
          </w:p>
        </w:tc>
        <w:tc>
          <w:tcPr>
            <w:tcW w:w="33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Projected Adjusted EBITDA</w:t>
            </w:r>
          </w:p>
        </w:tc>
        <w:tc>
          <w:tcPr>
            <w:tcW w:w="3460" w:type="dxa"/>
            <w:vAlign w:val="bottom"/>
            <w:gridSpan w:val="3"/>
            <w:shd w:val="clear" w:color="auto" w:fill="CFF0FC"/>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390.0</w:t>
            </w:r>
          </w:p>
        </w:tc>
        <w:tc>
          <w:tcPr>
            <w:tcW w:w="80" w:type="dxa"/>
            <w:vAlign w:val="bottom"/>
            <w:shd w:val="clear" w:color="auto" w:fill="CFF0FC"/>
          </w:tcPr>
          <w:p>
            <w:pPr>
              <w:spacing w:after="0"/>
              <w:rPr>
                <w:sz w:val="19"/>
                <w:szCs w:val="19"/>
                <w:color w:val="auto"/>
              </w:rPr>
            </w:pPr>
          </w:p>
        </w:tc>
        <w:tc>
          <w:tcPr>
            <w:tcW w:w="920" w:type="dxa"/>
            <w:vAlign w:val="bottom"/>
          </w:tcPr>
          <w:p>
            <w:pPr>
              <w:spacing w:after="0"/>
              <w:rPr>
                <w:sz w:val="19"/>
                <w:szCs w:val="19"/>
                <w:color w:val="auto"/>
              </w:rPr>
            </w:pPr>
          </w:p>
        </w:tc>
      </w:tr>
      <w:tr>
        <w:trPr>
          <w:trHeight w:val="180"/>
        </w:trPr>
        <w:tc>
          <w:tcPr>
            <w:tcW w:w="920" w:type="dxa"/>
            <w:vAlign w:val="bottom"/>
          </w:tcPr>
          <w:p>
            <w:pPr>
              <w:spacing w:after="0"/>
              <w:rPr>
                <w:sz w:val="15"/>
                <w:szCs w:val="15"/>
                <w:color w:val="auto"/>
              </w:rPr>
            </w:pPr>
          </w:p>
        </w:tc>
        <w:tc>
          <w:tcPr>
            <w:tcW w:w="3340" w:type="dxa"/>
            <w:vAlign w:val="bottom"/>
            <w:tcBorders>
              <w:top w:val="single" w:sz="8" w:color="CFF0FC"/>
              <w:bottom w:val="single" w:sz="8" w:color="auto"/>
            </w:tcBorders>
          </w:tcPr>
          <w:p>
            <w:pPr>
              <w:spacing w:after="0"/>
              <w:rPr>
                <w:sz w:val="15"/>
                <w:szCs w:val="15"/>
                <w:color w:val="auto"/>
              </w:rPr>
            </w:pPr>
          </w:p>
        </w:tc>
        <w:tc>
          <w:tcPr>
            <w:tcW w:w="3060" w:type="dxa"/>
            <w:vAlign w:val="bottom"/>
            <w:tcBorders>
              <w:top w:val="single" w:sz="8" w:color="CFF0FC"/>
              <w:bottom w:val="single" w:sz="8" w:color="auto"/>
            </w:tcBorders>
          </w:tcPr>
          <w:p>
            <w:pPr>
              <w:spacing w:after="0"/>
              <w:rPr>
                <w:sz w:val="15"/>
                <w:szCs w:val="15"/>
                <w:color w:val="auto"/>
              </w:rPr>
            </w:pPr>
          </w:p>
        </w:tc>
        <w:tc>
          <w:tcPr>
            <w:tcW w:w="180" w:type="dxa"/>
            <w:vAlign w:val="bottom"/>
            <w:tcBorders>
              <w:top w:val="single" w:sz="8" w:color="CFF0FC"/>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920" w:type="dxa"/>
            <w:vAlign w:val="bottom"/>
          </w:tcPr>
          <w:p>
            <w:pPr>
              <w:spacing w:after="0"/>
              <w:rPr>
                <w:sz w:val="15"/>
                <w:szCs w:val="15"/>
                <w:color w:val="auto"/>
              </w:rPr>
            </w:pPr>
          </w:p>
        </w:tc>
      </w:tr>
      <w:tr>
        <w:trPr>
          <w:trHeight w:val="698"/>
        </w:trPr>
        <w:tc>
          <w:tcPr>
            <w:tcW w:w="9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060" w:type="dxa"/>
            <w:vAlign w:val="bottom"/>
          </w:tcPr>
          <w:p>
            <w:pPr>
              <w:jc w:val="right"/>
              <w:ind w:right="2361"/>
              <w:spacing w:after="0"/>
              <w:rPr>
                <w:sz w:val="20"/>
                <w:szCs w:val="20"/>
                <w:color w:val="auto"/>
              </w:rPr>
            </w:pPr>
            <w:r>
              <w:rPr>
                <w:rFonts w:ascii="Times New Roman" w:cs="Times New Roman" w:eastAsia="Times New Roman" w:hAnsi="Times New Roman"/>
                <w:sz w:val="16"/>
                <w:szCs w:val="16"/>
                <w:color w:val="auto"/>
              </w:rPr>
              <w:t>9</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47"/>
        </w:trPr>
        <w:tc>
          <w:tcPr>
            <w:tcW w:w="92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6127115</wp:posOffset>
            </wp:positionH>
            <wp:positionV relativeFrom="paragraph">
              <wp:posOffset>-27305</wp:posOffset>
            </wp:positionV>
            <wp:extent cx="33020"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-27305</wp:posOffset>
            </wp:positionV>
            <wp:extent cx="33020"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-1471295</wp:posOffset>
            </wp:positionV>
            <wp:extent cx="4508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-968375</wp:posOffset>
            </wp:positionV>
            <wp:extent cx="4508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-953135</wp:posOffset>
            </wp:positionV>
            <wp:extent cx="4508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5085" cy="7620"/>
                    </a:xfrm>
                    <a:prstGeom prst="rect">
                      <a:avLst/>
                    </a:prstGeom>
                    <a:noFill/>
                  </pic:spPr>
                </pic:pic>
              </a:graphicData>
            </a:graphic>
          </wp:anchor>
        </w:drawing>
      </w:r>
    </w:p>
    <w:p>
      <w:pPr>
        <w:sectPr>
          <w:pgSz w:w="11900" w:h="16838" w:orient="portrait"/>
          <w:cols w:equalWidth="0" w:num="1">
            <w:col w:w="9680"/>
          </w:cols>
          <w:pgMar w:left="1100" w:top="905" w:right="111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04"/>
    </w:lvl>
  </w:abstractNum>
  <w:abstractNum w:abstractNumId="2">
    <w:nsid w:val="515F007C"/>
    <w:multiLevelType w:val="hybridMultilevel"/>
    <w:lvl w:ilvl="0">
      <w:lvlJc w:val="left"/>
      <w:lvlText w:val="\emdash "/>
      <w:numFmt w:val="bullet"/>
      <w:start w:val="1"/>
    </w:lvl>
    <w:lvl w:ilvl="1">
      <w:lvlJc w:val="left"/>
      <w:lvlText w:val="\emdash "/>
      <w:numFmt w:val="bullet"/>
      <w:start w:val="1"/>
    </w:lvl>
    <w:lvl w:ilvl="2">
      <w:lvlJc w:val="left"/>
      <w:lvlText w:val="\emdash "/>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a"/>
      <w:numFmt w:val="bullet"/>
      <w:start w:val="1"/>
    </w:lvl>
  </w:abstractNum>
  <w:abstractNum w:abstractNumId="9">
    <w:nsid w:val="66EF438D"/>
    <w:multiLevelType w:val="hybridMultilevel"/>
    <w:lvl w:ilvl="0">
      <w:lvlJc w:val="left"/>
      <w:lvlText w:val="b"/>
      <w:numFmt w:val="bullet"/>
      <w:start w:val="1"/>
    </w:lvl>
  </w:abstractNum>
  <w:abstractNum w:abstractNumId="10">
    <w:nsid w:val="140E0F76"/>
    <w:multiLevelType w:val="hybridMultilevel"/>
    <w:lvl w:ilvl="0">
      <w:lvlJc w:val="left"/>
      <w:lvlText w:val="c"/>
      <w:numFmt w:val="bullet"/>
      <w:start w:val="1"/>
    </w:lvl>
  </w:abstractNum>
  <w:abstractNum w:abstractNumId="11">
    <w:nsid w:val="3352255A"/>
    <w:multiLevelType w:val="hybridMultilevel"/>
    <w:lvl w:ilvl="0">
      <w:lvlJc w:val="left"/>
      <w:lvlText w:val="d"/>
      <w:numFmt w:val="bullet"/>
      <w:start w:val="1"/>
    </w:lvl>
  </w:abstractNum>
  <w:abstractNum w:abstractNumId="12">
    <w:nsid w:val="109CF92E"/>
    <w:multiLevelType w:val="hybridMultilevel"/>
    <w:lvl w:ilvl="0">
      <w:lvlJc w:val="left"/>
      <w:lvlText w:val="i"/>
      <w:numFmt w:val="bullet"/>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2026-05-05T06:07:39Z</dcterms:created>
  <dcterms:modified xsi:type="dcterms:W3CDTF">2026-05-05T06:07:39Z</dcterms:modified>
</cp:coreProperties>
</file>