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1250950</wp:posOffset>
            </wp:positionH>
            <wp:positionV relativeFrom="page">
              <wp:posOffset>702945</wp:posOffset>
            </wp:positionV>
            <wp:extent cx="504634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46345" cy="1333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6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1" w:lineRule="exact"/>
        <w:rPr>
          <w:sz w:val="24"/>
          <w:szCs w:val="24"/>
          <w:color w:val="auto"/>
        </w:rPr>
      </w:pPr>
    </w:p>
    <w:p>
      <w:pPr>
        <w:jc w:val="center"/>
        <w:ind w:left="3300" w:right="919" w:hanging="2688"/>
        <w:spacing w:after="0" w:line="206" w:lineRule="auto"/>
        <w:tabs>
          <w:tab w:leader="none" w:pos="1090"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w:t>
      </w:r>
      <w:r>
        <w:rPr>
          <w:rFonts w:ascii="Times New Roman" w:cs="Times New Roman" w:eastAsia="Times New Roman" w:hAnsi="Times New Roman"/>
          <w:sz w:val="12"/>
          <w:szCs w:val="12"/>
          <w:b w:val="1"/>
          <w:bCs w:val="1"/>
          <w:color w:val="auto"/>
        </w:rPr>
        <w:t>for the fiscal year ended December 31, 2025</w:t>
      </w:r>
    </w:p>
    <w:p>
      <w:pPr>
        <w:spacing w:after="0" w:line="35" w:lineRule="exact"/>
        <w:rPr>
          <w:rFonts w:ascii="MS PGothic" w:cs="MS PGothic" w:eastAsia="MS PGothic" w:hAnsi="MS PGothic"/>
          <w:sz w:val="29"/>
          <w:szCs w:val="29"/>
          <w:color w:val="auto"/>
          <w:highlight w:val="black"/>
          <w:vertAlign w:val="superscript"/>
        </w:rPr>
      </w:pPr>
    </w:p>
    <w:p>
      <w:pPr>
        <w:ind w:left="4400"/>
        <w:spacing w:after="0"/>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3"/>
          <w:szCs w:val="13"/>
          <w:b w:val="1"/>
          <w:bCs w:val="1"/>
          <w:color w:val="auto"/>
        </w:rPr>
        <w:t>OR</w:t>
      </w:r>
    </w:p>
    <w:p>
      <w:pPr>
        <w:spacing w:after="0" w:line="51" w:lineRule="exact"/>
        <w:rPr>
          <w:sz w:val="24"/>
          <w:szCs w:val="24"/>
          <w:color w:val="auto"/>
        </w:rPr>
      </w:pPr>
    </w:p>
    <w:p>
      <w:pPr>
        <w:ind w:left="1100" w:hanging="488"/>
        <w:spacing w:after="0"/>
        <w:tabs>
          <w:tab w:leader="none" w:pos="11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8" w:lineRule="exact"/>
        <w:rPr>
          <w:sz w:val="24"/>
          <w:szCs w:val="24"/>
          <w:color w:val="auto"/>
        </w:rPr>
      </w:pPr>
    </w:p>
    <w:tbl>
      <w:tblPr>
        <w:tblLayout w:type="fixed"/>
        <w:tblInd w:w="580" w:type="dxa"/>
        <w:tblCellMar>
          <w:top w:w="0" w:type="dxa"/>
          <w:left w:w="0" w:type="dxa"/>
          <w:bottom w:w="0" w:type="dxa"/>
          <w:right w:w="0" w:type="dxa"/>
        </w:tblCellMar>
      </w:tblPr>
      <w:tr>
        <w:trPr>
          <w:trHeight w:val="169"/>
        </w:trPr>
        <w:tc>
          <w:tcPr>
            <w:tcW w:w="4520" w:type="dxa"/>
            <w:vAlign w:val="bottom"/>
            <w:gridSpan w:val="4"/>
          </w:tcPr>
          <w:p>
            <w:pPr>
              <w:ind w:left="232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33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15"/>
        </w:trPr>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40" w:type="dxa"/>
            <w:vAlign w:val="bottom"/>
            <w:gridSpan w:val="4"/>
          </w:tcPr>
          <w:p>
            <w:pPr>
              <w:jc w:val="center"/>
              <w:ind w:right="2521"/>
              <w:spacing w:after="0"/>
              <w:rPr>
                <w:sz w:val="20"/>
                <w:szCs w:val="20"/>
                <w:color w:val="auto"/>
              </w:rPr>
            </w:pPr>
            <w:r>
              <w:rPr>
                <w:rFonts w:ascii="Times New Roman" w:cs="Times New Roman" w:eastAsia="Times New Roman" w:hAnsi="Times New Roman"/>
                <w:sz w:val="13"/>
                <w:szCs w:val="13"/>
                <w:b w:val="1"/>
                <w:bCs w:val="1"/>
                <w:color w:val="auto"/>
                <w:w w:val="98"/>
              </w:rPr>
              <w:t>Commission file number: 001-35299</w:t>
            </w:r>
          </w:p>
        </w:tc>
      </w:tr>
      <w:tr>
        <w:trPr>
          <w:trHeight w:val="912"/>
        </w:trPr>
        <w:tc>
          <w:tcPr>
            <w:tcW w:w="7840" w:type="dxa"/>
            <w:vAlign w:val="bottom"/>
            <w:gridSpan w:val="7"/>
          </w:tcPr>
          <w:p>
            <w:pPr>
              <w:jc w:val="center"/>
              <w:spacing w:after="0"/>
              <w:rPr>
                <w:sz w:val="20"/>
                <w:szCs w:val="20"/>
                <w:color w:val="auto"/>
              </w:rPr>
            </w:pPr>
            <w:r>
              <w:rPr>
                <w:rFonts w:ascii="Times New Roman" w:cs="Times New Roman" w:eastAsia="Times New Roman" w:hAnsi="Times New Roman"/>
                <w:sz w:val="23"/>
                <w:szCs w:val="23"/>
                <w:b w:val="1"/>
                <w:bCs w:val="1"/>
                <w:color w:val="auto"/>
                <w:w w:val="99"/>
              </w:rPr>
              <w:t>ALKERMES PUBLIC LIMITED COMPANY</w:t>
            </w:r>
          </w:p>
        </w:tc>
      </w:tr>
      <w:tr>
        <w:trPr>
          <w:trHeight w:val="160"/>
        </w:trPr>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5"/>
          </w:tcPr>
          <w:p>
            <w:pPr>
              <w:jc w:val="center"/>
              <w:ind w:right="2361"/>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196"/>
        </w:trPr>
        <w:tc>
          <w:tcPr>
            <w:tcW w:w="2420" w:type="dxa"/>
            <w:vAlign w:val="bottom"/>
            <w:gridSpan w:val="2"/>
          </w:tcPr>
          <w:p>
            <w:pPr>
              <w:jc w:val="center"/>
              <w:ind w:left="1314"/>
              <w:spacing w:after="0"/>
              <w:rPr>
                <w:sz w:val="20"/>
                <w:szCs w:val="20"/>
                <w:color w:val="auto"/>
              </w:rPr>
            </w:pPr>
            <w:r>
              <w:rPr>
                <w:rFonts w:ascii="Times New Roman" w:cs="Times New Roman" w:eastAsia="Times New Roman" w:hAnsi="Times New Roman"/>
                <w:sz w:val="13"/>
                <w:szCs w:val="13"/>
                <w:b w:val="1"/>
                <w:bCs w:val="1"/>
                <w:color w:val="auto"/>
                <w:w w:val="97"/>
              </w:rPr>
              <w:t>Ireland</w:t>
            </w: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320" w:type="dxa"/>
            <w:vAlign w:val="bottom"/>
            <w:gridSpan w:val="3"/>
          </w:tcPr>
          <w:p>
            <w:pPr>
              <w:jc w:val="right"/>
              <w:ind w:right="1521"/>
              <w:spacing w:after="0"/>
              <w:rPr>
                <w:sz w:val="20"/>
                <w:szCs w:val="20"/>
                <w:color w:val="auto"/>
              </w:rPr>
            </w:pPr>
            <w:r>
              <w:rPr>
                <w:rFonts w:ascii="Times New Roman" w:cs="Times New Roman" w:eastAsia="Times New Roman" w:hAnsi="Times New Roman"/>
                <w:sz w:val="13"/>
                <w:szCs w:val="13"/>
                <w:b w:val="1"/>
                <w:bCs w:val="1"/>
                <w:color w:val="auto"/>
              </w:rPr>
              <w:t>98-1007018</w:t>
            </w:r>
          </w:p>
        </w:tc>
      </w:tr>
      <w:tr>
        <w:trPr>
          <w:trHeight w:val="131"/>
        </w:trPr>
        <w:tc>
          <w:tcPr>
            <w:tcW w:w="4520" w:type="dxa"/>
            <w:vAlign w:val="bottom"/>
            <w:gridSpan w:val="4"/>
          </w:tcPr>
          <w:p>
            <w:pPr>
              <w:jc w:val="center"/>
              <w:ind w:right="641"/>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 incorporation or organization)</w:t>
            </w:r>
          </w:p>
        </w:tc>
        <w:tc>
          <w:tcPr>
            <w:tcW w:w="3320" w:type="dxa"/>
            <w:vAlign w:val="bottom"/>
            <w:gridSpan w:val="3"/>
          </w:tcPr>
          <w:p>
            <w:pPr>
              <w:jc w:val="center"/>
              <w:ind w:right="401"/>
              <w:spacing w:after="0"/>
              <w:rPr>
                <w:sz w:val="20"/>
                <w:szCs w:val="20"/>
                <w:color w:val="auto"/>
              </w:rPr>
            </w:pPr>
            <w:r>
              <w:rPr>
                <w:rFonts w:ascii="Times New Roman" w:cs="Times New Roman" w:eastAsia="Times New Roman" w:hAnsi="Times New Roman"/>
                <w:sz w:val="10"/>
                <w:szCs w:val="10"/>
                <w:b w:val="1"/>
                <w:bCs w:val="1"/>
                <w:color w:val="auto"/>
              </w:rPr>
              <w:t>(I.R.S. Employer Identification No.)</w:t>
            </w:r>
          </w:p>
        </w:tc>
      </w:tr>
      <w:tr>
        <w:trPr>
          <w:trHeight w:val="183"/>
        </w:trPr>
        <w:tc>
          <w:tcPr>
            <w:tcW w:w="2420" w:type="dxa"/>
            <w:vAlign w:val="bottom"/>
            <w:gridSpan w:val="2"/>
          </w:tcPr>
          <w:p>
            <w:pPr>
              <w:jc w:val="center"/>
              <w:ind w:left="1314"/>
              <w:spacing w:after="0"/>
              <w:rPr>
                <w:sz w:val="20"/>
                <w:szCs w:val="20"/>
                <w:color w:val="auto"/>
              </w:rPr>
            </w:pPr>
            <w:r>
              <w:rPr>
                <w:rFonts w:ascii="Times New Roman" w:cs="Times New Roman" w:eastAsia="Times New Roman" w:hAnsi="Times New Roman"/>
                <w:sz w:val="13"/>
                <w:szCs w:val="13"/>
                <w:b w:val="1"/>
                <w:bCs w:val="1"/>
                <w:color w:val="auto"/>
                <w:w w:val="99"/>
              </w:rPr>
              <w:t>Connaught House</w:t>
            </w: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161"/>
        </w:trPr>
        <w:tc>
          <w:tcPr>
            <w:tcW w:w="2420" w:type="dxa"/>
            <w:vAlign w:val="bottom"/>
            <w:gridSpan w:val="2"/>
          </w:tcPr>
          <w:p>
            <w:pPr>
              <w:jc w:val="center"/>
              <w:ind w:left="1334"/>
              <w:spacing w:after="0"/>
              <w:rPr>
                <w:sz w:val="20"/>
                <w:szCs w:val="20"/>
                <w:color w:val="auto"/>
              </w:rPr>
            </w:pPr>
            <w:r>
              <w:rPr>
                <w:rFonts w:ascii="Times New Roman" w:cs="Times New Roman" w:eastAsia="Times New Roman" w:hAnsi="Times New Roman"/>
                <w:sz w:val="13"/>
                <w:szCs w:val="13"/>
                <w:b w:val="1"/>
                <w:bCs w:val="1"/>
                <w:color w:val="auto"/>
                <w:w w:val="98"/>
              </w:rPr>
              <w:t>1 Burlington Road</w:t>
            </w: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58"/>
        </w:trPr>
        <w:tc>
          <w:tcPr>
            <w:tcW w:w="2420" w:type="dxa"/>
            <w:vAlign w:val="bottom"/>
            <w:gridSpan w:val="2"/>
          </w:tcPr>
          <w:p>
            <w:pPr>
              <w:jc w:val="center"/>
              <w:ind w:left="1334"/>
              <w:spacing w:after="0"/>
              <w:rPr>
                <w:sz w:val="20"/>
                <w:szCs w:val="20"/>
                <w:color w:val="auto"/>
              </w:rPr>
            </w:pPr>
            <w:r>
              <w:rPr>
                <w:rFonts w:ascii="Times New Roman" w:cs="Times New Roman" w:eastAsia="Times New Roman" w:hAnsi="Times New Roman"/>
                <w:sz w:val="13"/>
                <w:szCs w:val="13"/>
                <w:b w:val="1"/>
                <w:bCs w:val="1"/>
                <w:color w:val="auto"/>
                <w:w w:val="98"/>
              </w:rPr>
              <w:t>Dublin 4, Ireland</w:t>
            </w: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Pr>
          <w:p>
            <w:pPr>
              <w:jc w:val="center"/>
              <w:ind w:right="1301"/>
              <w:spacing w:after="0"/>
              <w:rPr>
                <w:sz w:val="20"/>
                <w:szCs w:val="20"/>
                <w:color w:val="auto"/>
              </w:rPr>
            </w:pPr>
            <w:r>
              <w:rPr>
                <w:rFonts w:ascii="Times New Roman" w:cs="Times New Roman" w:eastAsia="Times New Roman" w:hAnsi="Times New Roman"/>
                <w:sz w:val="13"/>
                <w:szCs w:val="13"/>
                <w:b w:val="1"/>
                <w:bCs w:val="1"/>
                <w:color w:val="auto"/>
              </w:rPr>
              <w:t>D04 C5Y6</w:t>
            </w:r>
          </w:p>
        </w:tc>
      </w:tr>
      <w:tr>
        <w:trPr>
          <w:trHeight w:val="131"/>
        </w:trPr>
        <w:tc>
          <w:tcPr>
            <w:tcW w:w="4520" w:type="dxa"/>
            <w:vAlign w:val="bottom"/>
            <w:gridSpan w:val="4"/>
          </w:tcPr>
          <w:p>
            <w:pPr>
              <w:jc w:val="center"/>
              <w:ind w:right="6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tcPr>
          <w:p>
            <w:pPr>
              <w:jc w:val="center"/>
              <w:ind w:right="1321"/>
              <w:spacing w:after="0"/>
              <w:rPr>
                <w:sz w:val="20"/>
                <w:szCs w:val="20"/>
                <w:color w:val="auto"/>
              </w:rPr>
            </w:pPr>
            <w:r>
              <w:rPr>
                <w:rFonts w:ascii="Times New Roman" w:cs="Times New Roman" w:eastAsia="Times New Roman" w:hAnsi="Times New Roman"/>
                <w:sz w:val="10"/>
                <w:szCs w:val="10"/>
                <w:b w:val="1"/>
                <w:bCs w:val="1"/>
                <w:color w:val="auto"/>
              </w:rPr>
              <w:t>(Zip code)</w:t>
            </w:r>
          </w:p>
        </w:tc>
      </w:tr>
      <w:tr>
        <w:trPr>
          <w:trHeight w:val="169"/>
        </w:trPr>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2"/>
          </w:tcPr>
          <w:p>
            <w:pPr>
              <w:jc w:val="center"/>
              <w:ind w:left="859"/>
              <w:spacing w:after="0"/>
              <w:rPr>
                <w:sz w:val="20"/>
                <w:szCs w:val="20"/>
                <w:color w:val="auto"/>
              </w:rPr>
            </w:pPr>
            <w:r>
              <w:rPr>
                <w:rFonts w:ascii="Times New Roman" w:cs="Times New Roman" w:eastAsia="Times New Roman" w:hAnsi="Times New Roman"/>
                <w:sz w:val="12"/>
                <w:szCs w:val="12"/>
                <w:b w:val="1"/>
                <w:bCs w:val="1"/>
                <w:color w:val="auto"/>
              </w:rPr>
              <w:t>+353-1-772-8000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31"/>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40" w:type="dxa"/>
            <w:vAlign w:val="bottom"/>
            <w:gridSpan w:val="4"/>
          </w:tcPr>
          <w:p>
            <w:pPr>
              <w:jc w:val="center"/>
              <w:ind w:right="2541"/>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r>
      <w:tr>
        <w:trPr>
          <w:trHeight w:val="178"/>
        </w:trPr>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
          </w:tcPr>
          <w:p>
            <w:pPr>
              <w:jc w:val="center"/>
              <w:ind w:right="2341"/>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r>
      <w:tr>
        <w:trPr>
          <w:trHeight w:val="168"/>
        </w:trPr>
        <w:tc>
          <w:tcPr>
            <w:tcW w:w="24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80" w:type="dxa"/>
            <w:vAlign w:val="bottom"/>
          </w:tcPr>
          <w:p>
            <w:pPr>
              <w:spacing w:after="0"/>
              <w:rPr>
                <w:sz w:val="14"/>
                <w:szCs w:val="14"/>
                <w:color w:val="auto"/>
              </w:rPr>
            </w:pPr>
          </w:p>
        </w:tc>
        <w:tc>
          <w:tcPr>
            <w:tcW w:w="1920" w:type="dxa"/>
            <w:vAlign w:val="bottom"/>
          </w:tcPr>
          <w:p>
            <w:pPr>
              <w:jc w:val="center"/>
              <w:ind w:left="641"/>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9"/>
        </w:trPr>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Ordinary shares, $0.01 par value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Borders>
              <w:top w:val="single" w:sz="8" w:color="auto"/>
            </w:tcBorders>
          </w:tcPr>
          <w:p>
            <w:pPr>
              <w:jc w:val="center"/>
              <w:ind w:left="661"/>
              <w:spacing w:after="0"/>
              <w:rPr>
                <w:sz w:val="20"/>
                <w:szCs w:val="20"/>
                <w:color w:val="auto"/>
              </w:rPr>
            </w:pPr>
            <w:r>
              <w:rPr>
                <w:rFonts w:ascii="Times New Roman" w:cs="Times New Roman" w:eastAsia="Times New Roman" w:hAnsi="Times New Roman"/>
                <w:sz w:val="12"/>
                <w:szCs w:val="12"/>
                <w:color w:val="auto"/>
              </w:rPr>
              <w:t>ALKS</w:t>
            </w: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2171065</wp:posOffset>
            </wp:positionH>
            <wp:positionV relativeFrom="paragraph">
              <wp:posOffset>-1777365</wp:posOffset>
            </wp:positionV>
            <wp:extent cx="1377315" cy="361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7315" cy="361315"/>
                    </a:xfrm>
                    <a:prstGeom prst="rect">
                      <a:avLst/>
                    </a:prstGeom>
                    <a:noFill/>
                  </pic:spPr>
                </pic:pic>
              </a:graphicData>
            </a:graphic>
          </wp:anchor>
        </w:drawing>
      </w:r>
    </w:p>
    <w:p>
      <w:pPr>
        <w:ind w:left="286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p>
      <w:pPr>
        <w:spacing w:after="0" w:line="22" w:lineRule="exact"/>
        <w:rPr>
          <w:sz w:val="24"/>
          <w:szCs w:val="24"/>
          <w:color w:val="auto"/>
        </w:rPr>
      </w:pPr>
    </w:p>
    <w:p>
      <w:pPr>
        <w:ind w:left="88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4" w:lineRule="exact"/>
        <w:rPr>
          <w:sz w:val="24"/>
          <w:szCs w:val="24"/>
          <w:color w:val="auto"/>
        </w:rPr>
      </w:pPr>
    </w:p>
    <w:p>
      <w:pPr>
        <w:ind w:left="88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4" w:lineRule="exact"/>
        <w:rPr>
          <w:sz w:val="24"/>
          <w:szCs w:val="24"/>
          <w:color w:val="auto"/>
        </w:rPr>
      </w:pPr>
    </w:p>
    <w:p>
      <w:pPr>
        <w:ind w:left="540" w:right="739" w:firstLine="351"/>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ind w:left="540"/>
        <w:spacing w:after="0" w:line="138" w:lineRule="exact"/>
        <w:rPr>
          <w:sz w:val="20"/>
          <w:szCs w:val="20"/>
          <w:color w:val="auto"/>
        </w:rPr>
      </w:pPr>
      <w:r>
        <w:rPr>
          <w:rFonts w:ascii="Times New Roman" w:cs="Times New Roman" w:eastAsia="Times New Roman" w:hAnsi="Times New Roman"/>
          <w:sz w:val="12"/>
          <w:szCs w:val="12"/>
          <w:color w:val="auto"/>
        </w:rPr>
        <w:t xml:space="preserve">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1" w:lineRule="exact"/>
        <w:rPr>
          <w:sz w:val="24"/>
          <w:szCs w:val="24"/>
          <w:color w:val="auto"/>
        </w:rPr>
      </w:pPr>
    </w:p>
    <w:p>
      <w:pPr>
        <w:ind w:left="540" w:right="579" w:firstLine="351"/>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639" w:firstLine="351"/>
        <w:spacing w:after="0" w:line="233"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116" w:right="1440" w:bottom="1440" w:gutter="0" w:footer="0" w:header="0"/>
        </w:sectPr>
      </w:pPr>
    </w:p>
    <w:p>
      <w:pPr>
        <w:spacing w:after="0" w:line="9" w:lineRule="exact"/>
        <w:rPr>
          <w:sz w:val="24"/>
          <w:szCs w:val="24"/>
          <w:color w:val="auto"/>
        </w:rPr>
      </w:pPr>
    </w:p>
    <w:p>
      <w:pPr>
        <w:ind w:left="184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53" w:lineRule="exact"/>
        <w:rPr>
          <w:sz w:val="24"/>
          <w:szCs w:val="24"/>
          <w:color w:val="auto"/>
        </w:rPr>
      </w:pPr>
    </w:p>
    <w:p>
      <w:pPr>
        <w:ind w:left="1920"/>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ind w:left="520"/>
        <w:spacing w:after="0" w:line="116"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6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2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85" w:lineRule="exact"/>
        <w:rPr>
          <w:sz w:val="24"/>
          <w:szCs w:val="24"/>
          <w:color w:val="auto"/>
        </w:rPr>
      </w:pPr>
    </w:p>
    <w:p>
      <w:pPr>
        <w:sectPr>
          <w:pgSz w:w="11900" w:h="16838" w:orient="portrait"/>
          <w:cols w:equalWidth="0" w:num="2">
            <w:col w:w="5080" w:space="720"/>
            <w:col w:w="3219"/>
          </w:cols>
          <w:pgMar w:left="1440" w:top="1116" w:right="1440" w:bottom="1440" w:gutter="0" w:footer="0" w:header="0"/>
          <w:type w:val="continuous"/>
        </w:sectPr>
      </w:pPr>
    </w:p>
    <w:p>
      <w:pPr>
        <w:ind w:left="540" w:right="639" w:firstLine="351"/>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559" w:firstLine="351"/>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ind w:left="540"/>
        <w:spacing w:after="0" w:line="138" w:lineRule="exact"/>
        <w:rPr>
          <w:sz w:val="20"/>
          <w:szCs w:val="20"/>
          <w:color w:val="auto"/>
        </w:rPr>
      </w:pPr>
      <w:r>
        <w:rPr>
          <w:rFonts w:ascii="Times New Roman" w:cs="Times New Roman" w:eastAsia="Times New Roman" w:hAnsi="Times New Roman"/>
          <w:sz w:val="12"/>
          <w:szCs w:val="12"/>
          <w:color w:val="auto"/>
        </w:rPr>
        <w:t xml:space="preserve">audit report. </w:t>
      </w:r>
      <w:r>
        <w:rPr>
          <w:rFonts w:ascii="MS PGothic" w:cs="MS PGothic" w:eastAsia="MS PGothic" w:hAnsi="MS PGothic"/>
          <w:sz w:val="12"/>
          <w:szCs w:val="12"/>
          <w:color w:val="auto"/>
        </w:rPr>
        <w:t>☒</w:t>
      </w:r>
    </w:p>
    <w:p>
      <w:pPr>
        <w:spacing w:after="0" w:line="28" w:lineRule="exact"/>
        <w:rPr>
          <w:sz w:val="24"/>
          <w:szCs w:val="24"/>
          <w:color w:val="auto"/>
        </w:rPr>
      </w:pPr>
    </w:p>
    <w:p>
      <w:pPr>
        <w:ind w:left="540" w:right="739" w:firstLine="351"/>
        <w:spacing w:after="0" w:line="152"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ind w:left="540" w:right="599" w:firstLine="351"/>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ind w:left="88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1" w:lineRule="exact"/>
        <w:rPr>
          <w:sz w:val="24"/>
          <w:szCs w:val="24"/>
          <w:color w:val="auto"/>
        </w:rPr>
      </w:pPr>
    </w:p>
    <w:p>
      <w:pPr>
        <w:ind w:left="540" w:right="679" w:firstLine="351"/>
        <w:spacing w:after="0" w:line="233" w:lineRule="auto"/>
        <w:rPr>
          <w:sz w:val="20"/>
          <w:szCs w:val="20"/>
          <w:color w:val="auto"/>
        </w:rPr>
      </w:pPr>
      <w:r>
        <w:rPr>
          <w:rFonts w:ascii="Times New Roman" w:cs="Times New Roman" w:eastAsia="Times New Roman" w:hAnsi="Times New Roman"/>
          <w:sz w:val="12"/>
          <w:szCs w:val="12"/>
          <w:color w:val="auto"/>
        </w:rPr>
        <w:t>The aggregate market value of the registrant’s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was $4,657,775,005.</w:t>
      </w:r>
    </w:p>
    <w:p>
      <w:pPr>
        <w:spacing w:after="0" w:line="3"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2"/>
          <w:szCs w:val="12"/>
          <w:color w:val="auto"/>
        </w:rPr>
        <w:t>As of February 20, 2026, 166,649,934 ordinary shares were outstanding.</w:t>
      </w:r>
    </w:p>
    <w:p>
      <w:pPr>
        <w:spacing w:after="0" w:line="6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36"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2"/>
          <w:szCs w:val="12"/>
          <w:color w:val="auto"/>
        </w:rPr>
        <w:t>Portions of the definitive proxy statement for our 2026 Annual General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481965</wp:posOffset>
            </wp:positionV>
            <wp:extent cx="56038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ANNUAL REPORT ON FORM 10-K</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0000FF"/>
              </w:rPr>
              <w:t>PART I</w:t>
            </w:r>
          </w:p>
        </w:tc>
        <w:tc>
          <w:tcPr>
            <w:tcW w:w="500" w:type="dxa"/>
            <w:vAlign w:val="bottom"/>
            <w:shd w:val="clear" w:color="auto" w:fill="CFF0FC"/>
          </w:tcPr>
          <w:p>
            <w:pPr>
              <w:spacing w:after="0"/>
              <w:rPr>
                <w:sz w:val="13"/>
                <w:szCs w:val="13"/>
                <w:color w:val="auto"/>
              </w:rPr>
            </w:pPr>
          </w:p>
        </w:tc>
        <w:tc>
          <w:tcPr>
            <w:tcW w:w="120" w:type="dxa"/>
            <w:vAlign w:val="bottom"/>
            <w:tcBorders>
              <w:left w:val="single" w:sz="8" w:color="CFF0FC"/>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540" w:type="dxa"/>
            <w:vAlign w:val="bottom"/>
            <w:tcBorders>
              <w:right w:val="single" w:sz="8" w:color="CFF0FC"/>
            </w:tcBorders>
            <w:shd w:val="clear" w:color="auto" w:fill="0000FF"/>
          </w:tcPr>
          <w:p>
            <w:pPr>
              <w:spacing w:after="0"/>
              <w:rPr>
                <w:sz w:val="2"/>
                <w:szCs w:val="2"/>
                <w:color w:val="auto"/>
              </w:rPr>
            </w:pPr>
          </w:p>
        </w:tc>
        <w:tc>
          <w:tcPr>
            <w:tcW w:w="340" w:type="dxa"/>
            <w:vAlign w:val="bottom"/>
            <w:tcBorders>
              <w:righ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tcBorders>
              <w:righ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1.</w:t>
            </w:r>
          </w:p>
        </w:tc>
        <w:tc>
          <w:tcPr>
            <w:tcW w:w="588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FF"/>
              </w:rPr>
              <w:t>Business</w:t>
            </w: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140" w:type="dxa"/>
            <w:vAlign w:val="bottom"/>
            <w:tcBorders>
              <w:bottom w:val="single" w:sz="8" w:color="CFF0FC"/>
            </w:tcBorders>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w w:val="99"/>
              </w:rPr>
              <w:t>Risk Factors</w:t>
            </w:r>
          </w:p>
        </w:tc>
        <w:tc>
          <w:tcPr>
            <w:tcW w:w="5160" w:type="dxa"/>
            <w:vAlign w:val="bottom"/>
            <w:tcBorders>
              <w:bottom w:val="single" w:sz="8" w:color="CFF0FC"/>
            </w:tcBorders>
            <w:gridSpan w:val="17"/>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34</w:t>
            </w: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1B.</w:t>
            </w:r>
          </w:p>
        </w:tc>
        <w:tc>
          <w:tcPr>
            <w:tcW w:w="588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FF"/>
              </w:rPr>
              <w:t>Unresolved Staff Comments</w:t>
            </w: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58</w:t>
            </w:r>
          </w:p>
        </w:tc>
      </w:tr>
      <w:tr>
        <w:trPr>
          <w:trHeight w:val="164"/>
        </w:trPr>
        <w:tc>
          <w:tcPr>
            <w:tcW w:w="20" w:type="dxa"/>
            <w:vAlign w:val="bottom"/>
          </w:tcPr>
          <w:p>
            <w:pPr>
              <w:spacing w:after="0"/>
              <w:rPr>
                <w:sz w:val="14"/>
                <w:szCs w:val="14"/>
                <w:color w:val="auto"/>
              </w:rPr>
            </w:pPr>
          </w:p>
        </w:tc>
        <w:tc>
          <w:tcPr>
            <w:tcW w:w="1140" w:type="dxa"/>
            <w:vAlign w:val="bottom"/>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1C.</w:t>
            </w:r>
          </w:p>
        </w:tc>
        <w:tc>
          <w:tcPr>
            <w:tcW w:w="1620" w:type="dxa"/>
            <w:vAlign w:val="bottom"/>
            <w:tcBorders>
              <w:top w:val="single" w:sz="8" w:color="0000FF"/>
            </w:tcBorders>
            <w:gridSpan w:val="9"/>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Cybersecurity</w:t>
            </w:r>
          </w:p>
        </w:tc>
        <w:tc>
          <w:tcPr>
            <w:tcW w:w="4260" w:type="dxa"/>
            <w:vAlign w:val="bottom"/>
            <w:gridSpan w:val="11"/>
            <w:shd w:val="clear" w:color="auto" w:fill="CFF0FC"/>
          </w:tcPr>
          <w:p>
            <w:pPr>
              <w:spacing w:after="0"/>
              <w:rPr>
                <w:sz w:val="14"/>
                <w:szCs w:val="14"/>
                <w:color w:val="auto"/>
              </w:rPr>
            </w:pPr>
          </w:p>
        </w:tc>
        <w:tc>
          <w:tcPr>
            <w:tcW w:w="70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58</w:t>
            </w:r>
          </w:p>
        </w:tc>
      </w:tr>
      <w:tr>
        <w:trPr>
          <w:trHeight w:val="140"/>
        </w:trPr>
        <w:tc>
          <w:tcPr>
            <w:tcW w:w="20" w:type="dxa"/>
            <w:vAlign w:val="bottom"/>
          </w:tcPr>
          <w:p>
            <w:pPr>
              <w:spacing w:after="0"/>
              <w:rPr>
                <w:sz w:val="12"/>
                <w:szCs w:val="12"/>
                <w:color w:val="auto"/>
              </w:rPr>
            </w:pPr>
          </w:p>
        </w:tc>
        <w:tc>
          <w:tcPr>
            <w:tcW w:w="1140" w:type="dxa"/>
            <w:vAlign w:val="bottom"/>
            <w:tcBorders>
              <w:top w:val="single" w:sz="8" w:color="CFF0FC"/>
            </w:tcBorders>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2.</w:t>
            </w:r>
          </w:p>
        </w:tc>
        <w:tc>
          <w:tcPr>
            <w:tcW w:w="620" w:type="dxa"/>
            <w:vAlign w:val="bottom"/>
            <w:tcBorders>
              <w:top w:val="single" w:sz="8" w:color="0000FF"/>
              <w:bottom w:val="single" w:sz="8" w:color="0000FF"/>
            </w:tcBorders>
            <w:gridSpan w:val="2"/>
          </w:tcPr>
          <w:p>
            <w:pPr>
              <w:spacing w:after="0" w:line="140" w:lineRule="exact"/>
              <w:rPr>
                <w:sz w:val="20"/>
                <w:szCs w:val="20"/>
                <w:color w:val="auto"/>
              </w:rPr>
            </w:pPr>
            <w:r>
              <w:rPr>
                <w:rFonts w:ascii="Times New Roman" w:cs="Times New Roman" w:eastAsia="Times New Roman" w:hAnsi="Times New Roman"/>
                <w:sz w:val="14"/>
                <w:szCs w:val="14"/>
                <w:color w:val="0000FF"/>
              </w:rPr>
              <w:t>Properties</w:t>
            </w:r>
          </w:p>
        </w:tc>
        <w:tc>
          <w:tcPr>
            <w:tcW w:w="180" w:type="dxa"/>
            <w:vAlign w:val="bottom"/>
            <w:tcBorders>
              <w:top w:val="single" w:sz="8" w:color="0000FF"/>
            </w:tcBorders>
            <w:gridSpan w:val="2"/>
          </w:tcPr>
          <w:p>
            <w:pPr>
              <w:spacing w:after="0"/>
              <w:rPr>
                <w:sz w:val="12"/>
                <w:szCs w:val="12"/>
                <w:color w:val="auto"/>
              </w:rPr>
            </w:pPr>
          </w:p>
        </w:tc>
        <w:tc>
          <w:tcPr>
            <w:tcW w:w="5080" w:type="dxa"/>
            <w:vAlign w:val="bottom"/>
            <w:tcBorders>
              <w:top w:val="single" w:sz="8" w:color="CFF0FC"/>
            </w:tcBorders>
            <w:gridSpan w:val="16"/>
          </w:tcPr>
          <w:p>
            <w:pPr>
              <w:spacing w:after="0"/>
              <w:rPr>
                <w:sz w:val="12"/>
                <w:szCs w:val="12"/>
                <w:color w:val="auto"/>
              </w:rPr>
            </w:pPr>
          </w:p>
        </w:tc>
        <w:tc>
          <w:tcPr>
            <w:tcW w:w="700" w:type="dxa"/>
            <w:vAlign w:val="bottom"/>
            <w:tcBorders>
              <w:top w:val="single" w:sz="8" w:color="CFF0FC"/>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59</w:t>
            </w:r>
          </w:p>
        </w:tc>
      </w:tr>
      <w:tr>
        <w:trPr>
          <w:trHeight w:val="164"/>
        </w:trPr>
        <w:tc>
          <w:tcPr>
            <w:tcW w:w="20" w:type="dxa"/>
            <w:vAlign w:val="bottom"/>
          </w:tcPr>
          <w:p>
            <w:pPr>
              <w:spacing w:after="0"/>
              <w:rPr>
                <w:sz w:val="14"/>
                <w:szCs w:val="14"/>
                <w:color w:val="auto"/>
              </w:rPr>
            </w:pPr>
          </w:p>
        </w:tc>
        <w:tc>
          <w:tcPr>
            <w:tcW w:w="1140" w:type="dxa"/>
            <w:vAlign w:val="bottom"/>
            <w:tcBorders>
              <w:bottom w:val="single" w:sz="8" w:color="CFF0FC"/>
            </w:tcBorders>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right w:val="single" w:sz="8" w:color="CFF0FC"/>
            </w:tcBorders>
            <w:gridSpan w:val="5"/>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w w:val="98"/>
              </w:rPr>
              <w:t>Legal Proceedings</w:t>
            </w:r>
          </w:p>
        </w:tc>
        <w:tc>
          <w:tcPr>
            <w:tcW w:w="4820" w:type="dxa"/>
            <w:vAlign w:val="bottom"/>
            <w:tcBorders>
              <w:bottom w:val="single" w:sz="8" w:color="CFF0FC"/>
            </w:tcBorders>
            <w:gridSpan w:val="15"/>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59</w:t>
            </w: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4.</w:t>
            </w:r>
          </w:p>
        </w:tc>
        <w:tc>
          <w:tcPr>
            <w:tcW w:w="588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FF"/>
              </w:rPr>
              <w:t>Mine Safety Disclosures</w:t>
            </w: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59</w:t>
            </w:r>
          </w:p>
        </w:tc>
      </w:tr>
      <w:tr>
        <w:trPr>
          <w:trHeight w:val="164"/>
        </w:trPr>
        <w:tc>
          <w:tcPr>
            <w:tcW w:w="20" w:type="dxa"/>
            <w:vAlign w:val="bottom"/>
          </w:tcPr>
          <w:p>
            <w:pPr>
              <w:spacing w:after="0"/>
              <w:rPr>
                <w:sz w:val="14"/>
                <w:szCs w:val="14"/>
                <w:color w:val="auto"/>
              </w:rPr>
            </w:pPr>
          </w:p>
        </w:tc>
        <w:tc>
          <w:tcPr>
            <w:tcW w:w="540" w:type="dxa"/>
            <w:vAlign w:val="bottom"/>
            <w:tcBorders>
              <w:bottom w:val="single" w:sz="8" w:color="0000FF"/>
              <w:right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PART II</w:t>
            </w:r>
          </w:p>
        </w:tc>
        <w:tc>
          <w:tcPr>
            <w:tcW w:w="600" w:type="dxa"/>
            <w:vAlign w:val="bottom"/>
            <w:tcBorders>
              <w:bottom w:val="single" w:sz="8" w:color="CFF0FC"/>
            </w:tcBorders>
            <w:gridSpan w:val="2"/>
            <w:shd w:val="clear" w:color="auto" w:fill="CFF0FC"/>
          </w:tcPr>
          <w:p>
            <w:pPr>
              <w:spacing w:after="0"/>
              <w:rPr>
                <w:sz w:val="14"/>
                <w:szCs w:val="14"/>
                <w:color w:val="auto"/>
              </w:rPr>
            </w:pPr>
          </w:p>
        </w:tc>
        <w:tc>
          <w:tcPr>
            <w:tcW w:w="500" w:type="dxa"/>
            <w:vAlign w:val="bottom"/>
            <w:tcBorders>
              <w:top w:val="single" w:sz="8" w:color="0000FF"/>
              <w:bottom w:val="single" w:sz="8" w:color="CFF0FC"/>
            </w:tcBorders>
            <w:shd w:val="clear" w:color="auto" w:fill="CFF0FC"/>
          </w:tcPr>
          <w:p>
            <w:pPr>
              <w:spacing w:after="0"/>
              <w:rPr>
                <w:sz w:val="14"/>
                <w:szCs w:val="14"/>
                <w:color w:val="auto"/>
              </w:rPr>
            </w:pPr>
          </w:p>
        </w:tc>
        <w:tc>
          <w:tcPr>
            <w:tcW w:w="120" w:type="dxa"/>
            <w:vAlign w:val="bottom"/>
            <w:tcBorders>
              <w:top w:val="single" w:sz="8" w:color="0000FF"/>
              <w:left w:val="single" w:sz="8" w:color="CFF0FC"/>
              <w:bottom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0000FF"/>
              <w:bottom w:val="single" w:sz="8" w:color="CFF0FC"/>
            </w:tcBorders>
            <w:shd w:val="clear" w:color="auto" w:fill="CFF0FC"/>
          </w:tcPr>
          <w:p>
            <w:pPr>
              <w:spacing w:after="0"/>
              <w:rPr>
                <w:sz w:val="14"/>
                <w:szCs w:val="14"/>
                <w:color w:val="auto"/>
              </w:rPr>
            </w:pPr>
          </w:p>
        </w:tc>
        <w:tc>
          <w:tcPr>
            <w:tcW w:w="80" w:type="dxa"/>
            <w:vAlign w:val="bottom"/>
            <w:tcBorders>
              <w:top w:val="single" w:sz="8" w:color="0000FF"/>
              <w:bottom w:val="single" w:sz="8" w:color="CFF0FC"/>
            </w:tcBorders>
            <w:shd w:val="clear" w:color="auto" w:fill="CFF0FC"/>
          </w:tcPr>
          <w:p>
            <w:pPr>
              <w:spacing w:after="0"/>
              <w:rPr>
                <w:sz w:val="14"/>
                <w:szCs w:val="14"/>
                <w:color w:val="auto"/>
              </w:rPr>
            </w:pPr>
          </w:p>
        </w:tc>
        <w:tc>
          <w:tcPr>
            <w:tcW w:w="260" w:type="dxa"/>
            <w:vAlign w:val="bottom"/>
            <w:tcBorders>
              <w:top w:val="single" w:sz="8" w:color="0000FF"/>
              <w:bottom w:val="single" w:sz="8" w:color="CFF0FC"/>
              <w:right w:val="single" w:sz="8" w:color="CFF0FC"/>
            </w:tcBorders>
            <w:shd w:val="clear" w:color="auto" w:fill="CFF0FC"/>
          </w:tcPr>
          <w:p>
            <w:pPr>
              <w:spacing w:after="0"/>
              <w:rPr>
                <w:sz w:val="14"/>
                <w:szCs w:val="14"/>
                <w:color w:val="auto"/>
              </w:rPr>
            </w:pPr>
          </w:p>
        </w:tc>
        <w:tc>
          <w:tcPr>
            <w:tcW w:w="180" w:type="dxa"/>
            <w:vAlign w:val="bottom"/>
            <w:tcBorders>
              <w:top w:val="single" w:sz="8" w:color="0000FF"/>
              <w:bottom w:val="single" w:sz="8" w:color="CFF0FC"/>
            </w:tcBorders>
            <w:shd w:val="clear" w:color="auto" w:fill="CFF0FC"/>
          </w:tcPr>
          <w:p>
            <w:pPr>
              <w:spacing w:after="0"/>
              <w:rPr>
                <w:sz w:val="14"/>
                <w:szCs w:val="14"/>
                <w:color w:val="auto"/>
              </w:rPr>
            </w:pPr>
          </w:p>
        </w:tc>
        <w:tc>
          <w:tcPr>
            <w:tcW w:w="160" w:type="dxa"/>
            <w:vAlign w:val="bottom"/>
            <w:tcBorders>
              <w:top w:val="single" w:sz="8" w:color="0000FF"/>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5.</w:t>
            </w:r>
          </w:p>
        </w:tc>
        <w:tc>
          <w:tcPr>
            <w:tcW w:w="5880" w:type="dxa"/>
            <w:vAlign w:val="bottom"/>
            <w:tcBorders>
              <w:bottom w:val="single" w:sz="8" w:color="0000FF"/>
            </w:tcBorders>
            <w:gridSpan w:val="20"/>
          </w:tcPr>
          <w:p>
            <w:pPr>
              <w:spacing w:after="0" w:line="140"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w:t>
            </w:r>
          </w:p>
        </w:tc>
        <w:tc>
          <w:tcPr>
            <w:tcW w:w="7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Securities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60</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140" w:type="dxa"/>
            <w:vAlign w:val="bottom"/>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5880" w:type="dxa"/>
            <w:vAlign w:val="bottom"/>
            <w:gridSpan w:val="20"/>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[Reserved]</w:t>
            </w:r>
          </w:p>
        </w:tc>
        <w:tc>
          <w:tcPr>
            <w:tcW w:w="70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62</w:t>
            </w:r>
          </w:p>
        </w:tc>
      </w:tr>
      <w:tr>
        <w:trPr>
          <w:trHeight w:val="32"/>
        </w:trPr>
        <w:tc>
          <w:tcPr>
            <w:tcW w:w="20" w:type="dxa"/>
            <w:vAlign w:val="bottom"/>
          </w:tcPr>
          <w:p>
            <w:pPr>
              <w:spacing w:after="0"/>
              <w:rPr>
                <w:sz w:val="2"/>
                <w:szCs w:val="2"/>
                <w:color w:val="auto"/>
              </w:rPr>
            </w:pPr>
          </w:p>
        </w:tc>
        <w:tc>
          <w:tcPr>
            <w:tcW w:w="540" w:type="dxa"/>
            <w:vAlign w:val="bottom"/>
            <w:tcBorders>
              <w:right w:val="single" w:sz="8" w:color="CFF0FC"/>
            </w:tcBorders>
            <w:shd w:val="clear" w:color="auto" w:fill="CFF0FC"/>
          </w:tcPr>
          <w:p>
            <w:pPr>
              <w:spacing w:after="0"/>
              <w:rPr>
                <w:sz w:val="2"/>
                <w:szCs w:val="2"/>
                <w:color w:val="auto"/>
              </w:rPr>
            </w:pPr>
          </w:p>
        </w:tc>
        <w:tc>
          <w:tcPr>
            <w:tcW w:w="340" w:type="dxa"/>
            <w:vAlign w:val="bottom"/>
            <w:tcBorders>
              <w:righ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tcBorders>
              <w:righ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7.</w:t>
            </w:r>
          </w:p>
        </w:tc>
        <w:tc>
          <w:tcPr>
            <w:tcW w:w="588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63</w:t>
            </w:r>
          </w:p>
        </w:tc>
      </w:tr>
      <w:tr>
        <w:trPr>
          <w:trHeight w:val="164"/>
        </w:trPr>
        <w:tc>
          <w:tcPr>
            <w:tcW w:w="20" w:type="dxa"/>
            <w:vAlign w:val="bottom"/>
          </w:tcPr>
          <w:p>
            <w:pPr>
              <w:spacing w:after="0"/>
              <w:rPr>
                <w:sz w:val="14"/>
                <w:szCs w:val="14"/>
                <w:color w:val="auto"/>
              </w:rPr>
            </w:pPr>
          </w:p>
        </w:tc>
        <w:tc>
          <w:tcPr>
            <w:tcW w:w="1140" w:type="dxa"/>
            <w:vAlign w:val="bottom"/>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7A.</w:t>
            </w:r>
          </w:p>
        </w:tc>
        <w:tc>
          <w:tcPr>
            <w:tcW w:w="5140" w:type="dxa"/>
            <w:vAlign w:val="bottom"/>
            <w:tcBorders>
              <w:top w:val="single" w:sz="8" w:color="0000FF"/>
            </w:tcBorders>
            <w:gridSpan w:val="17"/>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740" w:type="dxa"/>
            <w:vAlign w:val="bottom"/>
            <w:gridSpan w:val="3"/>
            <w:shd w:val="clear" w:color="auto" w:fill="CFF0FC"/>
          </w:tcPr>
          <w:p>
            <w:pPr>
              <w:spacing w:after="0"/>
              <w:rPr>
                <w:sz w:val="14"/>
                <w:szCs w:val="14"/>
                <w:color w:val="auto"/>
              </w:rPr>
            </w:pPr>
          </w:p>
        </w:tc>
        <w:tc>
          <w:tcPr>
            <w:tcW w:w="70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74</w:t>
            </w:r>
          </w:p>
        </w:tc>
      </w:tr>
      <w:tr>
        <w:trPr>
          <w:trHeight w:val="140"/>
        </w:trPr>
        <w:tc>
          <w:tcPr>
            <w:tcW w:w="20" w:type="dxa"/>
            <w:vAlign w:val="bottom"/>
          </w:tcPr>
          <w:p>
            <w:pPr>
              <w:spacing w:after="0"/>
              <w:rPr>
                <w:sz w:val="12"/>
                <w:szCs w:val="12"/>
                <w:color w:val="auto"/>
              </w:rPr>
            </w:pPr>
          </w:p>
        </w:tc>
        <w:tc>
          <w:tcPr>
            <w:tcW w:w="1140" w:type="dxa"/>
            <w:vAlign w:val="bottom"/>
            <w:tcBorders>
              <w:top w:val="single" w:sz="8" w:color="CFF0FC"/>
            </w:tcBorders>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8.</w:t>
            </w:r>
          </w:p>
        </w:tc>
        <w:tc>
          <w:tcPr>
            <w:tcW w:w="3420" w:type="dxa"/>
            <w:vAlign w:val="bottom"/>
            <w:tcBorders>
              <w:top w:val="single" w:sz="8" w:color="0000FF"/>
            </w:tcBorders>
            <w:gridSpan w:val="14"/>
          </w:tcPr>
          <w:p>
            <w:pPr>
              <w:spacing w:after="0" w:line="140"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460" w:type="dxa"/>
            <w:vAlign w:val="bottom"/>
            <w:tcBorders>
              <w:top w:val="single" w:sz="8" w:color="CFF0FC"/>
            </w:tcBorders>
            <w:gridSpan w:val="6"/>
          </w:tcPr>
          <w:p>
            <w:pPr>
              <w:spacing w:after="0"/>
              <w:rPr>
                <w:sz w:val="12"/>
                <w:szCs w:val="12"/>
                <w:color w:val="auto"/>
              </w:rPr>
            </w:pPr>
          </w:p>
        </w:tc>
        <w:tc>
          <w:tcPr>
            <w:tcW w:w="700" w:type="dxa"/>
            <w:vAlign w:val="bottom"/>
            <w:tcBorders>
              <w:top w:val="single" w:sz="8" w:color="CFF0FC"/>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75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140" w:type="dxa"/>
            <w:vAlign w:val="bottom"/>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9.</w:t>
            </w:r>
          </w:p>
        </w:tc>
        <w:tc>
          <w:tcPr>
            <w:tcW w:w="5880" w:type="dxa"/>
            <w:vAlign w:val="bottom"/>
            <w:gridSpan w:val="20"/>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Disclosures</w:t>
            </w:r>
          </w:p>
        </w:tc>
        <w:tc>
          <w:tcPr>
            <w:tcW w:w="70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75</w:t>
            </w:r>
          </w:p>
        </w:tc>
      </w:tr>
      <w:tr>
        <w:trPr>
          <w:trHeight w:val="140"/>
        </w:trPr>
        <w:tc>
          <w:tcPr>
            <w:tcW w:w="20" w:type="dxa"/>
            <w:vAlign w:val="bottom"/>
          </w:tcPr>
          <w:p>
            <w:pPr>
              <w:spacing w:after="0"/>
              <w:rPr>
                <w:sz w:val="12"/>
                <w:szCs w:val="12"/>
                <w:color w:val="auto"/>
              </w:rPr>
            </w:pPr>
          </w:p>
        </w:tc>
        <w:tc>
          <w:tcPr>
            <w:tcW w:w="1140" w:type="dxa"/>
            <w:vAlign w:val="bottom"/>
            <w:tcBorders>
              <w:top w:val="single" w:sz="8" w:color="CFF0FC"/>
            </w:tcBorders>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9A.</w:t>
            </w:r>
          </w:p>
        </w:tc>
        <w:tc>
          <w:tcPr>
            <w:tcW w:w="5200" w:type="dxa"/>
            <w:vAlign w:val="bottom"/>
            <w:tcBorders>
              <w:top w:val="single" w:sz="8" w:color="0000FF"/>
            </w:tcBorders>
            <w:gridSpan w:val="18"/>
          </w:tcPr>
          <w:p>
            <w:pPr>
              <w:spacing w:after="0" w:line="140" w:lineRule="exact"/>
              <w:rPr>
                <w:sz w:val="20"/>
                <w:szCs w:val="20"/>
                <w:color w:val="auto"/>
              </w:rPr>
            </w:pPr>
            <w:r>
              <w:rPr>
                <w:rFonts w:ascii="Times New Roman" w:cs="Times New Roman" w:eastAsia="Times New Roman" w:hAnsi="Times New Roman"/>
                <w:sz w:val="14"/>
                <w:szCs w:val="14"/>
                <w:color w:val="0000FF"/>
              </w:rPr>
              <w:t>Controls and Procedures</w:t>
            </w:r>
          </w:p>
        </w:tc>
        <w:tc>
          <w:tcPr>
            <w:tcW w:w="680" w:type="dxa"/>
            <w:vAlign w:val="bottom"/>
            <w:tcBorders>
              <w:top w:val="single" w:sz="8" w:color="CFF0FC"/>
            </w:tcBorders>
            <w:gridSpan w:val="2"/>
          </w:tcPr>
          <w:p>
            <w:pPr>
              <w:spacing w:after="0"/>
              <w:rPr>
                <w:sz w:val="12"/>
                <w:szCs w:val="12"/>
                <w:color w:val="auto"/>
              </w:rPr>
            </w:pPr>
          </w:p>
        </w:tc>
        <w:tc>
          <w:tcPr>
            <w:tcW w:w="700" w:type="dxa"/>
            <w:vAlign w:val="bottom"/>
            <w:tcBorders>
              <w:top w:val="single" w:sz="8" w:color="CFF0FC"/>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76</w:t>
            </w:r>
          </w:p>
        </w:tc>
      </w:tr>
      <w:tr>
        <w:trPr>
          <w:trHeight w:val="152"/>
        </w:trPr>
        <w:tc>
          <w:tcPr>
            <w:tcW w:w="20" w:type="dxa"/>
            <w:vAlign w:val="bottom"/>
          </w:tcPr>
          <w:p>
            <w:pPr>
              <w:spacing w:after="0"/>
              <w:rPr>
                <w:sz w:val="13"/>
                <w:szCs w:val="13"/>
                <w:color w:val="auto"/>
              </w:rPr>
            </w:pPr>
          </w:p>
        </w:tc>
        <w:tc>
          <w:tcPr>
            <w:tcW w:w="1140" w:type="dxa"/>
            <w:vAlign w:val="bottom"/>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9B.</w:t>
            </w:r>
          </w:p>
        </w:tc>
        <w:tc>
          <w:tcPr>
            <w:tcW w:w="1400" w:type="dxa"/>
            <w:vAlign w:val="bottom"/>
            <w:tcBorders>
              <w:top w:val="single" w:sz="8" w:color="0000FF"/>
            </w:tcBorders>
            <w:gridSpan w:val="7"/>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4480" w:type="dxa"/>
            <w:vAlign w:val="bottom"/>
            <w:gridSpan w:val="13"/>
            <w:shd w:val="clear" w:color="auto" w:fill="CFF0FC"/>
          </w:tcPr>
          <w:p>
            <w:pPr>
              <w:spacing w:after="0"/>
              <w:rPr>
                <w:sz w:val="13"/>
                <w:szCs w:val="13"/>
                <w:color w:val="auto"/>
              </w:rPr>
            </w:pPr>
          </w:p>
        </w:tc>
        <w:tc>
          <w:tcPr>
            <w:tcW w:w="70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77</w:t>
            </w:r>
          </w:p>
        </w:tc>
      </w:tr>
      <w:tr>
        <w:trPr>
          <w:trHeight w:val="32"/>
        </w:trPr>
        <w:tc>
          <w:tcPr>
            <w:tcW w:w="20" w:type="dxa"/>
            <w:vAlign w:val="bottom"/>
          </w:tcPr>
          <w:p>
            <w:pPr>
              <w:spacing w:after="0"/>
              <w:rPr>
                <w:sz w:val="2"/>
                <w:szCs w:val="2"/>
                <w:color w:val="auto"/>
              </w:rPr>
            </w:pPr>
          </w:p>
        </w:tc>
        <w:tc>
          <w:tcPr>
            <w:tcW w:w="540" w:type="dxa"/>
            <w:vAlign w:val="bottom"/>
            <w:tcBorders>
              <w:right w:val="single" w:sz="8" w:color="CFF0FC"/>
            </w:tcBorders>
            <w:shd w:val="clear" w:color="auto" w:fill="CFF0FC"/>
          </w:tcPr>
          <w:p>
            <w:pPr>
              <w:spacing w:after="0"/>
              <w:rPr>
                <w:sz w:val="2"/>
                <w:szCs w:val="2"/>
                <w:color w:val="auto"/>
              </w:rPr>
            </w:pPr>
          </w:p>
        </w:tc>
        <w:tc>
          <w:tcPr>
            <w:tcW w:w="340" w:type="dxa"/>
            <w:vAlign w:val="bottom"/>
            <w:tcBorders>
              <w:righ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CFF0FC"/>
            </w:tcBorders>
            <w:shd w:val="clear" w:color="auto" w:fill="0000FF"/>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9C.</w:t>
            </w:r>
          </w:p>
        </w:tc>
        <w:tc>
          <w:tcPr>
            <w:tcW w:w="588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77</w:t>
            </w:r>
          </w:p>
        </w:tc>
      </w:tr>
      <w:tr>
        <w:trPr>
          <w:trHeight w:val="152"/>
        </w:trPr>
        <w:tc>
          <w:tcPr>
            <w:tcW w:w="20" w:type="dxa"/>
            <w:vAlign w:val="bottom"/>
          </w:tcPr>
          <w:p>
            <w:pPr>
              <w:spacing w:after="0"/>
              <w:rPr>
                <w:sz w:val="13"/>
                <w:szCs w:val="13"/>
                <w:color w:val="auto"/>
              </w:rPr>
            </w:pPr>
          </w:p>
        </w:tc>
        <w:tc>
          <w:tcPr>
            <w:tcW w:w="1140" w:type="dxa"/>
            <w:vAlign w:val="bottom"/>
            <w:gridSpan w:val="3"/>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PART III</w:t>
            </w:r>
          </w:p>
        </w:tc>
        <w:tc>
          <w:tcPr>
            <w:tcW w:w="500" w:type="dxa"/>
            <w:vAlign w:val="bottom"/>
            <w:tcBorders>
              <w:top w:val="single" w:sz="8" w:color="0000FF"/>
            </w:tcBorders>
            <w:shd w:val="clear" w:color="auto" w:fill="CFF0FC"/>
          </w:tcPr>
          <w:p>
            <w:pPr>
              <w:spacing w:after="0"/>
              <w:rPr>
                <w:sz w:val="13"/>
                <w:szCs w:val="13"/>
                <w:color w:val="auto"/>
              </w:rPr>
            </w:pPr>
          </w:p>
        </w:tc>
        <w:tc>
          <w:tcPr>
            <w:tcW w:w="120" w:type="dxa"/>
            <w:vAlign w:val="bottom"/>
            <w:tcBorders>
              <w:top w:val="single" w:sz="8" w:color="0000FF"/>
              <w:left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0000FF"/>
            </w:tcBorders>
            <w:shd w:val="clear" w:color="auto" w:fill="CFF0FC"/>
          </w:tcPr>
          <w:p>
            <w:pPr>
              <w:spacing w:after="0"/>
              <w:rPr>
                <w:sz w:val="13"/>
                <w:szCs w:val="13"/>
                <w:color w:val="auto"/>
              </w:rPr>
            </w:pPr>
          </w:p>
        </w:tc>
        <w:tc>
          <w:tcPr>
            <w:tcW w:w="80" w:type="dxa"/>
            <w:vAlign w:val="bottom"/>
            <w:tcBorders>
              <w:top w:val="single" w:sz="8" w:color="0000FF"/>
            </w:tcBorders>
            <w:shd w:val="clear" w:color="auto" w:fill="CFF0FC"/>
          </w:tcPr>
          <w:p>
            <w:pPr>
              <w:spacing w:after="0"/>
              <w:rPr>
                <w:sz w:val="13"/>
                <w:szCs w:val="13"/>
                <w:color w:val="auto"/>
              </w:rPr>
            </w:pPr>
          </w:p>
        </w:tc>
        <w:tc>
          <w:tcPr>
            <w:tcW w:w="260" w:type="dxa"/>
            <w:vAlign w:val="bottom"/>
            <w:tcBorders>
              <w:top w:val="single" w:sz="8" w:color="0000FF"/>
              <w:right w:val="single" w:sz="8" w:color="CFF0FC"/>
            </w:tcBorders>
            <w:shd w:val="clear" w:color="auto" w:fill="CFF0FC"/>
          </w:tcPr>
          <w:p>
            <w:pPr>
              <w:spacing w:after="0"/>
              <w:rPr>
                <w:sz w:val="13"/>
                <w:szCs w:val="13"/>
                <w:color w:val="auto"/>
              </w:rPr>
            </w:pPr>
          </w:p>
        </w:tc>
        <w:tc>
          <w:tcPr>
            <w:tcW w:w="180" w:type="dxa"/>
            <w:vAlign w:val="bottom"/>
            <w:tcBorders>
              <w:top w:val="single" w:sz="8" w:color="0000FF"/>
            </w:tcBorders>
            <w:shd w:val="clear" w:color="auto" w:fill="CFF0FC"/>
          </w:tcPr>
          <w:p>
            <w:pPr>
              <w:spacing w:after="0"/>
              <w:rPr>
                <w:sz w:val="13"/>
                <w:szCs w:val="13"/>
                <w:color w:val="auto"/>
              </w:rPr>
            </w:pPr>
          </w:p>
        </w:tc>
        <w:tc>
          <w:tcPr>
            <w:tcW w:w="160" w:type="dxa"/>
            <w:vAlign w:val="bottom"/>
            <w:tcBorders>
              <w:top w:val="single" w:sz="8" w:color="0000FF"/>
            </w:tcBorders>
            <w:shd w:val="clear" w:color="auto" w:fill="CFF0FC"/>
          </w:tcPr>
          <w:p>
            <w:pPr>
              <w:spacing w:after="0"/>
              <w:rPr>
                <w:sz w:val="13"/>
                <w:szCs w:val="13"/>
                <w:color w:val="auto"/>
              </w:rPr>
            </w:pPr>
          </w:p>
        </w:tc>
        <w:tc>
          <w:tcPr>
            <w:tcW w:w="40" w:type="dxa"/>
            <w:vAlign w:val="bottom"/>
            <w:tcBorders>
              <w:top w:val="single" w:sz="8" w:color="0000FF"/>
            </w:tcBorders>
            <w:shd w:val="clear" w:color="auto" w:fill="CFF0FC"/>
          </w:tcPr>
          <w:p>
            <w:pPr>
              <w:spacing w:after="0"/>
              <w:rPr>
                <w:sz w:val="13"/>
                <w:szCs w:val="13"/>
                <w:color w:val="auto"/>
              </w:rPr>
            </w:pPr>
          </w:p>
        </w:tc>
        <w:tc>
          <w:tcPr>
            <w:tcW w:w="180" w:type="dxa"/>
            <w:vAlign w:val="bottom"/>
            <w:tcBorders>
              <w:top w:val="single" w:sz="8" w:color="0000FF"/>
            </w:tcBorders>
            <w:shd w:val="clear" w:color="auto" w:fill="CFF0FC"/>
          </w:tcPr>
          <w:p>
            <w:pPr>
              <w:spacing w:after="0"/>
              <w:rPr>
                <w:sz w:val="13"/>
                <w:szCs w:val="13"/>
                <w:color w:val="auto"/>
              </w:rPr>
            </w:pPr>
          </w:p>
        </w:tc>
        <w:tc>
          <w:tcPr>
            <w:tcW w:w="660" w:type="dxa"/>
            <w:vAlign w:val="bottom"/>
            <w:tcBorders>
              <w:top w:val="single" w:sz="8" w:color="0000FF"/>
            </w:tcBorders>
            <w:shd w:val="clear" w:color="auto" w:fill="CFF0FC"/>
          </w:tcPr>
          <w:p>
            <w:pPr>
              <w:spacing w:after="0"/>
              <w:rPr>
                <w:sz w:val="13"/>
                <w:szCs w:val="13"/>
                <w:color w:val="auto"/>
              </w:rPr>
            </w:pPr>
          </w:p>
        </w:tc>
        <w:tc>
          <w:tcPr>
            <w:tcW w:w="240" w:type="dxa"/>
            <w:vAlign w:val="bottom"/>
            <w:tcBorders>
              <w:top w:val="single" w:sz="8" w:color="0000FF"/>
            </w:tcBorders>
            <w:shd w:val="clear" w:color="auto" w:fill="CFF0FC"/>
          </w:tcPr>
          <w:p>
            <w:pPr>
              <w:spacing w:after="0"/>
              <w:rPr>
                <w:sz w:val="13"/>
                <w:szCs w:val="13"/>
                <w:color w:val="auto"/>
              </w:rPr>
            </w:pPr>
          </w:p>
        </w:tc>
        <w:tc>
          <w:tcPr>
            <w:tcW w:w="120" w:type="dxa"/>
            <w:vAlign w:val="bottom"/>
            <w:tcBorders>
              <w:top w:val="single" w:sz="8" w:color="0000FF"/>
            </w:tcBorders>
            <w:shd w:val="clear" w:color="auto" w:fill="CFF0FC"/>
          </w:tcPr>
          <w:p>
            <w:pPr>
              <w:spacing w:after="0"/>
              <w:rPr>
                <w:sz w:val="13"/>
                <w:szCs w:val="13"/>
                <w:color w:val="auto"/>
              </w:rPr>
            </w:pPr>
          </w:p>
        </w:tc>
        <w:tc>
          <w:tcPr>
            <w:tcW w:w="620" w:type="dxa"/>
            <w:vAlign w:val="bottom"/>
            <w:tcBorders>
              <w:top w:val="single" w:sz="8" w:color="0000FF"/>
            </w:tcBorders>
            <w:shd w:val="clear" w:color="auto" w:fill="CFF0FC"/>
          </w:tcPr>
          <w:p>
            <w:pPr>
              <w:spacing w:after="0"/>
              <w:rPr>
                <w:sz w:val="13"/>
                <w:szCs w:val="13"/>
                <w:color w:val="auto"/>
              </w:rPr>
            </w:pPr>
          </w:p>
        </w:tc>
        <w:tc>
          <w:tcPr>
            <w:tcW w:w="160" w:type="dxa"/>
            <w:vAlign w:val="bottom"/>
            <w:tcBorders>
              <w:top w:val="single" w:sz="8" w:color="0000FF"/>
            </w:tcBorders>
            <w:shd w:val="clear" w:color="auto" w:fill="CFF0FC"/>
          </w:tcPr>
          <w:p>
            <w:pPr>
              <w:spacing w:after="0"/>
              <w:rPr>
                <w:sz w:val="13"/>
                <w:szCs w:val="13"/>
                <w:color w:val="auto"/>
              </w:rPr>
            </w:pPr>
          </w:p>
        </w:tc>
        <w:tc>
          <w:tcPr>
            <w:tcW w:w="480" w:type="dxa"/>
            <w:vAlign w:val="bottom"/>
            <w:tcBorders>
              <w:top w:val="single" w:sz="8" w:color="0000FF"/>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tcBorders>
              <w:righ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10.</w:t>
            </w:r>
          </w:p>
        </w:tc>
        <w:tc>
          <w:tcPr>
            <w:tcW w:w="3260" w:type="dxa"/>
            <w:vAlign w:val="bottom"/>
            <w:tcBorders>
              <w:bottom w:val="single" w:sz="8" w:color="0000FF"/>
            </w:tcBorders>
            <w:gridSpan w:val="13"/>
          </w:tcPr>
          <w:p>
            <w:pPr>
              <w:spacing w:after="0" w:line="140"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620" w:type="dxa"/>
            <w:vAlign w:val="bottom"/>
            <w:gridSpan w:val="7"/>
          </w:tcPr>
          <w:p>
            <w:pPr>
              <w:spacing w:after="0"/>
              <w:rPr>
                <w:sz w:val="12"/>
                <w:szCs w:val="12"/>
                <w:color w:val="auto"/>
              </w:rPr>
            </w:pP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78</w:t>
            </w:r>
          </w:p>
        </w:tc>
      </w:tr>
      <w:tr>
        <w:trPr>
          <w:trHeight w:val="164"/>
        </w:trPr>
        <w:tc>
          <w:tcPr>
            <w:tcW w:w="20" w:type="dxa"/>
            <w:vAlign w:val="bottom"/>
          </w:tcPr>
          <w:p>
            <w:pPr>
              <w:spacing w:after="0"/>
              <w:rPr>
                <w:sz w:val="14"/>
                <w:szCs w:val="14"/>
                <w:color w:val="auto"/>
              </w:rPr>
            </w:pPr>
          </w:p>
        </w:tc>
        <w:tc>
          <w:tcPr>
            <w:tcW w:w="1140" w:type="dxa"/>
            <w:vAlign w:val="bottom"/>
            <w:tcBorders>
              <w:bottom w:val="single" w:sz="8" w:color="CFF0FC"/>
            </w:tcBorders>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11.</w:t>
            </w:r>
          </w:p>
        </w:tc>
        <w:tc>
          <w:tcPr>
            <w:tcW w:w="1440" w:type="dxa"/>
            <w:vAlign w:val="bottom"/>
            <w:tcBorders>
              <w:bottom w:val="single" w:sz="8" w:color="0000FF"/>
            </w:tcBorders>
            <w:gridSpan w:val="8"/>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Executive Compensation</w:t>
            </w:r>
          </w:p>
        </w:tc>
        <w:tc>
          <w:tcPr>
            <w:tcW w:w="4440" w:type="dxa"/>
            <w:vAlign w:val="bottom"/>
            <w:tcBorders>
              <w:bottom w:val="single" w:sz="8" w:color="CFF0FC"/>
            </w:tcBorders>
            <w:gridSpan w:val="12"/>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78</w:t>
            </w: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12.</w:t>
            </w:r>
          </w:p>
        </w:tc>
        <w:tc>
          <w:tcPr>
            <w:tcW w:w="5800" w:type="dxa"/>
            <w:vAlign w:val="bottom"/>
            <w:tcBorders>
              <w:bottom w:val="single" w:sz="8" w:color="0000FF"/>
            </w:tcBorders>
            <w:gridSpan w:val="19"/>
          </w:tcPr>
          <w:p>
            <w:pPr>
              <w:spacing w:after="0" w:line="140"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80" w:type="dxa"/>
            <w:vAlign w:val="bottom"/>
          </w:tcPr>
          <w:p>
            <w:pPr>
              <w:spacing w:after="0"/>
              <w:rPr>
                <w:sz w:val="12"/>
                <w:szCs w:val="12"/>
                <w:color w:val="auto"/>
              </w:rPr>
            </w:pP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78</w:t>
            </w:r>
          </w:p>
        </w:tc>
      </w:tr>
      <w:tr>
        <w:trPr>
          <w:trHeight w:val="164"/>
        </w:trPr>
        <w:tc>
          <w:tcPr>
            <w:tcW w:w="20" w:type="dxa"/>
            <w:vAlign w:val="bottom"/>
          </w:tcPr>
          <w:p>
            <w:pPr>
              <w:spacing w:after="0"/>
              <w:rPr>
                <w:sz w:val="14"/>
                <w:szCs w:val="14"/>
                <w:color w:val="auto"/>
              </w:rPr>
            </w:pPr>
          </w:p>
        </w:tc>
        <w:tc>
          <w:tcPr>
            <w:tcW w:w="1140" w:type="dxa"/>
            <w:vAlign w:val="bottom"/>
            <w:tcBorders>
              <w:bottom w:val="single" w:sz="8" w:color="CFF0FC"/>
            </w:tcBorders>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13.</w:t>
            </w:r>
          </w:p>
        </w:tc>
        <w:tc>
          <w:tcPr>
            <w:tcW w:w="4340" w:type="dxa"/>
            <w:vAlign w:val="bottom"/>
            <w:tcBorders>
              <w:bottom w:val="single" w:sz="8" w:color="0000FF"/>
            </w:tcBorders>
            <w:gridSpan w:val="16"/>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540" w:type="dxa"/>
            <w:vAlign w:val="bottom"/>
            <w:tcBorders>
              <w:bottom w:val="single" w:sz="8" w:color="CFF0FC"/>
            </w:tcBorders>
            <w:gridSpan w:val="4"/>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78</w:t>
            </w: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14.</w:t>
            </w:r>
          </w:p>
        </w:tc>
        <w:tc>
          <w:tcPr>
            <w:tcW w:w="588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78</w:t>
            </w:r>
          </w:p>
        </w:tc>
      </w:tr>
      <w:tr>
        <w:trPr>
          <w:trHeight w:val="164"/>
        </w:trPr>
        <w:tc>
          <w:tcPr>
            <w:tcW w:w="20" w:type="dxa"/>
            <w:vAlign w:val="bottom"/>
          </w:tcPr>
          <w:p>
            <w:pPr>
              <w:spacing w:after="0"/>
              <w:rPr>
                <w:sz w:val="14"/>
                <w:szCs w:val="14"/>
                <w:color w:val="auto"/>
              </w:rPr>
            </w:pPr>
          </w:p>
        </w:tc>
        <w:tc>
          <w:tcPr>
            <w:tcW w:w="540" w:type="dxa"/>
            <w:vAlign w:val="bottom"/>
            <w:tcBorders>
              <w:bottom w:val="single" w:sz="8" w:color="0000FF"/>
              <w:right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w w:val="92"/>
              </w:rPr>
              <w:t>PART IV</w:t>
            </w:r>
          </w:p>
        </w:tc>
        <w:tc>
          <w:tcPr>
            <w:tcW w:w="600" w:type="dxa"/>
            <w:vAlign w:val="bottom"/>
            <w:tcBorders>
              <w:bottom w:val="single" w:sz="8" w:color="CFF0FC"/>
            </w:tcBorders>
            <w:gridSpan w:val="2"/>
            <w:shd w:val="clear" w:color="auto" w:fill="CFF0FC"/>
          </w:tcPr>
          <w:p>
            <w:pPr>
              <w:spacing w:after="0"/>
              <w:rPr>
                <w:sz w:val="14"/>
                <w:szCs w:val="14"/>
                <w:color w:val="auto"/>
              </w:rPr>
            </w:pPr>
          </w:p>
        </w:tc>
        <w:tc>
          <w:tcPr>
            <w:tcW w:w="500" w:type="dxa"/>
            <w:vAlign w:val="bottom"/>
            <w:tcBorders>
              <w:top w:val="single" w:sz="8" w:color="0000FF"/>
              <w:bottom w:val="single" w:sz="8" w:color="CFF0FC"/>
            </w:tcBorders>
            <w:shd w:val="clear" w:color="auto" w:fill="CFF0FC"/>
          </w:tcPr>
          <w:p>
            <w:pPr>
              <w:spacing w:after="0"/>
              <w:rPr>
                <w:sz w:val="14"/>
                <w:szCs w:val="14"/>
                <w:color w:val="auto"/>
              </w:rPr>
            </w:pPr>
          </w:p>
        </w:tc>
        <w:tc>
          <w:tcPr>
            <w:tcW w:w="120" w:type="dxa"/>
            <w:vAlign w:val="bottom"/>
            <w:tcBorders>
              <w:top w:val="single" w:sz="8" w:color="0000FF"/>
              <w:left w:val="single" w:sz="8" w:color="CFF0FC"/>
              <w:bottom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0000FF"/>
              <w:bottom w:val="single" w:sz="8" w:color="CFF0FC"/>
            </w:tcBorders>
            <w:shd w:val="clear" w:color="auto" w:fill="CFF0FC"/>
          </w:tcPr>
          <w:p>
            <w:pPr>
              <w:spacing w:after="0"/>
              <w:rPr>
                <w:sz w:val="14"/>
                <w:szCs w:val="14"/>
                <w:color w:val="auto"/>
              </w:rPr>
            </w:pPr>
          </w:p>
        </w:tc>
        <w:tc>
          <w:tcPr>
            <w:tcW w:w="80" w:type="dxa"/>
            <w:vAlign w:val="bottom"/>
            <w:tcBorders>
              <w:top w:val="single" w:sz="8" w:color="0000FF"/>
              <w:bottom w:val="single" w:sz="8" w:color="CFF0FC"/>
            </w:tcBorders>
            <w:shd w:val="clear" w:color="auto" w:fill="CFF0FC"/>
          </w:tcPr>
          <w:p>
            <w:pPr>
              <w:spacing w:after="0"/>
              <w:rPr>
                <w:sz w:val="14"/>
                <w:szCs w:val="14"/>
                <w:color w:val="auto"/>
              </w:rPr>
            </w:pPr>
          </w:p>
        </w:tc>
        <w:tc>
          <w:tcPr>
            <w:tcW w:w="260" w:type="dxa"/>
            <w:vAlign w:val="bottom"/>
            <w:tcBorders>
              <w:top w:val="single" w:sz="8" w:color="0000FF"/>
              <w:bottom w:val="single" w:sz="8" w:color="CFF0FC"/>
              <w:right w:val="single" w:sz="8" w:color="CFF0FC"/>
            </w:tcBorders>
            <w:shd w:val="clear" w:color="auto" w:fill="CFF0FC"/>
          </w:tcPr>
          <w:p>
            <w:pPr>
              <w:spacing w:after="0"/>
              <w:rPr>
                <w:sz w:val="14"/>
                <w:szCs w:val="14"/>
                <w:color w:val="auto"/>
              </w:rPr>
            </w:pPr>
          </w:p>
        </w:tc>
        <w:tc>
          <w:tcPr>
            <w:tcW w:w="180" w:type="dxa"/>
            <w:vAlign w:val="bottom"/>
            <w:tcBorders>
              <w:top w:val="single" w:sz="8" w:color="0000FF"/>
              <w:bottom w:val="single" w:sz="8" w:color="CFF0FC"/>
            </w:tcBorders>
            <w:shd w:val="clear" w:color="auto" w:fill="CFF0FC"/>
          </w:tcPr>
          <w:p>
            <w:pPr>
              <w:spacing w:after="0"/>
              <w:rPr>
                <w:sz w:val="14"/>
                <w:szCs w:val="14"/>
                <w:color w:val="auto"/>
              </w:rPr>
            </w:pPr>
          </w:p>
        </w:tc>
        <w:tc>
          <w:tcPr>
            <w:tcW w:w="160" w:type="dxa"/>
            <w:vAlign w:val="bottom"/>
            <w:tcBorders>
              <w:top w:val="single" w:sz="8" w:color="0000FF"/>
              <w:bottom w:val="single" w:sz="8" w:color="CFF0FC"/>
            </w:tcBorders>
            <w:shd w:val="clear" w:color="auto" w:fill="CFF0FC"/>
          </w:tcPr>
          <w:p>
            <w:pPr>
              <w:spacing w:after="0"/>
              <w:rPr>
                <w:sz w:val="14"/>
                <w:szCs w:val="14"/>
                <w:color w:val="auto"/>
              </w:rPr>
            </w:pPr>
          </w:p>
        </w:tc>
        <w:tc>
          <w:tcPr>
            <w:tcW w:w="40" w:type="dxa"/>
            <w:vAlign w:val="bottom"/>
            <w:tcBorders>
              <w:top w:val="single" w:sz="8" w:color="0000FF"/>
              <w:bottom w:val="single" w:sz="8" w:color="CFF0FC"/>
            </w:tcBorders>
            <w:shd w:val="clear" w:color="auto" w:fill="CFF0FC"/>
          </w:tcPr>
          <w:p>
            <w:pPr>
              <w:spacing w:after="0"/>
              <w:rPr>
                <w:sz w:val="14"/>
                <w:szCs w:val="14"/>
                <w:color w:val="auto"/>
              </w:rPr>
            </w:pPr>
          </w:p>
        </w:tc>
        <w:tc>
          <w:tcPr>
            <w:tcW w:w="180" w:type="dxa"/>
            <w:vAlign w:val="bottom"/>
            <w:tcBorders>
              <w:top w:val="single" w:sz="8" w:color="0000FF"/>
              <w:bottom w:val="single" w:sz="8" w:color="CFF0FC"/>
            </w:tcBorders>
            <w:shd w:val="clear" w:color="auto" w:fill="CFF0FC"/>
          </w:tcPr>
          <w:p>
            <w:pPr>
              <w:spacing w:after="0"/>
              <w:rPr>
                <w:sz w:val="14"/>
                <w:szCs w:val="14"/>
                <w:color w:val="auto"/>
              </w:rPr>
            </w:pPr>
          </w:p>
        </w:tc>
        <w:tc>
          <w:tcPr>
            <w:tcW w:w="660" w:type="dxa"/>
            <w:vAlign w:val="bottom"/>
            <w:tcBorders>
              <w:top w:val="single" w:sz="8" w:color="0000FF"/>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114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4"/>
                <w:szCs w:val="14"/>
                <w:color w:val="auto"/>
              </w:rPr>
              <w:t>Item 15.</w:t>
            </w:r>
          </w:p>
        </w:tc>
        <w:tc>
          <w:tcPr>
            <w:tcW w:w="2520" w:type="dxa"/>
            <w:vAlign w:val="bottom"/>
            <w:tcBorders>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3360" w:type="dxa"/>
            <w:vAlign w:val="bottom"/>
            <w:gridSpan w:val="9"/>
          </w:tcPr>
          <w:p>
            <w:pPr>
              <w:spacing w:after="0"/>
              <w:rPr>
                <w:sz w:val="12"/>
                <w:szCs w:val="12"/>
                <w:color w:val="auto"/>
              </w:rPr>
            </w:pP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79</w:t>
            </w:r>
          </w:p>
        </w:tc>
      </w:tr>
      <w:tr>
        <w:trPr>
          <w:trHeight w:val="164"/>
        </w:trPr>
        <w:tc>
          <w:tcPr>
            <w:tcW w:w="20" w:type="dxa"/>
            <w:vAlign w:val="bottom"/>
          </w:tcPr>
          <w:p>
            <w:pPr>
              <w:spacing w:after="0"/>
              <w:rPr>
                <w:sz w:val="14"/>
                <w:szCs w:val="14"/>
                <w:color w:val="auto"/>
              </w:rPr>
            </w:pPr>
          </w:p>
        </w:tc>
        <w:tc>
          <w:tcPr>
            <w:tcW w:w="1140" w:type="dxa"/>
            <w:vAlign w:val="bottom"/>
            <w:gridSpan w:val="3"/>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color w:val="auto"/>
              </w:rPr>
              <w:t>Item 16.</w:t>
            </w:r>
          </w:p>
        </w:tc>
        <w:tc>
          <w:tcPr>
            <w:tcW w:w="5880" w:type="dxa"/>
            <w:vAlign w:val="bottom"/>
            <w:gridSpan w:val="20"/>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0000FF"/>
              </w:rPr>
              <w:t>Form 10-K Summary</w:t>
            </w:r>
          </w:p>
        </w:tc>
        <w:tc>
          <w:tcPr>
            <w:tcW w:w="70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85</w:t>
            </w:r>
          </w:p>
        </w:tc>
      </w:tr>
      <w:tr>
        <w:trPr>
          <w:trHeight w:val="140"/>
        </w:trPr>
        <w:tc>
          <w:tcPr>
            <w:tcW w:w="20" w:type="dxa"/>
            <w:vAlign w:val="bottom"/>
          </w:tcPr>
          <w:p>
            <w:pPr>
              <w:spacing w:after="0"/>
              <w:rPr>
                <w:sz w:val="12"/>
                <w:szCs w:val="12"/>
                <w:color w:val="auto"/>
              </w:rPr>
            </w:pPr>
          </w:p>
        </w:tc>
        <w:tc>
          <w:tcPr>
            <w:tcW w:w="1140" w:type="dxa"/>
            <w:vAlign w:val="bottom"/>
            <w:tcBorders>
              <w:top w:val="single" w:sz="8" w:color="CFF0FC"/>
            </w:tcBorders>
            <w:gridSpan w:val="3"/>
          </w:tcPr>
          <w:p>
            <w:pPr>
              <w:spacing w:after="0" w:line="140" w:lineRule="exact"/>
              <w:rPr>
                <w:sz w:val="20"/>
                <w:szCs w:val="20"/>
                <w:color w:val="auto"/>
              </w:rPr>
            </w:pPr>
            <w:r>
              <w:rPr>
                <w:rFonts w:ascii="Times New Roman" w:cs="Times New Roman" w:eastAsia="Times New Roman" w:hAnsi="Times New Roman"/>
                <w:sz w:val="14"/>
                <w:szCs w:val="14"/>
                <w:color w:val="0000FF"/>
              </w:rPr>
              <w:t>SIGNATURES</w:t>
            </w:r>
          </w:p>
        </w:tc>
        <w:tc>
          <w:tcPr>
            <w:tcW w:w="5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6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480" w:type="dxa"/>
            <w:vAlign w:val="bottom"/>
            <w:tcBorders>
              <w:top w:val="single" w:sz="8" w:color="CFF0FC"/>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60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700" w:type="dxa"/>
            <w:vAlign w:val="bottom"/>
            <w:tcBorders>
              <w:top w:val="single" w:sz="8" w:color="CFF0FC"/>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86</w:t>
            </w:r>
          </w:p>
        </w:tc>
      </w:tr>
      <w:tr>
        <w:trPr>
          <w:trHeight w:val="20"/>
        </w:trPr>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4"/>
          <w:szCs w:val="14"/>
          <w:b w:val="1"/>
          <w:bCs w:val="1"/>
          <w:color w:val="0070C0"/>
        </w:rPr>
        <w:t>CAUTIONARY NOTE CONCERNING FORWARD-LOOKING STATEMENTS</w:t>
      </w:r>
    </w:p>
    <w:p>
      <w:pPr>
        <w:spacing w:after="0" w:line="131" w:lineRule="exact"/>
        <w:rPr>
          <w:sz w:val="20"/>
          <w:szCs w:val="20"/>
          <w:color w:val="auto"/>
        </w:rPr>
      </w:pPr>
    </w:p>
    <w:p>
      <w:pPr>
        <w:ind w:left="640" w:right="739" w:firstLine="258"/>
        <w:spacing w:after="0" w:line="262" w:lineRule="auto"/>
        <w:rPr>
          <w:sz w:val="20"/>
          <w:szCs w:val="20"/>
          <w:color w:val="auto"/>
        </w:rPr>
      </w:pPr>
      <w:r>
        <w:rPr>
          <w:rFonts w:ascii="Times New Roman" w:cs="Times New Roman" w:eastAsia="Times New Roman" w:hAnsi="Times New Roman"/>
          <w:sz w:val="14"/>
          <w:szCs w:val="14"/>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Annual Report on Form 10-K (this “Annual Report”) may include, without limitation, statements regarding:</w:t>
      </w:r>
    </w:p>
    <w:p>
      <w:pPr>
        <w:spacing w:after="0" w:line="59" w:lineRule="exact"/>
        <w:rPr>
          <w:sz w:val="20"/>
          <w:szCs w:val="20"/>
          <w:color w:val="auto"/>
        </w:rPr>
      </w:pPr>
    </w:p>
    <w:p>
      <w:pPr>
        <w:ind w:left="1160" w:right="79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financial performance, including revenues, expenses, liquidity, capital expenditures, income taxes and profitability;</w:t>
      </w:r>
    </w:p>
    <w:p>
      <w:pPr>
        <w:spacing w:after="0" w:line="27" w:lineRule="exact"/>
        <w:rPr>
          <w:rFonts w:ascii="Times New Roman" w:cs="Times New Roman" w:eastAsia="Times New Roman" w:hAnsi="Times New Roman"/>
          <w:sz w:val="14"/>
          <w:szCs w:val="14"/>
          <w:color w:val="auto"/>
        </w:rPr>
      </w:pPr>
    </w:p>
    <w:p>
      <w:pPr>
        <w:ind w:left="1160" w:right="699" w:hanging="264"/>
        <w:spacing w:after="0" w:line="274"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products, including expectations related to product development; regulatory exclusivities, filings, approvals and timelines; therapeutic and commercial value, scope and potential; and the costs and expenses related to such activities and expectations;</w:t>
      </w:r>
    </w:p>
    <w:p>
      <w:pPr>
        <w:spacing w:after="0" w:line="28"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design and results of clinical trials of our products;</w:t>
      </w:r>
    </w:p>
    <w:p>
      <w:pPr>
        <w:spacing w:after="0" w:line="86" w:lineRule="exact"/>
        <w:rPr>
          <w:rFonts w:ascii="Times New Roman" w:cs="Times New Roman" w:eastAsia="Times New Roman" w:hAnsi="Times New Roman"/>
          <w:sz w:val="14"/>
          <w:szCs w:val="14"/>
          <w:color w:val="auto"/>
        </w:rPr>
      </w:pPr>
    </w:p>
    <w:p>
      <w:pPr>
        <w:ind w:left="1160" w:right="659" w:hanging="264"/>
        <w:spacing w:after="0" w:line="265"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45"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financial impact of currency exchange rate fluctuations and valuations;</w:t>
      </w:r>
    </w:p>
    <w:p>
      <w:pPr>
        <w:spacing w:after="0" w:line="75" w:lineRule="exact"/>
        <w:rPr>
          <w:rFonts w:ascii="Times New Roman" w:cs="Times New Roman" w:eastAsia="Times New Roman" w:hAnsi="Times New Roman"/>
          <w:sz w:val="14"/>
          <w:szCs w:val="14"/>
          <w:color w:val="auto"/>
        </w:rPr>
      </w:pPr>
    </w:p>
    <w:p>
      <w:pPr>
        <w:ind w:left="1160" w:right="83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acquisitions, collaborations, licensing arrangements and other significant agreements with third parties, including those related to our products, development programs, and other business development opportunities;</w:t>
      </w:r>
    </w:p>
    <w:p>
      <w:pPr>
        <w:spacing w:after="0" w:line="27" w:lineRule="exact"/>
        <w:rPr>
          <w:rFonts w:ascii="Times New Roman" w:cs="Times New Roman" w:eastAsia="Times New Roman" w:hAnsi="Times New Roman"/>
          <w:sz w:val="14"/>
          <w:szCs w:val="14"/>
          <w:color w:val="auto"/>
        </w:rPr>
      </w:pPr>
    </w:p>
    <w:p>
      <w:pPr>
        <w:ind w:left="1160" w:right="129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impacts of new legislation, rules and regulations, the adoption of new accounting pronouncements, government shutdowns, or other global, political or economic changes, instability or disruptions;</w:t>
      </w:r>
    </w:p>
    <w:p>
      <w:pPr>
        <w:spacing w:after="0" w:line="27" w:lineRule="exact"/>
        <w:rPr>
          <w:rFonts w:ascii="Times New Roman" w:cs="Times New Roman" w:eastAsia="Times New Roman" w:hAnsi="Times New Roman"/>
          <w:sz w:val="14"/>
          <w:szCs w:val="14"/>
          <w:color w:val="auto"/>
        </w:rPr>
      </w:pPr>
    </w:p>
    <w:p>
      <w:pPr>
        <w:ind w:left="1160" w:right="81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near-term changes in the nature of our market risk exposures or in our management’s objectives and strategies with respect to managing such exposures;</w:t>
      </w:r>
    </w:p>
    <w:p>
      <w:pPr>
        <w:spacing w:after="0" w:line="16" w:lineRule="exact"/>
        <w:rPr>
          <w:rFonts w:ascii="Times New Roman" w:cs="Times New Roman" w:eastAsia="Times New Roman" w:hAnsi="Times New Roman"/>
          <w:sz w:val="14"/>
          <w:szCs w:val="14"/>
          <w:color w:val="auto"/>
        </w:rPr>
      </w:pPr>
    </w:p>
    <w:p>
      <w:pPr>
        <w:ind w:left="1160" w:right="89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comply with restrictive covenants of our indebtedness and our ability to fund our debt service obligations;</w:t>
      </w:r>
    </w:p>
    <w:p>
      <w:pPr>
        <w:spacing w:after="0" w:line="27" w:lineRule="exact"/>
        <w:rPr>
          <w:rFonts w:ascii="Times New Roman" w:cs="Times New Roman" w:eastAsia="Times New Roman" w:hAnsi="Times New Roman"/>
          <w:sz w:val="14"/>
          <w:szCs w:val="14"/>
          <w:color w:val="auto"/>
        </w:rPr>
      </w:pPr>
    </w:p>
    <w:p>
      <w:pPr>
        <w:ind w:left="1160" w:right="91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future capital requirements and expenditures for our operations and our ability to finance such capital requirements and expenditures;</w:t>
      </w:r>
    </w:p>
    <w:p>
      <w:pPr>
        <w:spacing w:after="0" w:line="27" w:lineRule="exact"/>
        <w:rPr>
          <w:rFonts w:ascii="Times New Roman" w:cs="Times New Roman" w:eastAsia="Times New Roman" w:hAnsi="Times New Roman"/>
          <w:sz w:val="14"/>
          <w:szCs w:val="14"/>
          <w:color w:val="auto"/>
        </w:rPr>
      </w:pPr>
    </w:p>
    <w:p>
      <w:pPr>
        <w:ind w:left="1160" w:right="73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outcome and impact of administrative, regulatory, legal and other proceedings related to our products and intellectual property (“IP”), including our patents, know-how, and related rights or obligations;</w:t>
      </w:r>
    </w:p>
    <w:p>
      <w:pPr>
        <w:spacing w:after="0" w:line="16" w:lineRule="exact"/>
        <w:rPr>
          <w:rFonts w:ascii="Times New Roman" w:cs="Times New Roman" w:eastAsia="Times New Roman" w:hAnsi="Times New Roman"/>
          <w:sz w:val="14"/>
          <w:szCs w:val="14"/>
          <w:color w:val="auto"/>
        </w:rPr>
      </w:pPr>
    </w:p>
    <w:p>
      <w:pPr>
        <w:ind w:left="1160" w:right="67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Avadel Acquisition (as defined below), including any anticipated benefits and synergies of the transaction;</w:t>
      </w:r>
    </w:p>
    <w:p>
      <w:pPr>
        <w:spacing w:after="0" w:line="27" w:lineRule="exact"/>
        <w:rPr>
          <w:rFonts w:ascii="Times New Roman" w:cs="Times New Roman" w:eastAsia="Times New Roman" w:hAnsi="Times New Roman"/>
          <w:sz w:val="14"/>
          <w:szCs w:val="14"/>
          <w:color w:val="auto"/>
        </w:rPr>
      </w:pPr>
    </w:p>
    <w:p>
      <w:pPr>
        <w:ind w:left="1160" w:right="1039" w:hanging="264"/>
        <w:spacing w:after="0" w:line="292" w:lineRule="auto"/>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tax treatment and other anticipated benefits of the completed separation of our oncology business; and</w:t>
      </w:r>
    </w:p>
    <w:p>
      <w:pPr>
        <w:spacing w:after="0" w:line="27"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expectations discussed elsewhere in this Annual Report.</w:t>
      </w:r>
    </w:p>
    <w:p>
      <w:pPr>
        <w:spacing w:after="0" w:line="118" w:lineRule="exact"/>
        <w:rPr>
          <w:sz w:val="20"/>
          <w:szCs w:val="20"/>
          <w:color w:val="auto"/>
        </w:rPr>
      </w:pPr>
    </w:p>
    <w:p>
      <w:pPr>
        <w:ind w:left="640" w:right="659" w:firstLine="258"/>
        <w:spacing w:after="0" w:line="260" w:lineRule="auto"/>
        <w:rPr>
          <w:sz w:val="20"/>
          <w:szCs w:val="20"/>
          <w:color w:val="auto"/>
        </w:rPr>
      </w:pPr>
      <w:r>
        <w:rPr>
          <w:rFonts w:ascii="Times New Roman" w:cs="Times New Roman" w:eastAsia="Times New Roman" w:hAnsi="Times New Roman"/>
          <w:sz w:val="14"/>
          <w:szCs w:val="14"/>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Annual Report might not occur. You are cautioned not to place undue reliance on the forward-looking statements in this Annual Report, which speak only as of the date of this Annual Report. All subsequent written and oral forward-looking statements concerning the matters addressed in this Annual Report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“Item 1A—Risk Factors” in this Annual Report.</w:t>
      </w:r>
    </w:p>
    <w:p>
      <w:pPr>
        <w:spacing w:after="0" w:line="95" w:lineRule="exact"/>
        <w:rPr>
          <w:sz w:val="20"/>
          <w:szCs w:val="20"/>
          <w:color w:val="auto"/>
        </w:rPr>
      </w:pPr>
    </w:p>
    <w:p>
      <w:pPr>
        <w:jc w:val="both"/>
        <w:ind w:left="640" w:right="819" w:firstLine="258"/>
        <w:spacing w:after="0" w:line="268" w:lineRule="auto"/>
        <w:rPr>
          <w:sz w:val="20"/>
          <w:szCs w:val="20"/>
          <w:color w:val="auto"/>
        </w:rPr>
      </w:pPr>
      <w:r>
        <w:rPr>
          <w:rFonts w:ascii="Times New Roman" w:cs="Times New Roman" w:eastAsia="Times New Roman" w:hAnsi="Times New Roman"/>
          <w:sz w:val="14"/>
          <w:szCs w:val="14"/>
          <w:color w:val="auto"/>
        </w:rPr>
        <w:t>This Annual Report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Annual Report are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3" w:name="page4"/>
    <w:bookmarkEnd w:id="3"/>
    <w:p>
      <w:pPr>
        <w:ind w:left="640" w:right="699"/>
        <w:spacing w:after="0" w:line="267" w:lineRule="auto"/>
        <w:rPr>
          <w:sz w:val="20"/>
          <w:szCs w:val="20"/>
          <w:color w:val="auto"/>
        </w:rPr>
      </w:pPr>
      <w:r>
        <w:rPr>
          <w:rFonts w:ascii="Times New Roman" w:cs="Times New Roman" w:eastAsia="Times New Roman" w:hAnsi="Times New Roman"/>
          <w:sz w:val="14"/>
          <w:szCs w:val="14"/>
          <w:color w:val="auto"/>
        </w:rPr>
        <w:t>reliable, we have not independently verified any such data. This Annual Report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“Item 1A—Risk Factors” in this Annual Report. These and other factors could cause our results to differ materially from those expressed or implied in this Annual Report.</w:t>
      </w:r>
    </w:p>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SUMMARY OF MATERIAL RISKS ASSOCIATED WITH OUR BUSINESS</w:t>
      </w:r>
    </w:p>
    <w:p>
      <w:pPr>
        <w:spacing w:after="0" w:line="131" w:lineRule="exact"/>
        <w:rPr>
          <w:sz w:val="20"/>
          <w:szCs w:val="20"/>
          <w:color w:val="auto"/>
        </w:rPr>
      </w:pPr>
    </w:p>
    <w:p>
      <w:pPr>
        <w:jc w:val="both"/>
        <w:ind w:left="640" w:right="1039" w:firstLine="258"/>
        <w:spacing w:after="0" w:line="274" w:lineRule="auto"/>
        <w:rPr>
          <w:sz w:val="20"/>
          <w:szCs w:val="20"/>
          <w:color w:val="auto"/>
        </w:rPr>
      </w:pPr>
      <w:r>
        <w:rPr>
          <w:rFonts w:ascii="Times New Roman" w:cs="Times New Roman" w:eastAsia="Times New Roman" w:hAnsi="Times New Roman"/>
          <w:sz w:val="14"/>
          <w:szCs w:val="14"/>
          <w:color w:val="auto"/>
        </w:rPr>
        <w:t>Our business is subject to numerous material and other risks and uncertainties that you should be aware of. These risks and uncertainties are described more fully in “Item 1A—Risk Factors” in this Annual Report, and include, but are not limited to, the following:</w:t>
      </w:r>
    </w:p>
    <w:p>
      <w:pPr>
        <w:spacing w:after="0" w:line="61" w:lineRule="exact"/>
        <w:rPr>
          <w:sz w:val="20"/>
          <w:szCs w:val="20"/>
          <w:color w:val="auto"/>
        </w:rPr>
      </w:pPr>
    </w:p>
    <w:p>
      <w:pPr>
        <w:ind w:left="1160" w:right="959" w:hanging="264"/>
        <w:spacing w:after="0" w:line="292"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receive substantial revenue from our key proprietary products, and our success depends on our ability to successfully manufacture and commercialize such products;</w:t>
      </w:r>
    </w:p>
    <w:p>
      <w:pPr>
        <w:spacing w:after="0" w:line="59"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competition in the biopharmaceutical industry;</w:t>
      </w:r>
    </w:p>
    <w:p>
      <w:pPr>
        <w:spacing w:after="0" w:line="107"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revenues from sales of our products may decrease or grow at a slower than expected rate due to many factors;</w:t>
      </w:r>
    </w:p>
    <w:p>
      <w:pPr>
        <w:spacing w:after="0" w:line="107" w:lineRule="exact"/>
        <w:rPr>
          <w:rFonts w:ascii="Times New Roman" w:cs="Times New Roman" w:eastAsia="Times New Roman" w:hAnsi="Times New Roman"/>
          <w:sz w:val="14"/>
          <w:szCs w:val="14"/>
          <w:color w:val="auto"/>
        </w:rPr>
      </w:pPr>
    </w:p>
    <w:p>
      <w:pPr>
        <w:ind w:left="1160" w:right="739" w:hanging="264"/>
        <w:spacing w:after="0" w:line="268"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75" w:lineRule="exact"/>
        <w:rPr>
          <w:rFonts w:ascii="Times New Roman" w:cs="Times New Roman" w:eastAsia="Times New Roman" w:hAnsi="Times New Roman"/>
          <w:sz w:val="14"/>
          <w:szCs w:val="14"/>
          <w:color w:val="auto"/>
        </w:rPr>
      </w:pPr>
    </w:p>
    <w:p>
      <w:pPr>
        <w:ind w:left="1160" w:right="799" w:hanging="264"/>
        <w:spacing w:after="0" w:line="274"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realize some or all of the anticipated benefits and synergies of the Avadel Acquisition or to successfully integrate Avadel’s business, which could adversely affect our business and financial condition and the price of our ordinary shares;</w:t>
      </w:r>
    </w:p>
    <w:p>
      <w:pPr>
        <w:spacing w:after="0" w:line="60" w:lineRule="exact"/>
        <w:rPr>
          <w:rFonts w:ascii="Times New Roman" w:cs="Times New Roman" w:eastAsia="Times New Roman" w:hAnsi="Times New Roman"/>
          <w:sz w:val="14"/>
          <w:szCs w:val="14"/>
          <w:color w:val="auto"/>
        </w:rPr>
      </w:pPr>
    </w:p>
    <w:p>
      <w:pPr>
        <w:ind w:left="1160" w:right="919" w:hanging="264"/>
        <w:spacing w:after="0" w:line="292"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are changes in, or we fail to comply with, the extensive legal and regulatory requirements affecting the healthcare industry, we could be subject to investigations, litigation, costs, penalties and business losses;</w:t>
      </w:r>
    </w:p>
    <w:p>
      <w:pPr>
        <w:spacing w:after="0" w:line="48" w:lineRule="exact"/>
        <w:rPr>
          <w:rFonts w:ascii="Times New Roman" w:cs="Times New Roman" w:eastAsia="Times New Roman" w:hAnsi="Times New Roman"/>
          <w:sz w:val="14"/>
          <w:szCs w:val="14"/>
          <w:color w:val="auto"/>
        </w:rPr>
      </w:pPr>
    </w:p>
    <w:p>
      <w:pPr>
        <w:jc w:val="both"/>
        <w:ind w:left="1160" w:right="859" w:hanging="264"/>
        <w:spacing w:after="0" w:line="274"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71"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for our product candidates are expensive, may take several years to complete, and their outcomes are uncertain;</w:t>
      </w:r>
    </w:p>
    <w:p>
      <w:pPr>
        <w:spacing w:after="0" w:line="107" w:lineRule="exact"/>
        <w:rPr>
          <w:rFonts w:ascii="Times New Roman" w:cs="Times New Roman" w:eastAsia="Times New Roman" w:hAnsi="Times New Roman"/>
          <w:sz w:val="14"/>
          <w:szCs w:val="14"/>
          <w:color w:val="auto"/>
        </w:rPr>
      </w:pPr>
    </w:p>
    <w:p>
      <w:pPr>
        <w:ind w:left="1160" w:right="859" w:hanging="264"/>
        <w:spacing w:after="0" w:line="274"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60"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part, on our ability to successfully obtain and maintain regulatory approval for our products;</w:t>
      </w:r>
    </w:p>
    <w:p>
      <w:pPr>
        <w:spacing w:after="0" w:line="118" w:lineRule="exact"/>
        <w:rPr>
          <w:rFonts w:ascii="Times New Roman" w:cs="Times New Roman" w:eastAsia="Times New Roman" w:hAnsi="Times New Roman"/>
          <w:sz w:val="14"/>
          <w:szCs w:val="14"/>
          <w:color w:val="auto"/>
        </w:rPr>
      </w:pPr>
    </w:p>
    <w:p>
      <w:pPr>
        <w:ind w:left="1160" w:right="1019" w:hanging="264"/>
        <w:spacing w:after="0" w:line="292"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the United States (“U.S.”) Food and Drug Administration (the “FDA”), the U.S. Securities and Exchange Commission (“SEC”) and other government agencies could negatively impact our business;</w:t>
      </w:r>
    </w:p>
    <w:p>
      <w:pPr>
        <w:spacing w:after="0" w:line="48" w:lineRule="exact"/>
        <w:rPr>
          <w:rFonts w:ascii="Times New Roman" w:cs="Times New Roman" w:eastAsia="Times New Roman" w:hAnsi="Times New Roman"/>
          <w:sz w:val="14"/>
          <w:szCs w:val="14"/>
          <w:color w:val="auto"/>
        </w:rPr>
      </w:pPr>
    </w:p>
    <w:p>
      <w:pPr>
        <w:ind w:left="1160" w:right="1039" w:hanging="264"/>
        <w:spacing w:after="0" w:line="292"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successfully expand our research and development (“R&amp;D”) pipeline or our commercial product portfolio, which could limit our growth potential;</w:t>
      </w:r>
    </w:p>
    <w:p>
      <w:pPr>
        <w:spacing w:after="0" w:line="48"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the manufacture of our products;</w:t>
      </w:r>
    </w:p>
    <w:p>
      <w:pPr>
        <w:spacing w:after="0" w:line="118"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provide goods and services in connection with the manufacture and distribution of our products;</w:t>
      </w:r>
    </w:p>
    <w:p>
      <w:pPr>
        <w:spacing w:after="0" w:line="107" w:lineRule="exact"/>
        <w:rPr>
          <w:rFonts w:ascii="Times New Roman" w:cs="Times New Roman" w:eastAsia="Times New Roman" w:hAnsi="Times New Roman"/>
          <w:sz w:val="14"/>
          <w:szCs w:val="14"/>
          <w:color w:val="auto"/>
        </w:rPr>
      </w:pPr>
    </w:p>
    <w:p>
      <w:pPr>
        <w:ind w:left="1160" w:right="699" w:hanging="264"/>
        <w:spacing w:after="0" w:line="274"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LUMRYZ is a controlled substance subject to U.S. federal and state-controlled substance laws and regulations, and any failure to comply with these laws and regulations, or the cost of compliance with these laws and regulations, could materially adversely affect our business, financial condition, cash flows and results of operations;</w:t>
      </w:r>
    </w:p>
    <w:p>
      <w:pPr>
        <w:spacing w:after="0" w:line="60" w:lineRule="exact"/>
        <w:rPr>
          <w:rFonts w:ascii="Times New Roman" w:cs="Times New Roman" w:eastAsia="Times New Roman" w:hAnsi="Times New Roman"/>
          <w:sz w:val="14"/>
          <w:szCs w:val="14"/>
          <w:color w:val="auto"/>
        </w:rPr>
      </w:pPr>
    </w:p>
    <w:p>
      <w:pPr>
        <w:ind w:left="1160" w:right="699" w:hanging="264"/>
        <w:spacing w:after="0" w:line="292"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largely depends upon our ability to attract, recognize and retain key personnel, and the loss of key personnel may materially and adversely impact our business;</w:t>
      </w:r>
    </w:p>
    <w:p>
      <w:pPr>
        <w:spacing w:after="0" w:line="59"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and other IP protection for our products is key to our business and our competitive position but is uncertain;</w:t>
      </w:r>
    </w:p>
    <w:p>
      <w:pPr>
        <w:spacing w:after="0" w:line="107" w:lineRule="exact"/>
        <w:rPr>
          <w:rFonts w:ascii="Times New Roman" w:cs="Times New Roman" w:eastAsia="Times New Roman" w:hAnsi="Times New Roman"/>
          <w:sz w:val="14"/>
          <w:szCs w:val="14"/>
          <w:color w:val="auto"/>
        </w:rPr>
      </w:pPr>
    </w:p>
    <w:p>
      <w:pPr>
        <w:ind w:left="1160" w:right="779" w:hanging="264"/>
        <w:spacing w:after="0" w:line="274" w:lineRule="auto"/>
        <w:tabs>
          <w:tab w:leader="none" w:pos="1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over IP in the biopharmaceutical industry has been the source of litigation and other legal proceedings, and we and our licensees have previously and may in the future face claims against IP rights covering our products and competition from generic drug manufacturers;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4" w:name="page5"/>
    <w:bookmarkEnd w:id="4"/>
    <w:p>
      <w:pPr>
        <w:ind w:left="1160" w:right="999" w:hanging="264"/>
        <w:spacing w:after="0" w:line="274" w:lineRule="auto"/>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arbitration filed against us,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71"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maintain profitability on a sustained basis;</w:t>
      </w:r>
    </w:p>
    <w:p>
      <w:pPr>
        <w:spacing w:after="0" w:line="107" w:lineRule="exact"/>
        <w:rPr>
          <w:rFonts w:ascii="Times New Roman" w:cs="Times New Roman" w:eastAsia="Times New Roman" w:hAnsi="Times New Roman"/>
          <w:sz w:val="14"/>
          <w:szCs w:val="14"/>
          <w:color w:val="auto"/>
        </w:rPr>
      </w:pPr>
    </w:p>
    <w:p>
      <w:pPr>
        <w:ind w:left="1160" w:right="1239" w:hanging="264"/>
        <w:spacing w:after="0" w:line="292" w:lineRule="auto"/>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Internal Revenue Service (“IRS”) may not agree with our conclusion that we should be treated as a foreign corporation for U.S. federal income tax purposes;</w:t>
      </w:r>
    </w:p>
    <w:p>
      <w:pPr>
        <w:spacing w:after="0" w:line="48" w:lineRule="exact"/>
        <w:rPr>
          <w:rFonts w:ascii="Times New Roman" w:cs="Times New Roman" w:eastAsia="Times New Roman" w:hAnsi="Times New Roman"/>
          <w:sz w:val="14"/>
          <w:szCs w:val="14"/>
          <w:color w:val="auto"/>
        </w:rPr>
      </w:pPr>
    </w:p>
    <w:p>
      <w:pPr>
        <w:ind w:left="1160" w:right="859" w:hanging="264"/>
        <w:spacing w:after="0" w:line="274" w:lineRule="auto"/>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separation of our oncology business completed in November 2023 does not ultimately qualify as a transaction that is generally tax-free for U.S. federal and Irish tax purposes as we anticipate, we and/or our shareholders could be subject to significant tax liabilities;</w:t>
      </w:r>
    </w:p>
    <w:p>
      <w:pPr>
        <w:spacing w:after="0" w:line="71" w:lineRule="exact"/>
        <w:rPr>
          <w:rFonts w:ascii="Times New Roman" w:cs="Times New Roman" w:eastAsia="Times New Roman" w:hAnsi="Times New Roman"/>
          <w:sz w:val="14"/>
          <w:szCs w:val="14"/>
          <w:color w:val="auto"/>
        </w:rPr>
      </w:pPr>
    </w:p>
    <w:p>
      <w:pPr>
        <w:ind w:left="1160" w:right="1199" w:hanging="264"/>
        <w:spacing w:after="0" w:line="292" w:lineRule="auto"/>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debt obligations could adversely affect our business and limit our ability to plan for or respond to changes in our business;</w:t>
      </w:r>
    </w:p>
    <w:p>
      <w:pPr>
        <w:spacing w:after="0" w:line="48" w:lineRule="exact"/>
        <w:rPr>
          <w:rFonts w:ascii="Times New Roman" w:cs="Times New Roman" w:eastAsia="Times New Roman" w:hAnsi="Times New Roman"/>
          <w:sz w:val="14"/>
          <w:szCs w:val="14"/>
          <w:color w:val="auto"/>
        </w:rPr>
      </w:pPr>
    </w:p>
    <w:p>
      <w:pPr>
        <w:ind w:left="1160" w:right="999" w:hanging="264"/>
        <w:spacing w:after="0" w:line="292" w:lineRule="auto"/>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ordinary shares has been volatile and may continue to be volatile in the future, and could decline significantly;</w:t>
      </w:r>
    </w:p>
    <w:p>
      <w:pPr>
        <w:spacing w:after="0" w:line="48" w:lineRule="exact"/>
        <w:rPr>
          <w:rFonts w:ascii="Times New Roman" w:cs="Times New Roman" w:eastAsia="Times New Roman" w:hAnsi="Times New Roman"/>
          <w:sz w:val="14"/>
          <w:szCs w:val="14"/>
          <w:color w:val="auto"/>
        </w:rPr>
      </w:pPr>
    </w:p>
    <w:p>
      <w:pPr>
        <w:ind w:left="1160" w:hanging="264"/>
        <w:spacing w:after="0"/>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be negatively affected as a result of the actions of activist shareholders;</w:t>
      </w:r>
    </w:p>
    <w:p>
      <w:pPr>
        <w:spacing w:after="0" w:line="118" w:lineRule="exact"/>
        <w:rPr>
          <w:rFonts w:ascii="Times New Roman" w:cs="Times New Roman" w:eastAsia="Times New Roman" w:hAnsi="Times New Roman"/>
          <w:sz w:val="14"/>
          <w:szCs w:val="14"/>
          <w:color w:val="auto"/>
        </w:rPr>
      </w:pPr>
    </w:p>
    <w:p>
      <w:pPr>
        <w:ind w:left="1160" w:right="999" w:hanging="264"/>
        <w:spacing w:after="0" w:line="292" w:lineRule="auto"/>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security breaches and other disruptions could compromise our information and expose us to liability, which could cause our business and reputation to suffer; and</w:t>
      </w:r>
    </w:p>
    <w:p>
      <w:pPr>
        <w:spacing w:after="0" w:line="48" w:lineRule="exact"/>
        <w:rPr>
          <w:rFonts w:ascii="Times New Roman" w:cs="Times New Roman" w:eastAsia="Times New Roman" w:hAnsi="Times New Roman"/>
          <w:sz w:val="14"/>
          <w:szCs w:val="14"/>
          <w:color w:val="auto"/>
        </w:rPr>
      </w:pPr>
    </w:p>
    <w:p>
      <w:pPr>
        <w:ind w:left="1160" w:right="999" w:hanging="264"/>
        <w:spacing w:after="0" w:line="292" w:lineRule="auto"/>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trade or other policies, including tariffs or other restrictions imposed by the U.S. government or governments of other nations, could have an adverse effect on our business, results of operations, or financial condition.</w:t>
      </w:r>
    </w:p>
    <w:p>
      <w:pPr>
        <w:spacing w:after="0" w:line="70" w:lineRule="exact"/>
        <w:rPr>
          <w:sz w:val="20"/>
          <w:szCs w:val="20"/>
          <w:color w:val="auto"/>
        </w:rPr>
      </w:pPr>
    </w:p>
    <w:p>
      <w:pPr>
        <w:ind w:left="640" w:right="679" w:firstLine="258"/>
        <w:spacing w:after="0" w:line="262" w:lineRule="auto"/>
        <w:rPr>
          <w:sz w:val="20"/>
          <w:szCs w:val="20"/>
          <w:color w:val="auto"/>
        </w:rPr>
      </w:pPr>
      <w:r>
        <w:rPr>
          <w:rFonts w:ascii="Times New Roman" w:cs="Times New Roman" w:eastAsia="Times New Roman" w:hAnsi="Times New Roman"/>
          <w:sz w:val="14"/>
          <w:szCs w:val="14"/>
          <w:color w:val="auto"/>
        </w:rPr>
        <w:t>The material and other risks and uncertainties summarized above should be read together with the text of the full risk factors in “Item 1A—Risk Factors” in this Annual Report and the other information set forth in this Annual Report, including our consolidated financial statements and the related notes, and in other documents that we file with the SEC. If any such material or other risks and uncertainties actually occur, our business, financial condition, cash flows or results of operations could be materially and adversely affected. The risks and uncertainties summarized above or described below are not the only risks and uncertainties that we face. Additional risks and uncertainties not currently known to us, or that we currently deem to be immaterial may also materially adversely affect our business, financial condition, cash flows or results of operations.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NOTE REGARDING COMPANY AND PRODUCT REFERENCES</w:t>
      </w:r>
    </w:p>
    <w:p>
      <w:pPr>
        <w:spacing w:after="0" w:line="120" w:lineRule="exact"/>
        <w:rPr>
          <w:sz w:val="20"/>
          <w:szCs w:val="20"/>
          <w:color w:val="auto"/>
        </w:rPr>
      </w:pPr>
    </w:p>
    <w:p>
      <w:pPr>
        <w:ind w:left="640" w:right="779" w:firstLine="258"/>
        <w:spacing w:after="0" w:line="263" w:lineRule="auto"/>
        <w:rPr>
          <w:sz w:val="20"/>
          <w:szCs w:val="20"/>
          <w:color w:val="auto"/>
        </w:rPr>
      </w:pPr>
      <w:r>
        <w:rPr>
          <w:rFonts w:ascii="Times New Roman" w:cs="Times New Roman" w:eastAsia="Times New Roman" w:hAnsi="Times New Roman"/>
          <w:sz w:val="14"/>
          <w:szCs w:val="14"/>
          <w:color w:val="auto"/>
        </w:rPr>
        <w:t>Use of terms such as “us,” “we,” “our,” “Alkermes” or the “Company” in this Annual Report is meant to refer to Alkermes plc and its consolidated subsidiaries. Except as otherwise suggested by the context, (a) references to “products” or “our products” in this Annual Report include our marketed products, marketed products using our proprietary technologies, our licensed products, our product candidates and product candidates using our proprietary technologies, (b) references to the “biopharmaceutical industry” in this Annual Report are intended to include reference to the “biotechnology industry” and/or the “pharmaceutical industry” and (c) references to “licensees” in this Annual Report are used interchangeably with references to “partners.”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NOTE REGARDING TRADEMARKS</w:t>
      </w:r>
    </w:p>
    <w:p>
      <w:pPr>
        <w:spacing w:after="0" w:line="136" w:lineRule="exact"/>
        <w:rPr>
          <w:sz w:val="20"/>
          <w:szCs w:val="20"/>
          <w:color w:val="auto"/>
        </w:rPr>
      </w:pPr>
    </w:p>
    <w:p>
      <w:pPr>
        <w:ind w:left="640" w:right="879" w:firstLine="258"/>
        <w:spacing w:after="0" w:line="225" w:lineRule="auto"/>
        <w:rPr>
          <w:sz w:val="20"/>
          <w:szCs w:val="20"/>
          <w:color w:val="auto"/>
        </w:rPr>
      </w:pPr>
      <w:r>
        <w:rPr>
          <w:rFonts w:ascii="Times New Roman" w:cs="Times New Roman" w:eastAsia="Times New Roman" w:hAnsi="Times New Roman"/>
          <w:sz w:val="14"/>
          <w:szCs w:val="14"/>
          <w:color w:val="auto"/>
        </w:rPr>
        <w:t>We are the owner of various U.S. federal trademark registrations (“®”) and other trademarks (“</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including ALKERMES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ARISTADA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ARISTADA INITIO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LINKERX</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LUMRYZ</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LYBALVI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MICROPUMP</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NANOCRYSTAL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and VIVITROL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5" w:name="page6"/>
    <w:bookmarkEnd w:id="5"/>
    <w:p>
      <w:pPr>
        <w:ind w:left="640" w:right="659" w:firstLine="258"/>
        <w:spacing w:after="0" w:line="208" w:lineRule="auto"/>
        <w:rPr>
          <w:sz w:val="20"/>
          <w:szCs w:val="20"/>
          <w:color w:val="auto"/>
        </w:rPr>
      </w:pPr>
      <w:r>
        <w:rPr>
          <w:rFonts w:ascii="Times New Roman" w:cs="Times New Roman" w:eastAsia="Times New Roman" w:hAnsi="Times New Roman"/>
          <w:sz w:val="14"/>
          <w:szCs w:val="14"/>
          <w:color w:val="auto"/>
        </w:rPr>
        <w:t>The following are trademarks of the respective companies listed: ABILIFY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ABILIFY ASIMTUFII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and ABILIFY MAINTENA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—Otsuka Pharmaceutical Co., Ltd. (“Otsuka Pharm. Co.”); ANTABUSE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—Teva Women’s Health, Inc.; AUBAGIO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and LEMTRADA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—Sanofi Societe Anonyme France; AVONEX</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PLEGRIDY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TECFIDERA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TYSABRI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and VUMERITY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—Biogen MA Inc. (together with its affiliates, “Biogen”); BETASERON</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—Bayer Pharma AG; BRIXADI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—Braeburn Inc.; BRIUMVI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—TG Therapeutics, Inc.; BUNAVAIL</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—BioDelivery Sciences; CAMPRAL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—Merck Sante;COPAXONE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and UZEDY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—Teva Pharmaceutical Industries Ltd. (together with its affiliates, “Teva”) ; EXTAVIA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GILENYA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and MAYZENT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Novartis AG; BYANNLI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CABENUVA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CAPLYTA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HAFYERA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SUSTENNA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TRINZA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PONVORY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RISPERDAL CONSTA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TREVICTA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and XEPLION</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—Johnson &amp; Johnson or its affiliated companies; FAMPYRA</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—Merz Pharmaceuticals, LLC; MAVENCLAD</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—Merck KGaA, REBIF</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—Ares Trading S.A.; OCREVUS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Genentech, Inc. (“Genentech”); REXULTI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—H. Lundbeck A/S plc; SUBOXONE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SUBUTEX</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and SUBLOCADE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—Indivior plc (or its affiliates); RYKINDO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—Luye Pharma Group; SUNOSI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—Axsome Therapeutics, Inc.; VRAYLAR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Forest Laboratories, LLC; COBENFY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and ZEPOSIA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—Bristol-Myers Squibb Company; and WAKIX</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—Harmony Biosciences Holdings, Inc.; XYWAV</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and XYREM</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—Jazz Pharmaceuticals plc; ZUBSOLV</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—Orexo US, Inc.; and ZYPREXA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and ZYPREXA RELPREVV</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—Eli Lilly and Company (“Lilly”). Other trademarks, trade names and service marks appearing in this Annual Report are the property of their respective owners. Solely for convenience, the trademarks and trade names in this Annual Report are referred to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or ™ symbols, but such references should not be construed as any indicator that their respective owners will not assert, to the fullest extent under applicable law, their rights thereto.</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0070C0"/>
        </w:rPr>
        <w:t>PART I</w:t>
      </w:r>
    </w:p>
    <w:p>
      <w:pPr>
        <w:spacing w:after="0" w:line="181"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0070C0"/>
        </w:rPr>
        <w:t>Item 1.</w:t>
      </w:r>
      <w:r>
        <w:rPr>
          <w:sz w:val="20"/>
          <w:szCs w:val="20"/>
          <w:color w:val="auto"/>
        </w:rPr>
        <w:tab/>
      </w:r>
      <w:r>
        <w:rPr>
          <w:rFonts w:ascii="Times New Roman" w:cs="Times New Roman" w:eastAsia="Times New Roman" w:hAnsi="Times New Roman"/>
          <w:sz w:val="14"/>
          <w:szCs w:val="14"/>
          <w:b w:val="1"/>
          <w:bCs w:val="1"/>
          <w:i w:val="1"/>
          <w:iCs w:val="1"/>
          <w:color w:val="0070C0"/>
        </w:rPr>
        <w:t>Business</w:t>
      </w:r>
    </w:p>
    <w:p>
      <w:pPr>
        <w:spacing w:after="0" w:line="133" w:lineRule="exact"/>
        <w:rPr>
          <w:sz w:val="20"/>
          <w:szCs w:val="20"/>
          <w:color w:val="auto"/>
        </w:rPr>
      </w:pPr>
    </w:p>
    <w:p>
      <w:pPr>
        <w:ind w:left="640" w:right="719" w:firstLine="258"/>
        <w:spacing w:after="0" w:line="268" w:lineRule="auto"/>
        <w:rPr>
          <w:sz w:val="20"/>
          <w:szCs w:val="20"/>
          <w:color w:val="auto"/>
        </w:rPr>
      </w:pPr>
      <w:r>
        <w:rPr>
          <w:rFonts w:ascii="Times New Roman" w:cs="Times New Roman" w:eastAsia="Times New Roman" w:hAnsi="Times New Roman"/>
          <w:sz w:val="14"/>
          <w:szCs w:val="14"/>
          <w:color w:val="auto"/>
        </w:rPr>
        <w:t>The following discussion contains forward-looking statements. Actual results may differ significantly from those expressed or implied in the forward-looking statements. See “Cautionary Note Concerning Forward-Looking Statements” on page 3 of this Annual Report. Factors that might cause future results to differ materially from those expressed or implied in the forward-looking statements include, but are not limited to, those discussed in “Item 1A—Risk Factors” and elsewhere in this Annual Report.</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Overview</w:t>
      </w:r>
    </w:p>
    <w:p>
      <w:pPr>
        <w:spacing w:after="0" w:line="131" w:lineRule="exact"/>
        <w:rPr>
          <w:sz w:val="20"/>
          <w:szCs w:val="20"/>
          <w:color w:val="auto"/>
        </w:rPr>
      </w:pPr>
    </w:p>
    <w:p>
      <w:pPr>
        <w:ind w:left="640" w:right="719" w:firstLine="258"/>
        <w:spacing w:after="0" w:line="268" w:lineRule="auto"/>
        <w:rPr>
          <w:sz w:val="20"/>
          <w:szCs w:val="20"/>
          <w:color w:val="auto"/>
        </w:rPr>
      </w:pPr>
      <w:r>
        <w:rPr>
          <w:rFonts w:ascii="Times New Roman" w:cs="Times New Roman" w:eastAsia="Times New Roman" w:hAnsi="Times New Roman"/>
          <w:sz w:val="14"/>
          <w:szCs w:val="14"/>
          <w:color w:val="auto"/>
        </w:rPr>
        <w:t>Alkermes plc is a global biopharmaceutical company that seeks to develop innovative medicines in the field of neuroscience. We have a portfolio of proprietary commercial products for the treatment of alcohol dependence, opioid dependence, schizophrenia, bipolar I disorder and narcolepsy, and a pipeline of clinical and preclinical candidates in development for neurological disorders. Headquartered in Ireland, we also have a corporate office and R&amp;D center in Massachusetts and a manufacturing facility in Ohio.</w:t>
      </w:r>
    </w:p>
    <w:p>
      <w:pPr>
        <w:spacing w:after="0" w:line="76" w:lineRule="exact"/>
        <w:rPr>
          <w:sz w:val="20"/>
          <w:szCs w:val="20"/>
          <w:color w:val="auto"/>
        </w:rPr>
      </w:pPr>
    </w:p>
    <w:p>
      <w:pPr>
        <w:ind w:left="640" w:right="659" w:firstLine="258"/>
        <w:spacing w:after="0" w:line="262" w:lineRule="auto"/>
        <w:rPr>
          <w:sz w:val="20"/>
          <w:szCs w:val="20"/>
          <w:color w:val="auto"/>
        </w:rPr>
      </w:pPr>
      <w:r>
        <w:rPr>
          <w:rFonts w:ascii="Times New Roman" w:cs="Times New Roman" w:eastAsia="Times New Roman" w:hAnsi="Times New Roman"/>
          <w:sz w:val="14"/>
          <w:szCs w:val="14"/>
          <w:color w:val="auto"/>
        </w:rPr>
        <w:t>In October 2025, we and Avadel Pharmaceuticals plc (“Avadel”) entered into a definitive transaction agreement, subsequently amended in November 2025 (the “Transaction Agreement”), pursuant to which we agreed to acquire the entire issued and to be issued ordinary share capital of Avadel for consideration of (i) $21.00 per ordinary share, nominal value $0.01 per share, of Avadel (each, an “Avadel Share”), payable in cash at closing and (ii) a non-transferable contingent value right (the “CVR”) entitling holders of Avadel Shares to a potential additional cash payment of $1.50 per Avadel Share, contingent upon achievement of a certain specified milestone (the “Avadel Acquisition”). On February 12, 2026, we successfully completed the Avadel Acquisition, adding both LUMRYZ to our portfolio of proprietary commercial products and a commercial organization with experience in narcolepsy.</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Marketed Products</w:t>
      </w:r>
    </w:p>
    <w:p>
      <w:pPr>
        <w:spacing w:after="0" w:line="131" w:lineRule="exact"/>
        <w:rPr>
          <w:sz w:val="20"/>
          <w:szCs w:val="20"/>
          <w:color w:val="auto"/>
        </w:rPr>
      </w:pPr>
    </w:p>
    <w:p>
      <w:pPr>
        <w:ind w:left="640" w:right="779" w:firstLine="258"/>
        <w:spacing w:after="0" w:line="274" w:lineRule="auto"/>
        <w:rPr>
          <w:sz w:val="20"/>
          <w:szCs w:val="20"/>
          <w:color w:val="auto"/>
        </w:rPr>
      </w:pPr>
      <w:r>
        <w:rPr>
          <w:rFonts w:ascii="Times New Roman" w:cs="Times New Roman" w:eastAsia="Times New Roman" w:hAnsi="Times New Roman"/>
          <w:sz w:val="14"/>
          <w:szCs w:val="14"/>
          <w:color w:val="auto"/>
        </w:rPr>
        <w:t>The key marketed products discussed below have generated, or are expected to generate, significant revenues for us. See the section entitled “</w:t>
      </w:r>
      <w:r>
        <w:rPr>
          <w:rFonts w:ascii="Times New Roman" w:cs="Times New Roman" w:eastAsia="Times New Roman" w:hAnsi="Times New Roman"/>
          <w:sz w:val="14"/>
          <w:szCs w:val="14"/>
          <w:i w:val="1"/>
          <w:iCs w:val="1"/>
          <w:color w:val="auto"/>
        </w:rPr>
        <w:t>Patents and Proprietary Rights</w:t>
      </w:r>
      <w:r>
        <w:rPr>
          <w:rFonts w:ascii="Times New Roman" w:cs="Times New Roman" w:eastAsia="Times New Roman" w:hAnsi="Times New Roman"/>
          <w:sz w:val="14"/>
          <w:szCs w:val="14"/>
          <w:color w:val="auto"/>
        </w:rPr>
        <w:t>” in “Item 1—Business” in this Annual Report for information with respect to the IP protection for these marketed products.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4"/>
          <w:szCs w:val="14"/>
          <w:color w:val="auto"/>
        </w:rPr>
        <w:t>The following provides summary information regarding our proprietary products that we commercialize:</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Proprietary Products</w:t>
      </w:r>
    </w:p>
    <w:p>
      <w:pPr>
        <w:spacing w:after="0" w:line="120"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38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16"/>
                <w:szCs w:val="16"/>
                <w:color w:val="auto"/>
              </w:rPr>
            </w:pPr>
          </w:p>
        </w:tc>
        <w:tc>
          <w:tcPr>
            <w:tcW w:w="1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Indicated Disease State</w:t>
            </w:r>
          </w:p>
        </w:tc>
        <w:tc>
          <w:tcPr>
            <w:tcW w:w="16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Territory</w:t>
            </w:r>
          </w:p>
        </w:tc>
      </w:tr>
      <w:tr>
        <w:trPr>
          <w:trHeight w:val="329"/>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Initiation or re-initiation of</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U.S.</w:t>
            </w:r>
          </w:p>
        </w:tc>
      </w:tr>
      <w:tr>
        <w:trPr>
          <w:trHeight w:val="172"/>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ARISTADA for the treatment of</w:t>
            </w:r>
          </w:p>
        </w:tc>
        <w:tc>
          <w:tcPr>
            <w:tcW w:w="1740" w:type="dxa"/>
            <w:vAlign w:val="bottom"/>
          </w:tcPr>
          <w:p>
            <w:pPr>
              <w:spacing w:after="0"/>
              <w:rPr>
                <w:sz w:val="14"/>
                <w:szCs w:val="14"/>
                <w:color w:val="auto"/>
              </w:rPr>
            </w:pPr>
          </w:p>
        </w:tc>
      </w:tr>
      <w:tr>
        <w:trPr>
          <w:trHeight w:val="186"/>
        </w:trPr>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Schizophrenia</w:t>
            </w:r>
          </w:p>
        </w:tc>
        <w:tc>
          <w:tcPr>
            <w:tcW w:w="1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-326390</wp:posOffset>
            </wp:positionV>
            <wp:extent cx="1800225" cy="2257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580" w:type="dxa"/>
        <w:tblCellMar>
          <w:top w:w="0" w:type="dxa"/>
          <w:left w:w="0" w:type="dxa"/>
          <w:bottom w:w="0" w:type="dxa"/>
          <w:right w:w="0" w:type="dxa"/>
        </w:tblCellMar>
      </w:tblPr>
      <w:tr>
        <w:trPr>
          <w:trHeight w:val="196"/>
        </w:trPr>
        <w:tc>
          <w:tcPr>
            <w:tcW w:w="1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Schizophrenia</w:t>
            </w:r>
          </w:p>
        </w:tc>
        <w:tc>
          <w:tcPr>
            <w:tcW w:w="160" w:type="dxa"/>
            <w:vAlign w:val="bottom"/>
          </w:tcPr>
          <w:p>
            <w:pPr>
              <w:spacing w:after="0"/>
              <w:rPr>
                <w:sz w:val="17"/>
                <w:szCs w:val="17"/>
                <w:color w:val="auto"/>
              </w:rPr>
            </w:pPr>
          </w:p>
        </w:tc>
        <w:tc>
          <w:tcPr>
            <w:tcW w:w="17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U.S.</w:t>
            </w:r>
          </w:p>
        </w:tc>
      </w:tr>
      <w:tr>
        <w:trPr>
          <w:trHeight w:val="405"/>
        </w:trPr>
        <w:tc>
          <w:tcPr>
            <w:tcW w:w="1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33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Narcolepsy</w:t>
            </w:r>
          </w:p>
        </w:tc>
        <w:tc>
          <w:tcPr>
            <w:tcW w:w="160" w:type="dxa"/>
            <w:vAlign w:val="bottom"/>
          </w:tcPr>
          <w:p>
            <w:pPr>
              <w:spacing w:after="0"/>
              <w:rPr>
                <w:sz w:val="24"/>
                <w:szCs w:val="24"/>
                <w:color w:val="auto"/>
              </w:rPr>
            </w:pPr>
          </w:p>
        </w:tc>
        <w:tc>
          <w:tcPr>
            <w:tcW w:w="1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-223520</wp:posOffset>
            </wp:positionV>
            <wp:extent cx="24549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491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737235</wp:posOffset>
            </wp:positionV>
            <wp:extent cx="490982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-107950</wp:posOffset>
            </wp:positionV>
            <wp:extent cx="2447925" cy="736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7925" cy="736600"/>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-92075</wp:posOffset>
            </wp:positionV>
            <wp:extent cx="1847850" cy="1343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7850" cy="1343660"/>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1242060</wp:posOffset>
            </wp:positionV>
            <wp:extent cx="370967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096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1367155</wp:posOffset>
            </wp:positionV>
            <wp:extent cx="11049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6660" w:space="720"/>
            <w:col w:w="1639"/>
          </w:cols>
          <w:pgMar w:left="1440" w:top="95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-92075</wp:posOffset>
            </wp:positionV>
            <wp:extent cx="2400300" cy="893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0" cy="893445"/>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w:t>
      </w:r>
    </w:p>
    <w:p>
      <w:pPr>
        <w:spacing w:after="0" w:line="397" w:lineRule="exact"/>
        <w:rPr>
          <w:sz w:val="20"/>
          <w:szCs w:val="20"/>
          <w:color w:val="auto"/>
        </w:rPr>
      </w:pPr>
    </w:p>
    <w:p>
      <w:pPr>
        <w:sectPr>
          <w:pgSz w:w="11900" w:h="16838" w:orient="portrait"/>
          <w:cols w:equalWidth="0" w:num="2">
            <w:col w:w="6660" w:space="720"/>
            <w:col w:w="1639"/>
          </w:cols>
          <w:pgMar w:left="1440" w:top="95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type w:val="continuous"/>
        </w:sectPr>
      </w:pPr>
    </w:p>
    <w:bookmarkStart w:id="8" w:name="page9"/>
    <w:bookmarkEnd w:id="8"/>
    <w:p>
      <w:pPr>
        <w:ind w:left="640" w:right="699" w:firstLine="258"/>
        <w:spacing w:after="0" w:line="292" w:lineRule="auto"/>
        <w:rPr>
          <w:sz w:val="20"/>
          <w:szCs w:val="20"/>
          <w:color w:val="auto"/>
        </w:rPr>
      </w:pPr>
      <w:r>
        <w:rPr>
          <w:rFonts w:ascii="Times New Roman" w:cs="Times New Roman" w:eastAsia="Times New Roman" w:hAnsi="Times New Roman"/>
          <w:sz w:val="14"/>
          <w:szCs w:val="14"/>
          <w:color w:val="auto"/>
        </w:rPr>
        <w:t>The following provides summary information regarding certain key third-party products using our proprietary technologies under license and our key licensed product, that are commercialized by our licensees: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Key Third-Party Products Using Our Proprietary Technologies</w:t>
      </w:r>
    </w:p>
    <w:p>
      <w:pPr>
        <w:spacing w:after="0" w:line="356"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1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16"/>
                <w:szCs w:val="16"/>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Indicated Disease State</w:t>
            </w:r>
          </w:p>
        </w:tc>
        <w:tc>
          <w:tcPr>
            <w:tcW w:w="80" w:type="dxa"/>
            <w:vAlign w:val="bottom"/>
          </w:tcPr>
          <w:p>
            <w:pPr>
              <w:spacing w:after="0"/>
              <w:rPr>
                <w:sz w:val="16"/>
                <w:szCs w:val="16"/>
                <w:color w:val="auto"/>
              </w:rPr>
            </w:pPr>
          </w:p>
        </w:tc>
        <w:tc>
          <w:tcPr>
            <w:tcW w:w="1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Licensee</w:t>
            </w:r>
          </w:p>
        </w:tc>
        <w:tc>
          <w:tcPr>
            <w:tcW w:w="60" w:type="dxa"/>
            <w:vAlign w:val="bottom"/>
          </w:tcPr>
          <w:p>
            <w:pPr>
              <w:spacing w:after="0"/>
              <w:rPr>
                <w:sz w:val="16"/>
                <w:szCs w:val="16"/>
                <w:color w:val="auto"/>
              </w:rPr>
            </w:pPr>
          </w:p>
        </w:tc>
        <w:tc>
          <w:tcPr>
            <w:tcW w:w="1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Licensed Territory</w:t>
            </w:r>
          </w:p>
        </w:tc>
        <w:tc>
          <w:tcPr>
            <w:tcW w:w="0" w:type="dxa"/>
            <w:vAlign w:val="bottom"/>
          </w:tcPr>
          <w:p>
            <w:pPr>
              <w:spacing w:after="0"/>
              <w:rPr>
                <w:sz w:val="1"/>
                <w:szCs w:val="1"/>
                <w:color w:val="auto"/>
              </w:rPr>
            </w:pPr>
          </w:p>
        </w:tc>
      </w:tr>
      <w:tr>
        <w:trPr>
          <w:trHeight w:val="320"/>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RISPERDAL CONSTA</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Schizophrenia;</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Janssen</w:t>
            </w:r>
          </w:p>
        </w:tc>
        <w:tc>
          <w:tcPr>
            <w:tcW w:w="6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Bipolar I disorder</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Pharmaceuticals, Inc.</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and Janssen</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Pharmaceutica</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International, a division</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of Cilag International</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AG (“Janssen</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International”)</w:t>
            </w: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spacing w:after="0"/>
              <w:rPr>
                <w:sz w:val="15"/>
                <w:szCs w:val="15"/>
                <w:color w:val="auto"/>
              </w:rPr>
            </w:pPr>
          </w:p>
        </w:tc>
        <w:tc>
          <w:tcPr>
            <w:tcW w:w="1540" w:type="dxa"/>
            <w:vAlign w:val="bottom"/>
            <w:tcBorders>
              <w:bottom w:val="single" w:sz="8" w:color="auto"/>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120"/>
              <w:spacing w:after="0" w:line="148" w:lineRule="exact"/>
              <w:rPr>
                <w:sz w:val="20"/>
                <w:szCs w:val="20"/>
                <w:color w:val="auto"/>
              </w:rPr>
            </w:pPr>
            <w:r>
              <w:rPr>
                <w:rFonts w:ascii="Times New Roman" w:cs="Times New Roman" w:eastAsia="Times New Roman" w:hAnsi="Times New Roman"/>
                <w:sz w:val="14"/>
                <w:szCs w:val="14"/>
                <w:b w:val="1"/>
                <w:bCs w:val="1"/>
                <w:i w:val="1"/>
                <w:iCs w:val="1"/>
                <w:color w:val="70AD47"/>
              </w:rPr>
              <w:t>INVEGA SUSTENNA / XEPLION</w:t>
            </w:r>
          </w:p>
        </w:tc>
        <w:tc>
          <w:tcPr>
            <w:tcW w:w="156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4"/>
                <w:szCs w:val="14"/>
                <w:i w:val="1"/>
                <w:iCs w:val="1"/>
                <w:color w:val="auto"/>
              </w:rPr>
              <w:t>INVEGA SUSTENNA</w:t>
            </w:r>
            <w:r>
              <w:rPr>
                <w:rFonts w:ascii="Times New Roman" w:cs="Times New Roman" w:eastAsia="Times New Roman" w:hAnsi="Times New Roman"/>
                <w:sz w:val="14"/>
                <w:szCs w:val="14"/>
                <w:color w:val="auto"/>
              </w:rPr>
              <w:t>:</w:t>
            </w:r>
          </w:p>
        </w:tc>
        <w:tc>
          <w:tcPr>
            <w:tcW w:w="154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4"/>
                <w:szCs w:val="14"/>
                <w:color w:val="auto"/>
              </w:rPr>
              <w:t>Janssen Pharmaceutica</w:t>
            </w:r>
          </w:p>
        </w:tc>
        <w:tc>
          <w:tcPr>
            <w:tcW w:w="60" w:type="dxa"/>
            <w:vAlign w:val="bottom"/>
          </w:tcPr>
          <w:p>
            <w:pPr>
              <w:spacing w:after="0"/>
              <w:rPr>
                <w:sz w:val="12"/>
                <w:szCs w:val="12"/>
                <w:color w:val="auto"/>
              </w:rPr>
            </w:pPr>
          </w:p>
        </w:tc>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Schizophrenia;</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N.V. (together with</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Schizoaffective disorder</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Janssen Pharmaceuticals,</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XEPLION</w:t>
            </w:r>
            <w:r>
              <w:rPr>
                <w:rFonts w:ascii="Times New Roman" w:cs="Times New Roman" w:eastAsia="Times New Roman" w:hAnsi="Times New Roman"/>
                <w:sz w:val="14"/>
                <w:szCs w:val="14"/>
                <w:color w:val="auto"/>
              </w:rPr>
              <w:t>:</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Inc., Janssen</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International and their</w:t>
            </w: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Schizophrenia</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affiliates “Janssen”)</w:t>
            </w: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INVEGA TRINZA / TREVICTA</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Schizophrenia</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Janssen</w:t>
            </w:r>
          </w:p>
        </w:tc>
        <w:tc>
          <w:tcPr>
            <w:tcW w:w="6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655"/>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INVEGA HAFYERA / BYANNLI</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Schizophrenia</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Janssen</w:t>
            </w:r>
          </w:p>
        </w:tc>
        <w:tc>
          <w:tcPr>
            <w:tcW w:w="6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827"/>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Our Key Licensed Product</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1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Indicated Disease State</w:t>
            </w:r>
          </w:p>
        </w:tc>
        <w:tc>
          <w:tcPr>
            <w:tcW w:w="80" w:type="dxa"/>
            <w:vAlign w:val="bottom"/>
          </w:tcPr>
          <w:p>
            <w:pPr>
              <w:spacing w:after="0"/>
              <w:rPr>
                <w:sz w:val="24"/>
                <w:szCs w:val="24"/>
                <w:color w:val="auto"/>
              </w:rPr>
            </w:pPr>
          </w:p>
        </w:tc>
        <w:tc>
          <w:tcPr>
            <w:tcW w:w="1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Licensee</w:t>
            </w:r>
          </w:p>
        </w:tc>
        <w:tc>
          <w:tcPr>
            <w:tcW w:w="60" w:type="dxa"/>
            <w:vAlign w:val="bottom"/>
          </w:tcPr>
          <w:p>
            <w:pPr>
              <w:spacing w:after="0"/>
              <w:rPr>
                <w:sz w:val="24"/>
                <w:szCs w:val="24"/>
                <w:color w:val="auto"/>
              </w:rPr>
            </w:pPr>
          </w:p>
        </w:tc>
        <w:tc>
          <w:tcPr>
            <w:tcW w:w="1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Licensed Territory</w:t>
            </w:r>
          </w:p>
        </w:tc>
        <w:tc>
          <w:tcPr>
            <w:tcW w:w="0" w:type="dxa"/>
            <w:vAlign w:val="bottom"/>
          </w:tcPr>
          <w:p>
            <w:pPr>
              <w:spacing w:after="0"/>
              <w:rPr>
                <w:sz w:val="1"/>
                <w:szCs w:val="1"/>
                <w:color w:val="auto"/>
              </w:rPr>
            </w:pPr>
          </w:p>
        </w:tc>
      </w:tr>
      <w:tr>
        <w:trPr>
          <w:trHeight w:val="334"/>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VUMERITY</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Multiple sclerosis</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Biogen</w:t>
            </w:r>
          </w:p>
        </w:tc>
        <w:tc>
          <w:tcPr>
            <w:tcW w:w="6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29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2E74B5"/>
              </w:rPr>
              <w:t>Proprietary Products</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640" w:right="859" w:firstLine="258"/>
        <w:spacing w:after="0" w:line="274" w:lineRule="auto"/>
        <w:rPr>
          <w:sz w:val="20"/>
          <w:szCs w:val="20"/>
          <w:color w:val="auto"/>
        </w:rPr>
      </w:pPr>
      <w:r>
        <w:rPr>
          <w:rFonts w:ascii="Times New Roman" w:cs="Times New Roman" w:eastAsia="Times New Roman" w:hAnsi="Times New Roman"/>
          <w:sz w:val="14"/>
          <w:szCs w:val="14"/>
          <w:color w:val="auto"/>
        </w:rPr>
        <w:t>We have developed and now commercialize products designed to help address the unmet needs of people living with opioid dependence, alcohol dependence, schizophrenia and bipolar I disorder. See the section entitled “</w:t>
      </w:r>
      <w:r>
        <w:rPr>
          <w:rFonts w:ascii="Times New Roman" w:cs="Times New Roman" w:eastAsia="Times New Roman" w:hAnsi="Times New Roman"/>
          <w:sz w:val="14"/>
          <w:szCs w:val="14"/>
          <w:i w:val="1"/>
          <w:iCs w:val="1"/>
          <w:color w:val="auto"/>
        </w:rPr>
        <w:t>Patents and Proprietary Rights</w:t>
      </w:r>
      <w:r>
        <w:rPr>
          <w:rFonts w:ascii="Times New Roman" w:cs="Times New Roman" w:eastAsia="Times New Roman" w:hAnsi="Times New Roman"/>
          <w:sz w:val="14"/>
          <w:szCs w:val="14"/>
          <w:color w:val="auto"/>
        </w:rPr>
        <w:t>” in “Item 1—Business” in this Annual Report for information with respect to the IP protection for our proprietary products.</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ARISTADA and ARISTADA INITIO</w:t>
      </w:r>
    </w:p>
    <w:p>
      <w:pPr>
        <w:spacing w:after="0" w:line="133" w:lineRule="exact"/>
        <w:rPr>
          <w:sz w:val="20"/>
          <w:szCs w:val="20"/>
          <w:color w:val="auto"/>
        </w:rPr>
      </w:pPr>
    </w:p>
    <w:p>
      <w:pPr>
        <w:ind w:left="640" w:right="679" w:firstLine="258"/>
        <w:spacing w:after="0" w:line="263" w:lineRule="auto"/>
        <w:rPr>
          <w:sz w:val="20"/>
          <w:szCs w:val="20"/>
          <w:color w:val="auto"/>
        </w:rPr>
      </w:pPr>
      <w:r>
        <w:rPr>
          <w:rFonts w:ascii="Times New Roman" w:cs="Times New Roman" w:eastAsia="Times New Roman" w:hAnsi="Times New Roman"/>
          <w:sz w:val="14"/>
          <w:szCs w:val="14"/>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80" w:lineRule="exact"/>
        <w:rPr>
          <w:sz w:val="20"/>
          <w:szCs w:val="20"/>
          <w:color w:val="auto"/>
        </w:rPr>
      </w:pPr>
    </w:p>
    <w:p>
      <w:pPr>
        <w:ind w:left="640" w:right="699" w:firstLine="258"/>
        <w:spacing w:after="0" w:line="263" w:lineRule="auto"/>
        <w:rPr>
          <w:sz w:val="20"/>
          <w:szCs w:val="20"/>
          <w:color w:val="auto"/>
        </w:rPr>
      </w:pPr>
      <w:r>
        <w:rPr>
          <w:rFonts w:ascii="Times New Roman" w:cs="Times New Roman" w:eastAsia="Times New Roman" w:hAnsi="Times New Roman"/>
          <w:sz w:val="14"/>
          <w:szCs w:val="14"/>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4"/>
          <w:szCs w:val="14"/>
          <w:i w:val="1"/>
          <w:iCs w:val="1"/>
          <w:color w:val="auto"/>
        </w:rPr>
        <w:t>What is schizophrenia?</w:t>
      </w:r>
    </w:p>
    <w:p>
      <w:pPr>
        <w:spacing w:after="0" w:line="131" w:lineRule="exact"/>
        <w:rPr>
          <w:sz w:val="20"/>
          <w:szCs w:val="20"/>
          <w:color w:val="auto"/>
        </w:rPr>
      </w:pPr>
    </w:p>
    <w:p>
      <w:pPr>
        <w:ind w:left="640" w:right="859" w:firstLine="258"/>
        <w:spacing w:after="0" w:line="274" w:lineRule="auto"/>
        <w:rPr>
          <w:sz w:val="20"/>
          <w:szCs w:val="20"/>
          <w:color w:val="auto"/>
        </w:rPr>
      </w:pPr>
      <w:r>
        <w:rPr>
          <w:rFonts w:ascii="Times New Roman" w:cs="Times New Roman" w:eastAsia="Times New Roman" w:hAnsi="Times New Roman"/>
          <w:sz w:val="14"/>
          <w:szCs w:val="14"/>
          <w:color w:val="auto"/>
        </w:rPr>
        <w:t>Schizophrenia is a serious brain disorder marked by positive symptoms (hallucinations and delusions, disorganized speech and thoughts, and agitated or repeated movements) and negative symptoms (depression, blunted emotions and social withdrawal). Schizophrenia affects approximately 1.1% of the U.S. population.</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LUMRYZ</w:t>
      </w:r>
    </w:p>
    <w:p>
      <w:pPr>
        <w:spacing w:after="0" w:line="133" w:lineRule="exact"/>
        <w:rPr>
          <w:sz w:val="20"/>
          <w:szCs w:val="20"/>
          <w:color w:val="auto"/>
        </w:rPr>
      </w:pPr>
    </w:p>
    <w:p>
      <w:pPr>
        <w:ind w:left="640" w:right="779" w:firstLine="258"/>
        <w:spacing w:after="0" w:line="260" w:lineRule="auto"/>
        <w:rPr>
          <w:sz w:val="20"/>
          <w:szCs w:val="20"/>
          <w:color w:val="auto"/>
        </w:rPr>
      </w:pPr>
      <w:r>
        <w:rPr>
          <w:rFonts w:ascii="Times New Roman" w:cs="Times New Roman" w:eastAsia="Times New Roman" w:hAnsi="Times New Roman"/>
          <w:sz w:val="14"/>
          <w:szCs w:val="14"/>
          <w:color w:val="auto"/>
        </w:rPr>
        <w:t>LUMRYZ (sodium oxybate) is an extended-release oral suspension product approved by the FDA in May 2023 as the first and only once-at-bedtime treatment for cataplexy or excessive daytime sleepiness (“EDS”) in adults with narcolepsy, and subsequently approved by the FDA in October 2024 as a once-at-bedtime treatment for cataplexy or EDS in pediatric patients seven years of age and older with narcolepsy. The FDA has granted seven years of orphan drug exclusivity (“ODE”) to LUMRYZ for the adult and pediatric narcolepsy patient populations through May 1, 2030 and October 16, 2031, respectively. We exclusively commercialize LUMRYZ in the U.S. Pursuant to the settlement and license agreement entered into between Jazz and Avadel in October 2025 (the “Avadel Settlement Agreement”), from October 1, 2025, Jazz receives a royalty of 3.85% (subject to certain adjustments set forth in the agreement) on net sales of LUMRYZ sold for narcolepsy and additional royalties on net sales of LUMRYZ sold for any other future FDA-approved non-narcolepsy indications. For more information about the agreement and underlying royalty obligations, see “Patents and Proprietary Rights – LUMRYZ” in “Item 1— Business” of this Annual Report.</w:t>
      </w:r>
    </w:p>
    <w:p>
      <w:pPr>
        <w:spacing w:after="0" w:line="92" w:lineRule="exact"/>
        <w:rPr>
          <w:sz w:val="20"/>
          <w:szCs w:val="20"/>
          <w:color w:val="auto"/>
        </w:rPr>
      </w:pPr>
    </w:p>
    <w:p>
      <w:pPr>
        <w:ind w:left="640" w:right="739" w:firstLine="258"/>
        <w:spacing w:after="0" w:line="263" w:lineRule="auto"/>
        <w:rPr>
          <w:sz w:val="20"/>
          <w:szCs w:val="20"/>
          <w:color w:val="auto"/>
        </w:rPr>
      </w:pPr>
      <w:r>
        <w:rPr>
          <w:rFonts w:ascii="Times New Roman" w:cs="Times New Roman" w:eastAsia="Times New Roman" w:hAnsi="Times New Roman"/>
          <w:sz w:val="14"/>
          <w:szCs w:val="14"/>
          <w:color w:val="auto"/>
        </w:rPr>
        <w:t>LUMRYZ employs a version of our MICROPUMP technology. LUMRYZ is manufactured by third parties. The FDA has required implementation of a REMS for LUMRYZ to help ensure the benefits of the drug outweigh any risks of serious adverse outcomes that may result from inappropriate prescribing, misuse, abuse or diversion of the product. Under the LUMRYZ REMS, healthcare providers who prescribe the drug must be specially certified, pharmacies that dispense the drug must be specially certified, and the drug must be dispensed only to patients who have enrolled in the LUMRYZ REMS and completed all REMS requirements, including documentation of safe use conditions.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What is narcolepsy?</w:t>
      </w:r>
    </w:p>
    <w:p>
      <w:pPr>
        <w:spacing w:after="0" w:line="131" w:lineRule="exact"/>
        <w:rPr>
          <w:sz w:val="20"/>
          <w:szCs w:val="20"/>
          <w:color w:val="auto"/>
        </w:rPr>
      </w:pPr>
    </w:p>
    <w:p>
      <w:pPr>
        <w:ind w:left="640" w:right="659" w:firstLine="258"/>
        <w:spacing w:after="0" w:line="265" w:lineRule="auto"/>
        <w:rPr>
          <w:sz w:val="20"/>
          <w:szCs w:val="20"/>
          <w:color w:val="auto"/>
        </w:rPr>
      </w:pPr>
      <w:r>
        <w:rPr>
          <w:rFonts w:ascii="Times New Roman" w:cs="Times New Roman" w:eastAsia="Times New Roman" w:hAnsi="Times New Roman"/>
          <w:sz w:val="14"/>
          <w:szCs w:val="14"/>
          <w:color w:val="auto"/>
        </w:rPr>
        <w:t>Narcolepsy is a chronic, neurological disorder that affects the brain’s ability to regulate the sleep-wake cycle. The hallmark symptom of narcolepsy is excessive daytime sleepiness; additional symptoms can include sleep paralysis, disturbed nighttime sleep and sleep-related hallucinations. There are two types of narcolepsy: narcolepsy type 1 (“NT1”) is characterized by the loss of orexin-producing neurons and is also associated with cataplexy, a sudden loss of muscle control. Narcolepsy type 2 (“NT2”) shares symptoms with NT1, but is not associated with cataplexy. An estimated 100,000 people in the U.S. are diagnosed with narcolepsy.</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LYBALVI</w:t>
      </w:r>
    </w:p>
    <w:p>
      <w:pPr>
        <w:spacing w:after="0" w:line="133" w:lineRule="exact"/>
        <w:rPr>
          <w:sz w:val="20"/>
          <w:szCs w:val="20"/>
          <w:color w:val="auto"/>
        </w:rPr>
      </w:pPr>
    </w:p>
    <w:p>
      <w:pPr>
        <w:ind w:left="640" w:right="679" w:firstLine="258"/>
        <w:spacing w:after="0" w:line="263" w:lineRule="auto"/>
        <w:rPr>
          <w:sz w:val="20"/>
          <w:szCs w:val="20"/>
          <w:color w:val="auto"/>
        </w:rPr>
      </w:pPr>
      <w:r>
        <w:rPr>
          <w:rFonts w:ascii="Times New Roman" w:cs="Times New Roman" w:eastAsia="Times New Roman" w:hAnsi="Times New Roman"/>
          <w:sz w:val="14"/>
          <w:szCs w:val="14"/>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89" w:lineRule="exact"/>
        <w:rPr>
          <w:sz w:val="20"/>
          <w:szCs w:val="20"/>
          <w:color w:val="auto"/>
        </w:rPr>
      </w:pPr>
    </w:p>
    <w:p>
      <w:pPr>
        <w:ind w:left="640" w:right="679" w:firstLine="258"/>
        <w:spacing w:after="0" w:line="266" w:lineRule="auto"/>
        <w:rPr>
          <w:sz w:val="20"/>
          <w:szCs w:val="20"/>
          <w:color w:val="auto"/>
        </w:rPr>
      </w:pPr>
      <w:r>
        <w:rPr>
          <w:rFonts w:ascii="Times New Roman" w:cs="Times New Roman" w:eastAsia="Times New Roman" w:hAnsi="Times New Roman"/>
          <w:sz w:val="14"/>
          <w:szCs w:val="14"/>
          <w:color w:val="auto"/>
        </w:rPr>
        <w:t xml:space="preserve">For a discussion of legal proceedings related to LYBALVI, see Note 19,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Consolidated Financial Statements” in this Annual Report and for information about risks relating to such legal proceedings, see “Part I, Item 1A—Risk Factors” in this Annual Report, and specifically the section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w:t>
      </w:r>
    </w:p>
    <w:p>
      <w:pPr>
        <w:spacing w:after="0" w:line="1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What is schizophrenia?</w:t>
      </w:r>
    </w:p>
    <w:p>
      <w:pPr>
        <w:spacing w:after="0" w:line="129" w:lineRule="exact"/>
        <w:rPr>
          <w:sz w:val="20"/>
          <w:szCs w:val="20"/>
          <w:color w:val="auto"/>
        </w:rPr>
      </w:pPr>
    </w:p>
    <w:p>
      <w:pPr>
        <w:ind w:left="640" w:right="999" w:firstLine="351"/>
        <w:spacing w:after="0" w:line="295" w:lineRule="auto"/>
        <w:rPr>
          <w:sz w:val="20"/>
          <w:szCs w:val="20"/>
          <w:color w:val="auto"/>
        </w:rPr>
      </w:pPr>
      <w:r>
        <w:rPr>
          <w:rFonts w:ascii="Times New Roman" w:cs="Times New Roman" w:eastAsia="Times New Roman" w:hAnsi="Times New Roman"/>
          <w:sz w:val="14"/>
          <w:szCs w:val="14"/>
          <w:color w:val="auto"/>
        </w:rPr>
        <w:t>See the disease state description in the section entitled “</w:t>
      </w:r>
      <w:r>
        <w:rPr>
          <w:rFonts w:ascii="Times New Roman" w:cs="Times New Roman" w:eastAsia="Times New Roman" w:hAnsi="Times New Roman"/>
          <w:sz w:val="14"/>
          <w:szCs w:val="14"/>
          <w:i w:val="1"/>
          <w:iCs w:val="1"/>
          <w:color w:val="auto"/>
        </w:rPr>
        <w:t>ARISTADA and ARISTADA INITIO</w:t>
      </w:r>
      <w:r>
        <w:rPr>
          <w:rFonts w:ascii="Times New Roman" w:cs="Times New Roman" w:eastAsia="Times New Roman" w:hAnsi="Times New Roman"/>
          <w:sz w:val="14"/>
          <w:szCs w:val="14"/>
          <w:color w:val="auto"/>
        </w:rPr>
        <w:t>” in “Item 1—Business” in this Annual Report.</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What is bipolar I disorder?</w:t>
      </w:r>
    </w:p>
    <w:p>
      <w:pPr>
        <w:spacing w:after="0" w:line="131"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Bipolar disorder is a brain disorder that is marked by extreme changes in a person’s mood, energy and ability to function. Individuals with this brain disorder may experience debilitating mood states, including extreme highs (mania) and extreme lows (depression). Bipolar I disorder is characterized by the occurrence of at least one manic episode, with or without the occurrence of a major depressive episode, and affects approximately 1% of the adult population in the U.S. in any given year.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VIVITROL</w:t>
      </w:r>
    </w:p>
    <w:p>
      <w:pPr>
        <w:spacing w:after="0" w:line="133" w:lineRule="exact"/>
        <w:rPr>
          <w:sz w:val="20"/>
          <w:szCs w:val="20"/>
          <w:color w:val="auto"/>
        </w:rPr>
      </w:pPr>
    </w:p>
    <w:p>
      <w:pPr>
        <w:ind w:left="640" w:right="759" w:firstLine="258"/>
        <w:spacing w:after="0" w:line="263" w:lineRule="auto"/>
        <w:rPr>
          <w:sz w:val="20"/>
          <w:szCs w:val="20"/>
          <w:color w:val="auto"/>
        </w:rPr>
      </w:pPr>
      <w:r>
        <w:rPr>
          <w:rFonts w:ascii="Times New Roman" w:cs="Times New Roman" w:eastAsia="Times New Roman" w:hAnsi="Times New Roman"/>
          <w:sz w:val="14"/>
          <w:szCs w:val="14"/>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89" w:lineRule="exact"/>
        <w:rPr>
          <w:sz w:val="20"/>
          <w:szCs w:val="20"/>
          <w:color w:val="auto"/>
        </w:rPr>
      </w:pPr>
    </w:p>
    <w:p>
      <w:pPr>
        <w:ind w:left="640" w:right="659" w:firstLine="258"/>
        <w:spacing w:after="0" w:line="261" w:lineRule="auto"/>
        <w:rPr>
          <w:sz w:val="20"/>
          <w:szCs w:val="20"/>
          <w:color w:val="auto"/>
        </w:rPr>
      </w:pPr>
      <w:r>
        <w:rPr>
          <w:rFonts w:ascii="Times New Roman" w:cs="Times New Roman" w:eastAsia="Times New Roman" w:hAnsi="Times New Roman"/>
          <w:sz w:val="14"/>
          <w:szCs w:val="14"/>
          <w:color w:val="auto"/>
        </w:rPr>
        <w:t xml:space="preserve">For a discussion of legal proceedings related to VIVITROL, see Note 19,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Consolidated Financial Statements” in this Annual Report, and for information about risks relating to such legal proceedings, see “Part I, Item 1A—Risk Factors” in this Annual Report, and specifically the sections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What are opioid dependence and alcohol dependence?</w:t>
      </w:r>
    </w:p>
    <w:p>
      <w:pPr>
        <w:spacing w:after="0" w:line="131" w:lineRule="exact"/>
        <w:rPr>
          <w:sz w:val="20"/>
          <w:szCs w:val="20"/>
          <w:color w:val="auto"/>
        </w:rPr>
      </w:pPr>
    </w:p>
    <w:p>
      <w:pPr>
        <w:ind w:left="640" w:right="679" w:firstLine="258"/>
        <w:spacing w:after="0" w:line="262" w:lineRule="auto"/>
        <w:rPr>
          <w:sz w:val="20"/>
          <w:szCs w:val="20"/>
          <w:color w:val="auto"/>
        </w:rPr>
      </w:pPr>
      <w:r>
        <w:rPr>
          <w:rFonts w:ascii="Times New Roman" w:cs="Times New Roman" w:eastAsia="Times New Roman" w:hAnsi="Times New Roman"/>
          <w:sz w:val="14"/>
          <w:szCs w:val="14"/>
          <w:color w:val="auto"/>
        </w:rPr>
        <w:t>Opioid dependence is a serious and chronic brain disease characterized by compulsive, prolonged self-administration of opioid substances that are not used for a medical purpose. According to the 2024 U.S. National Survey on Drug Use and Health, an estimated 4.6 million people aged 18 or older in the U.S. had an opioid use disorder* in the prior year. Alcohol dependence is a serious and chronic brain disease characterized by cravings for alcohol, loss of control over drinking, withdrawal symptoms and an increased tolerance for alcohol. According to the 2024 U.S. National Survey on Drug Use and Health, an estimated 27.1 million people aged 18 or older in the U.S. had an alcohol use disorder* in the prior year. Adherence to medication is particularly challenging with these disease states.</w:t>
      </w:r>
    </w:p>
    <w:p>
      <w:pPr>
        <w:spacing w:after="0" w:line="253" w:lineRule="exact"/>
        <w:rPr>
          <w:sz w:val="20"/>
          <w:szCs w:val="20"/>
          <w:color w:val="auto"/>
        </w:rPr>
      </w:pPr>
    </w:p>
    <w:p>
      <w:pPr>
        <w:ind w:left="1260" w:right="759" w:hanging="344"/>
        <w:spacing w:after="0" w:line="232" w:lineRule="auto"/>
        <w:tabs>
          <w:tab w:leader="none" w:pos="12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2013, with the publication of the Diagnostic Statistical Manual (“DSM”) 5, the DSM-IV diagnoses of substance use disorders as either dependence or abuse (i.e., opioid dependence or alcohol dependence), which reflects the approved indications of VIVITROL, were subsumed under a new diagnostic category of “substance use disorders” (i.e., opioid use disorder or alcohol use disorder) with three categories of disorder severity—mild, moderate or severe. In determining the applicability of treatments for DSM-IV conditions to persons diagnosed according to DSM-5, one study found agreement between the DSM-IV diagnoses of alcohol dependence and opioid dependence and moderate to severe alcohol use disorder and opioid use disorder, respectively, under DSM-5. It was noted in the opioid use disorder table of the 2024 U.S. National Survey on Drug Use and Health that certain estimates for 2024 may differ from previously published estimates due to changes in how opioids were defined beginning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-538480</wp:posOffset>
            </wp:positionV>
            <wp:extent cx="39560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5605" cy="6985"/>
                    </a:xfrm>
                    <a:prstGeom prst="rect">
                      <a:avLst/>
                    </a:prstGeom>
                    <a:noFill/>
                  </pic:spPr>
                </pic:pic>
              </a:graphicData>
            </a:graphic>
          </wp:anchor>
        </w:drawing>
      </w:r>
    </w:p>
    <w:p>
      <w:pPr>
        <w:spacing w:after="0" w:line="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Products Using Our Proprietary Technologies and Licensed Product</w:t>
      </w:r>
    </w:p>
    <w:p>
      <w:pPr>
        <w:spacing w:after="0" w:line="131" w:lineRule="exact"/>
        <w:rPr>
          <w:sz w:val="20"/>
          <w:szCs w:val="20"/>
          <w:color w:val="auto"/>
        </w:rPr>
      </w:pPr>
    </w:p>
    <w:p>
      <w:pPr>
        <w:ind w:left="640" w:right="679" w:firstLine="258"/>
        <w:spacing w:after="0" w:line="263" w:lineRule="auto"/>
        <w:rPr>
          <w:sz w:val="20"/>
          <w:szCs w:val="20"/>
          <w:color w:val="auto"/>
        </w:rPr>
      </w:pPr>
      <w:r>
        <w:rPr>
          <w:rFonts w:ascii="Times New Roman" w:cs="Times New Roman" w:eastAsia="Times New Roman" w:hAnsi="Times New Roman"/>
          <w:sz w:val="14"/>
          <w:szCs w:val="14"/>
          <w:color w:val="auto"/>
        </w:rPr>
        <w:t>We have licensed products to third parties for commercialization and have licensed our proprietary technologies to third parties to enable them to develop, commercialize and/or manufacture products. See the sections entitled “</w:t>
      </w:r>
      <w:r>
        <w:rPr>
          <w:rFonts w:ascii="Times New Roman" w:cs="Times New Roman" w:eastAsia="Times New Roman" w:hAnsi="Times New Roman"/>
          <w:sz w:val="14"/>
          <w:szCs w:val="14"/>
          <w:i w:val="1"/>
          <w:iCs w:val="1"/>
          <w:color w:val="auto"/>
        </w:rPr>
        <w:t>Proprietary Technology Platforms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Patents and Proprietary Rights</w:t>
      </w:r>
      <w:r>
        <w:rPr>
          <w:rFonts w:ascii="Times New Roman" w:cs="Times New Roman" w:eastAsia="Times New Roman" w:hAnsi="Times New Roman"/>
          <w:sz w:val="14"/>
          <w:szCs w:val="14"/>
          <w:color w:val="auto"/>
        </w:rPr>
        <w:t>” in “Item 1—Business” in this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among others, the following:</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0070C0"/>
        </w:rPr>
        <w:t>Products Using Our Proprietary Technologies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INVEGA SUSTENNA/XEPLION, INVEGA TRINZA/TREVICTA and INVEGA HAFYERA/BYANNLI</w:t>
      </w:r>
    </w:p>
    <w:p>
      <w:pPr>
        <w:spacing w:after="0" w:line="133" w:lineRule="exact"/>
        <w:rPr>
          <w:sz w:val="20"/>
          <w:szCs w:val="20"/>
          <w:color w:val="auto"/>
        </w:rPr>
      </w:pPr>
    </w:p>
    <w:p>
      <w:pPr>
        <w:ind w:left="640" w:right="659" w:firstLine="294"/>
        <w:spacing w:after="0" w:line="274" w:lineRule="auto"/>
        <w:rPr>
          <w:sz w:val="20"/>
          <w:szCs w:val="20"/>
          <w:color w:val="auto"/>
        </w:rPr>
      </w:pPr>
      <w:r>
        <w:rPr>
          <w:rFonts w:ascii="Times New Roman" w:cs="Times New Roman" w:eastAsia="Times New Roman" w:hAnsi="Times New Roman"/>
          <w:sz w:val="14"/>
          <w:szCs w:val="14"/>
          <w:color w:val="auto"/>
        </w:rPr>
        <w:t>INVEGA SUSTENNA/XEPLION (paliperidone palmitate), INVEGA TRINZA/TREVICTA (paliperidone palmitate) and INVEGA HAFYERA/BYANNLI (paliperidone palmitate) (collectively, the “long-acting INVEGA products”) are long-acting atypical antipsychotics owned and commercialized worldwide by Janssen. We believe that these products incorporate our technologies.</w:t>
      </w:r>
    </w:p>
    <w:p>
      <w:pPr>
        <w:spacing w:after="0" w:line="82" w:lineRule="exact"/>
        <w:rPr>
          <w:sz w:val="20"/>
          <w:szCs w:val="20"/>
          <w:color w:val="auto"/>
        </w:rPr>
      </w:pPr>
    </w:p>
    <w:p>
      <w:pPr>
        <w:ind w:left="640" w:right="679" w:firstLine="258"/>
        <w:spacing w:after="0" w:line="268" w:lineRule="auto"/>
        <w:rPr>
          <w:sz w:val="20"/>
          <w:szCs w:val="20"/>
          <w:color w:val="auto"/>
        </w:rPr>
      </w:pPr>
      <w:r>
        <w:rPr>
          <w:rFonts w:ascii="Times New Roman" w:cs="Times New Roman" w:eastAsia="Times New Roman" w:hAnsi="Times New Roman"/>
          <w:sz w:val="14"/>
          <w:szCs w:val="14"/>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76" w:lineRule="exact"/>
        <w:rPr>
          <w:sz w:val="20"/>
          <w:szCs w:val="20"/>
          <w:color w:val="auto"/>
        </w:rPr>
      </w:pPr>
    </w:p>
    <w:p>
      <w:pPr>
        <w:jc w:val="both"/>
        <w:ind w:left="640" w:right="739" w:firstLine="258"/>
        <w:spacing w:after="0" w:line="274" w:lineRule="auto"/>
        <w:rPr>
          <w:sz w:val="20"/>
          <w:szCs w:val="20"/>
          <w:color w:val="auto"/>
        </w:rPr>
      </w:pPr>
      <w:r>
        <w:rPr>
          <w:rFonts w:ascii="Times New Roman" w:cs="Times New Roman" w:eastAsia="Times New Roman" w:hAnsi="Times New Roman"/>
          <w:sz w:val="14"/>
          <w:szCs w:val="14"/>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11" w:name="page12"/>
    <w:bookmarkEnd w:id="11"/>
    <w:p>
      <w:pPr>
        <w:ind w:left="640" w:right="679" w:firstLine="258"/>
        <w:spacing w:after="0" w:line="268" w:lineRule="auto"/>
        <w:rPr>
          <w:sz w:val="20"/>
          <w:szCs w:val="20"/>
          <w:color w:val="auto"/>
        </w:rPr>
      </w:pPr>
      <w:r>
        <w:rPr>
          <w:rFonts w:ascii="Times New Roman" w:cs="Times New Roman" w:eastAsia="Times New Roman" w:hAnsi="Times New Roman"/>
          <w:sz w:val="14"/>
          <w:szCs w:val="14"/>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What is schizophrenia?</w:t>
      </w:r>
    </w:p>
    <w:p>
      <w:pPr>
        <w:spacing w:after="0" w:line="118" w:lineRule="exact"/>
        <w:rPr>
          <w:sz w:val="20"/>
          <w:szCs w:val="20"/>
          <w:color w:val="auto"/>
        </w:rPr>
      </w:pPr>
    </w:p>
    <w:p>
      <w:pPr>
        <w:ind w:left="640" w:right="1099" w:firstLine="258"/>
        <w:spacing w:after="0" w:line="295" w:lineRule="auto"/>
        <w:rPr>
          <w:sz w:val="20"/>
          <w:szCs w:val="20"/>
          <w:color w:val="auto"/>
        </w:rPr>
      </w:pPr>
      <w:r>
        <w:rPr>
          <w:rFonts w:ascii="Times New Roman" w:cs="Times New Roman" w:eastAsia="Times New Roman" w:hAnsi="Times New Roman"/>
          <w:sz w:val="14"/>
          <w:szCs w:val="14"/>
          <w:color w:val="auto"/>
        </w:rPr>
        <w:t>See the disease state description in the section entitled “</w:t>
      </w:r>
      <w:r>
        <w:rPr>
          <w:rFonts w:ascii="Times New Roman" w:cs="Times New Roman" w:eastAsia="Times New Roman" w:hAnsi="Times New Roman"/>
          <w:sz w:val="14"/>
          <w:szCs w:val="14"/>
          <w:i w:val="1"/>
          <w:iCs w:val="1"/>
          <w:color w:val="auto"/>
        </w:rPr>
        <w:t>ARISTADA and ARISTADA INITIO</w:t>
      </w:r>
      <w:r>
        <w:rPr>
          <w:rFonts w:ascii="Times New Roman" w:cs="Times New Roman" w:eastAsia="Times New Roman" w:hAnsi="Times New Roman"/>
          <w:sz w:val="14"/>
          <w:szCs w:val="14"/>
          <w:color w:val="auto"/>
        </w:rPr>
        <w:t>” in “Item 1—Business” in this Annual Report.</w:t>
      </w:r>
    </w:p>
    <w:p>
      <w:pPr>
        <w:spacing w:after="0" w:line="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What is schizoaffective disorder?</w:t>
      </w:r>
    </w:p>
    <w:p>
      <w:pPr>
        <w:spacing w:after="0" w:line="120" w:lineRule="exact"/>
        <w:rPr>
          <w:sz w:val="20"/>
          <w:szCs w:val="20"/>
          <w:color w:val="auto"/>
        </w:rPr>
      </w:pPr>
    </w:p>
    <w:p>
      <w:pPr>
        <w:jc w:val="both"/>
        <w:ind w:left="640" w:right="1219" w:firstLine="258"/>
        <w:spacing w:after="0" w:line="274" w:lineRule="auto"/>
        <w:rPr>
          <w:sz w:val="20"/>
          <w:szCs w:val="20"/>
          <w:color w:val="auto"/>
        </w:rPr>
      </w:pPr>
      <w:r>
        <w:rPr>
          <w:rFonts w:ascii="Times New Roman" w:cs="Times New Roman" w:eastAsia="Times New Roman" w:hAnsi="Times New Roman"/>
          <w:sz w:val="14"/>
          <w:szCs w:val="14"/>
          <w:color w:val="auto"/>
        </w:rPr>
        <w:t>Schizoaffective disorder is a condition in which a person experiences a combination of schizophrenia symptoms, such as delusions, hallucinations or other symptoms characteristic of schizophrenia, and mood disorder symptoms, such as mania or depression. Schizoaffective disorder is a serious mental illness that affects about one in 300 people.</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RISPERDAL CONSTA</w:t>
      </w:r>
    </w:p>
    <w:p>
      <w:pPr>
        <w:spacing w:after="0" w:line="122" w:lineRule="exact"/>
        <w:rPr>
          <w:sz w:val="20"/>
          <w:szCs w:val="20"/>
          <w:color w:val="auto"/>
        </w:rPr>
      </w:pPr>
    </w:p>
    <w:p>
      <w:pPr>
        <w:ind w:left="640" w:right="679" w:firstLine="258"/>
        <w:spacing w:after="0" w:line="262" w:lineRule="auto"/>
        <w:rPr>
          <w:sz w:val="20"/>
          <w:szCs w:val="20"/>
          <w:color w:val="auto"/>
        </w:rPr>
      </w:pPr>
      <w:r>
        <w:rPr>
          <w:rFonts w:ascii="Times New Roman" w:cs="Times New Roman" w:eastAsia="Times New Roman" w:hAnsi="Times New Roman"/>
          <w:sz w:val="14"/>
          <w:szCs w:val="14"/>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What is schizophrenia?</w:t>
      </w:r>
    </w:p>
    <w:p>
      <w:pPr>
        <w:spacing w:after="0" w:line="118" w:lineRule="exact"/>
        <w:rPr>
          <w:sz w:val="20"/>
          <w:szCs w:val="20"/>
          <w:color w:val="auto"/>
        </w:rPr>
      </w:pPr>
    </w:p>
    <w:p>
      <w:pPr>
        <w:ind w:left="640" w:right="1099" w:firstLine="258"/>
        <w:spacing w:after="0" w:line="295" w:lineRule="auto"/>
        <w:rPr>
          <w:sz w:val="20"/>
          <w:szCs w:val="20"/>
          <w:color w:val="auto"/>
        </w:rPr>
      </w:pPr>
      <w:r>
        <w:rPr>
          <w:rFonts w:ascii="Times New Roman" w:cs="Times New Roman" w:eastAsia="Times New Roman" w:hAnsi="Times New Roman"/>
          <w:sz w:val="14"/>
          <w:szCs w:val="14"/>
          <w:color w:val="auto"/>
        </w:rPr>
        <w:t>See the disease state description in the section entitled “</w:t>
      </w:r>
      <w:r>
        <w:rPr>
          <w:rFonts w:ascii="Times New Roman" w:cs="Times New Roman" w:eastAsia="Times New Roman" w:hAnsi="Times New Roman"/>
          <w:sz w:val="14"/>
          <w:szCs w:val="14"/>
          <w:i w:val="1"/>
          <w:iCs w:val="1"/>
          <w:color w:val="auto"/>
        </w:rPr>
        <w:t>ARISTADA and ARISTADA INITIO</w:t>
      </w:r>
      <w:r>
        <w:rPr>
          <w:rFonts w:ascii="Times New Roman" w:cs="Times New Roman" w:eastAsia="Times New Roman" w:hAnsi="Times New Roman"/>
          <w:sz w:val="14"/>
          <w:szCs w:val="14"/>
          <w:color w:val="auto"/>
        </w:rPr>
        <w:t>” in “Item 1—Business” in this Annual Report.</w:t>
      </w:r>
    </w:p>
    <w:p>
      <w:pPr>
        <w:spacing w:after="0" w:line="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0070C0"/>
        </w:rPr>
        <w:t>Licensed Product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VUMERITY</w:t>
      </w:r>
    </w:p>
    <w:p>
      <w:pPr>
        <w:spacing w:after="0" w:line="122" w:lineRule="exact"/>
        <w:rPr>
          <w:sz w:val="20"/>
          <w:szCs w:val="20"/>
          <w:color w:val="auto"/>
        </w:rPr>
      </w:pPr>
    </w:p>
    <w:p>
      <w:pPr>
        <w:jc w:val="both"/>
        <w:ind w:left="640" w:right="699" w:firstLine="258"/>
        <w:spacing w:after="0" w:line="274" w:lineRule="auto"/>
        <w:rPr>
          <w:sz w:val="20"/>
          <w:szCs w:val="20"/>
          <w:color w:val="auto"/>
        </w:rPr>
      </w:pPr>
      <w:r>
        <w:rPr>
          <w:rFonts w:ascii="Times New Roman" w:cs="Times New Roman" w:eastAsia="Times New Roman" w:hAnsi="Times New Roman"/>
          <w:sz w:val="14"/>
          <w:szCs w:val="14"/>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82" w:lineRule="exact"/>
        <w:rPr>
          <w:sz w:val="20"/>
          <w:szCs w:val="20"/>
          <w:color w:val="auto"/>
        </w:rPr>
      </w:pPr>
    </w:p>
    <w:p>
      <w:pPr>
        <w:ind w:left="640" w:right="699" w:firstLine="258"/>
        <w:spacing w:after="0" w:line="274" w:lineRule="auto"/>
        <w:rPr>
          <w:sz w:val="20"/>
          <w:szCs w:val="20"/>
          <w:color w:val="auto"/>
        </w:rPr>
      </w:pPr>
      <w:r>
        <w:rPr>
          <w:rFonts w:ascii="Times New Roman" w:cs="Times New Roman" w:eastAsia="Times New Roman" w:hAnsi="Times New Roman"/>
          <w:sz w:val="14"/>
          <w:szCs w:val="14"/>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this Annual Report.</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What is multiple sclerosis?</w:t>
      </w:r>
    </w:p>
    <w:p>
      <w:pPr>
        <w:spacing w:after="0" w:line="131" w:lineRule="exact"/>
        <w:rPr>
          <w:sz w:val="20"/>
          <w:szCs w:val="20"/>
          <w:color w:val="auto"/>
        </w:rPr>
      </w:pPr>
    </w:p>
    <w:p>
      <w:pPr>
        <w:ind w:left="640" w:right="679" w:firstLine="258"/>
        <w:spacing w:after="0" w:line="273" w:lineRule="auto"/>
        <w:rPr>
          <w:sz w:val="20"/>
          <w:szCs w:val="20"/>
          <w:color w:val="auto"/>
        </w:rPr>
      </w:pPr>
      <w:r>
        <w:rPr>
          <w:rFonts w:ascii="Times New Roman" w:cs="Times New Roman" w:eastAsia="Times New Roman" w:hAnsi="Times New Roman"/>
          <w:sz w:val="14"/>
          <w:szCs w:val="14"/>
          <w:color w:val="auto"/>
        </w:rPr>
        <w:t>Multiple sclerosis (“MS”) is an unpredictable, often disabling disease of the central nervous system (“CNS”), which interrupts the flow of information within the brain, and between the brain and body. MS symptoms can vary over time and from person to person. Symptoms may include extreme fatigue, impaired vision, problems with balance and walking, numbness or pain and other sensory changes, bladder and bowel symptoms, tremors, problems with memory and concentration and mood changes, among others. Approximately 2.5 million people worldwide have MS, and most are diagnosed between the ages of 15 and 50.</w:t>
      </w:r>
    </w:p>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Key Development Programs</w:t>
      </w:r>
    </w:p>
    <w:p>
      <w:pPr>
        <w:spacing w:after="0" w:line="131" w:lineRule="exact"/>
        <w:rPr>
          <w:sz w:val="20"/>
          <w:szCs w:val="20"/>
          <w:color w:val="auto"/>
        </w:rPr>
      </w:pPr>
    </w:p>
    <w:p>
      <w:pPr>
        <w:ind w:left="640" w:right="659" w:firstLine="258"/>
        <w:spacing w:after="0" w:line="262" w:lineRule="auto"/>
        <w:rPr>
          <w:sz w:val="20"/>
          <w:szCs w:val="20"/>
          <w:color w:val="auto"/>
        </w:rPr>
      </w:pPr>
      <w:r>
        <w:rPr>
          <w:rFonts w:ascii="Times New Roman" w:cs="Times New Roman" w:eastAsia="Times New Roman" w:hAnsi="Times New Roman"/>
          <w:sz w:val="14"/>
          <w:szCs w:val="14"/>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“Item 1A—Risk Factors” in this Annual Report. See the section entitled “</w:t>
      </w:r>
      <w:r>
        <w:rPr>
          <w:rFonts w:ascii="Times New Roman" w:cs="Times New Roman" w:eastAsia="Times New Roman" w:hAnsi="Times New Roman"/>
          <w:sz w:val="14"/>
          <w:szCs w:val="14"/>
          <w:i w:val="1"/>
          <w:iCs w:val="1"/>
          <w:color w:val="auto"/>
        </w:rPr>
        <w:t>Patents and Proprietary Rights</w:t>
      </w:r>
      <w:r>
        <w:rPr>
          <w:rFonts w:ascii="Times New Roman" w:cs="Times New Roman" w:eastAsia="Times New Roman" w:hAnsi="Times New Roman"/>
          <w:sz w:val="14"/>
          <w:szCs w:val="14"/>
          <w:color w:val="auto"/>
        </w:rPr>
        <w:t>” in “Item 1— Business” in this Annual Report for information with respect to the IP protection for our key development program.</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Alixorexton (formerly referred to as ALKS 2680)</w:t>
      </w:r>
    </w:p>
    <w:p>
      <w:pPr>
        <w:spacing w:after="0" w:line="133" w:lineRule="exact"/>
        <w:rPr>
          <w:sz w:val="20"/>
          <w:szCs w:val="20"/>
          <w:color w:val="auto"/>
        </w:rPr>
      </w:pPr>
    </w:p>
    <w:p>
      <w:pPr>
        <w:ind w:left="640" w:right="659" w:firstLine="258"/>
        <w:spacing w:after="0" w:line="260" w:lineRule="auto"/>
        <w:rPr>
          <w:sz w:val="20"/>
          <w:szCs w:val="20"/>
          <w:color w:val="auto"/>
        </w:rPr>
      </w:pPr>
      <w:r>
        <w:rPr>
          <w:rFonts w:ascii="Times New Roman" w:cs="Times New Roman" w:eastAsia="Times New Roman" w:hAnsi="Times New Roman"/>
          <w:sz w:val="14"/>
          <w:szCs w:val="14"/>
          <w:color w:val="auto"/>
        </w:rPr>
        <w:t>Alixorexton is a novel, investigational, oral, selective orexin 2 receptor agonist in development for the treatment of NT1, NT2 and idiopathic hypersomnia (“IH”). Orexin, a neuropeptide produced in the lateral hypothalamus, is considered to be the master regulator of wakefulness due to its activation of multiple, downstream wake-promoting pathways that project widely throughout the brain. Targeting the orexin system may address excessive daytime sleepiness across hypersomnolence disorders, whether or not deficient orexin signaling is the underlying cause of disease. Once-daily oral administration of alixorexton was previously evaluated in a phase 1 study in healthy volunteers and patients with NT1, NT2 and IH. In 2025, we completed, and announced positive topline data from, two phase 2 studies, Vibrance-1 and Vibrance-2, in patients with NT1 and NT2, respectively. We plan to initiate a phase 3 program in narcolepsy in the first quarter of 2026. Alixorexton is also currently being evaluated in Vibrance-3, a phase 2 study in patients with IH. In December 2025, the FDA granted Breakthrough Therapy designation to alixorexton for the treatment of NT1.</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LUMRYZ (sodium oxybate)</w:t>
      </w:r>
    </w:p>
    <w:p>
      <w:pPr>
        <w:spacing w:after="0" w:line="122" w:lineRule="exact"/>
        <w:rPr>
          <w:sz w:val="20"/>
          <w:szCs w:val="20"/>
          <w:color w:val="auto"/>
        </w:rPr>
      </w:pPr>
    </w:p>
    <w:p>
      <w:pPr>
        <w:ind w:left="640" w:right="779" w:firstLine="258"/>
        <w:spacing w:after="0" w:line="274" w:lineRule="auto"/>
        <w:rPr>
          <w:sz w:val="20"/>
          <w:szCs w:val="20"/>
          <w:color w:val="auto"/>
        </w:rPr>
      </w:pPr>
      <w:r>
        <w:rPr>
          <w:rFonts w:ascii="Times New Roman" w:cs="Times New Roman" w:eastAsia="Times New Roman" w:hAnsi="Times New Roman"/>
          <w:sz w:val="14"/>
          <w:szCs w:val="14"/>
          <w:color w:val="auto"/>
        </w:rPr>
        <w:t>LUMRYZ (sodium oxybate) extended-release oral suspension is currently being evaluated in REVITALYZ, a double-blind, placebo-controlled, randomized withdrawal, multicenter phase 3 study designed to evaluate efficacy and safety in adult patients with IH. In December 2025, patient enrollment in REVITALYZ was completed.</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Collaborative Arrangements</w:t>
      </w:r>
    </w:p>
    <w:p>
      <w:pPr>
        <w:spacing w:after="0" w:line="120" w:lineRule="exact"/>
        <w:rPr>
          <w:sz w:val="20"/>
          <w:szCs w:val="20"/>
          <w:color w:val="auto"/>
        </w:rPr>
      </w:pPr>
    </w:p>
    <w:p>
      <w:pPr>
        <w:jc w:val="both"/>
        <w:ind w:left="640" w:right="899" w:firstLine="258"/>
        <w:spacing w:after="0" w:line="274" w:lineRule="auto"/>
        <w:rPr>
          <w:sz w:val="20"/>
          <w:szCs w:val="20"/>
          <w:color w:val="auto"/>
        </w:rPr>
      </w:pPr>
      <w:r>
        <w:rPr>
          <w:rFonts w:ascii="Times New Roman" w:cs="Times New Roman" w:eastAsia="Times New Roman" w:hAnsi="Times New Roman"/>
          <w:sz w:val="14"/>
          <w:szCs w:val="14"/>
          <w:color w:val="auto"/>
        </w:rPr>
        <w:t>We have entered into several collaborative arrangements to develop and commercialize products and, in connection with such arrangements, to access or provide access to, technological, financial, marketing, manufacturing and other resources, including the arrangements described below.</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Janssen</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u w:val="single" w:color="auto"/>
          <w:color w:val="auto"/>
        </w:rPr>
        <w:t>INVEGA SUSTENNA/XEPLION, INVEGA TRINZA/TREVICTA and INVEGA HAFYERA/BYANNLI</w:t>
      </w:r>
    </w:p>
    <w:p>
      <w:pPr>
        <w:spacing w:after="0" w:line="1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Under an exclusive license agreement with Janssen, we provided Janssen with rights to, and know-how, training and technical</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assistance in respect of, our small particle pharmaceutical compound technology, known as NANOCRYSTAL technology, which was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used to develop the long-acting INVEGA products, and we received milestone payments from Janssen upon the achievement of</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certain development goals. There are no further milestones to be earned under this agreement. The agreement also provides for royalty</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payments, which consist of a patent royalty and a know-how royalty, both of which are determined on a country-by-country basis.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patent royalty, which equals 1.5% of net sales, is payable in each country until the expiration of the last of the patents with valid</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claims applicable to the product in such country. As of August 30, 2024, all patent royalties had expired. The know-how royalty is a</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tiered royalty of 3.5% on calendar year net sales up to $250 million; 5.5% on calendar year net sales of between $250 million and</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$500 million; and 7.5% on calendar year net sales exceeding $500 million. The know-how royalty rate resets to 3.5% at the beginning</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of each calendar year and is payable until 15 years from the first commercial sale of a product in each individual country, subject to</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expiry of the agreement. These royalty payments may be reduced in any country based on patent litigation or on competing products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achieving certain minimum sales thresholds. The license agreement, unless earlier terminated, terminates upon the expiration of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last of the patents subject to the agreement. After expiration, Janssen retains a non-exclusive, royalty free license to develop,</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manufacture and commercialize the products subject to certain surviving obligations.</w:t>
      </w:r>
    </w:p>
    <w:p>
      <w:pPr>
        <w:spacing w:after="0" w:line="115"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color w:val="auto"/>
        </w:rPr>
        <w:t>Janssen may terminate the license agreement in whole or in part upon three months’ notice to us. We and Janssen have the right to terminate the agreement upon a material breach of the other party which is not cured within a certain time period, or upon the other party’s bankruptcy or insolvency. In November 2021, we received notice from Janssen of partial termination of the license agreement, following which Janssen ceased paying us royalties related to U.S. sales of INVEGA SUSTENNA, INVEGA TRINZA and INVEGA HAFYERA. In April 2022, we commenced binding arbitration proceedings related to, among other things, Janssen’s partial termination of this license agreement and Janssen’s royalty and other obligations under the agreement. In May 2023, the arbitral tribunal (the “Tribunal”) in the arbitration proceedings issued a final award (the “Final Award”) that served to reinstate the Janssen royalties and required payment by Janssen of back royalties and interest for amounts owed but not yet paid since the effective date of the partial termination. The Final Award also provided, among other things, that we were entitled to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u w:val="single" w:color="auto"/>
          <w:color w:val="auto"/>
        </w:rPr>
        <w:t>RISPERDAL CONSTA</w:t>
      </w:r>
    </w:p>
    <w:p>
      <w:pPr>
        <w:spacing w:after="0" w:line="129" w:lineRule="exact"/>
        <w:rPr>
          <w:sz w:val="20"/>
          <w:szCs w:val="20"/>
          <w:color w:val="auto"/>
        </w:rPr>
      </w:pPr>
    </w:p>
    <w:p>
      <w:pPr>
        <w:ind w:left="640" w:right="659" w:firstLine="258"/>
        <w:spacing w:after="0" w:line="274" w:lineRule="auto"/>
        <w:rPr>
          <w:sz w:val="20"/>
          <w:szCs w:val="20"/>
          <w:color w:val="auto"/>
        </w:rPr>
      </w:pPr>
      <w:r>
        <w:rPr>
          <w:rFonts w:ascii="Times New Roman" w:cs="Times New Roman" w:eastAsia="Times New Roman" w:hAnsi="Times New Roman"/>
          <w:sz w:val="14"/>
          <w:szCs w:val="14"/>
          <w:color w:val="auto"/>
        </w:rPr>
        <w:t>Under a product development agreement, we collaborated with Janssen on the development of RISPERDAL CONSTA. Under the development agreement, Janssen provided funding to us for the development of RISPERDAL CONSTA, and Janssen is responsible for securing all necessary regulatory approvals for the product.</w:t>
      </w:r>
    </w:p>
    <w:p>
      <w:pPr>
        <w:spacing w:after="0" w:line="82"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color w:val="auto"/>
        </w:rPr>
        <w:t>Under two license agreements, we granted Janssen and an affiliate of Janssen exclusive worldwide licenses to use and sell RISPERDAL CONSTA. Under our license agreements with Janssen, we receive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us. Either party may terminate the license agreements by written notice following a breach which continues for 90 days after the delivery of written notice thereof or upon the other party’s insolvency. The licenses granted to Janssen expire on a country-by-country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15-year minimum shall pertain regardless. After expiration, Janssen retains a non-exclusive, royalty-free license to manufacture, use and sell RISPERDAL CONSTA.</w:t>
      </w:r>
    </w:p>
    <w:p>
      <w:pPr>
        <w:spacing w:after="0" w:line="85" w:lineRule="exact"/>
        <w:rPr>
          <w:sz w:val="20"/>
          <w:szCs w:val="20"/>
          <w:color w:val="auto"/>
        </w:rPr>
      </w:pPr>
    </w:p>
    <w:p>
      <w:pPr>
        <w:ind w:left="640" w:right="659" w:firstLine="258"/>
        <w:spacing w:after="0" w:line="260" w:lineRule="auto"/>
        <w:rPr>
          <w:sz w:val="20"/>
          <w:szCs w:val="20"/>
          <w:color w:val="auto"/>
        </w:rPr>
      </w:pPr>
      <w:r>
        <w:rPr>
          <w:rFonts w:ascii="Times New Roman" w:cs="Times New Roman" w:eastAsia="Times New Roman" w:hAnsi="Times New Roman"/>
          <w:sz w:val="14"/>
          <w:szCs w:val="14"/>
          <w:color w:val="auto"/>
        </w:rPr>
        <w:t>We exclusively manufacture RISPERDAL CONSTA at our Wilmington, Ohio facility for commercial sale. Under our manufacturing and supply agreement with Janssen, we receive manufacturing revenue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us. In the event that Janssen terminates the manufacturing and supply agreement without terminating the license agreements, the royalty rate payable to us on Janssen’s net sales of RISPERDAL CONSTA would increase from 2.5% to 5.0%.</w:t>
      </w:r>
    </w:p>
    <w:p>
      <w:pPr>
        <w:spacing w:after="0" w:line="95" w:lineRule="exact"/>
        <w:rPr>
          <w:sz w:val="20"/>
          <w:szCs w:val="20"/>
          <w:color w:val="auto"/>
        </w:rPr>
      </w:pPr>
    </w:p>
    <w:p>
      <w:pPr>
        <w:ind w:left="640" w:right="759" w:firstLine="258"/>
        <w:spacing w:after="0" w:line="292" w:lineRule="auto"/>
        <w:rPr>
          <w:sz w:val="20"/>
          <w:szCs w:val="20"/>
          <w:color w:val="auto"/>
        </w:rPr>
      </w:pPr>
      <w:r>
        <w:rPr>
          <w:rFonts w:ascii="Times New Roman" w:cs="Times New Roman" w:eastAsia="Times New Roman" w:hAnsi="Times New Roman"/>
          <w:sz w:val="14"/>
          <w:szCs w:val="14"/>
          <w:color w:val="auto"/>
        </w:rPr>
        <w:t>Revenues from our collaborative arrangements with Janssen accounted for approximately 9%, 17% and 31% of our consolidated revenues for the years ended December 31, 2025, 2024 and 2023, respectively.</w:t>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Biogen</w:t>
      </w:r>
    </w:p>
    <w:p>
      <w:pPr>
        <w:spacing w:after="0" w:line="122" w:lineRule="exact"/>
        <w:rPr>
          <w:sz w:val="20"/>
          <w:szCs w:val="20"/>
          <w:color w:val="auto"/>
        </w:rPr>
      </w:pPr>
    </w:p>
    <w:p>
      <w:pPr>
        <w:ind w:left="640" w:right="899" w:firstLine="258"/>
        <w:spacing w:after="0" w:line="274" w:lineRule="auto"/>
        <w:rPr>
          <w:sz w:val="20"/>
          <w:szCs w:val="20"/>
          <w:color w:val="auto"/>
        </w:rPr>
      </w:pPr>
      <w:r>
        <w:rPr>
          <w:rFonts w:ascii="Times New Roman" w:cs="Times New Roman" w:eastAsia="Times New Roman" w:hAnsi="Times New Roman"/>
          <w:sz w:val="14"/>
          <w:szCs w:val="14"/>
          <w:color w:val="auto"/>
        </w:rPr>
        <w:t>Under a license and collaboration agreement with Biogen, we granted Biogen a worldwide, exclusive, sublicensable license to develop, manufacture and commercialize VUMERITY and other products covered by patents licensed to Biogen under that agreement.</w:t>
      </w:r>
    </w:p>
    <w:p>
      <w:pPr>
        <w:spacing w:after="0" w:line="82" w:lineRule="exact"/>
        <w:rPr>
          <w:sz w:val="20"/>
          <w:szCs w:val="20"/>
          <w:color w:val="auto"/>
        </w:rPr>
      </w:pPr>
    </w:p>
    <w:p>
      <w:pPr>
        <w:ind w:left="640" w:right="699" w:firstLine="258"/>
        <w:spacing w:after="0" w:line="268" w:lineRule="auto"/>
        <w:rPr>
          <w:sz w:val="20"/>
          <w:szCs w:val="20"/>
          <w:color w:val="auto"/>
        </w:rPr>
      </w:pPr>
      <w:r>
        <w:rPr>
          <w:rFonts w:ascii="Times New Roman" w:cs="Times New Roman" w:eastAsia="Times New Roman" w:hAnsi="Times New Roman"/>
          <w:sz w:val="14"/>
          <w:szCs w:val="14"/>
          <w:color w:val="auto"/>
        </w:rPr>
        <w:t>Under this license and collaboration agreement, we received an upfront cash payment and milestone payments related to the achievement of certain milestones. We are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86" w:lineRule="exact"/>
        <w:rPr>
          <w:sz w:val="20"/>
          <w:szCs w:val="20"/>
          <w:color w:val="auto"/>
        </w:rPr>
      </w:pPr>
    </w:p>
    <w:p>
      <w:pPr>
        <w:ind w:left="640" w:right="699" w:firstLine="258"/>
        <w:spacing w:after="0" w:line="262" w:lineRule="auto"/>
        <w:rPr>
          <w:sz w:val="20"/>
          <w:szCs w:val="20"/>
          <w:color w:val="auto"/>
        </w:rPr>
      </w:pPr>
      <w:r>
        <w:rPr>
          <w:rFonts w:ascii="Times New Roman" w:cs="Times New Roman" w:eastAsia="Times New Roman" w:hAnsi="Times New Roman"/>
          <w:sz w:val="14"/>
          <w:szCs w:val="14"/>
          <w:color w:val="auto"/>
        </w:rPr>
        <w:t>In addition, we receive a 15% royalty, subject to increases for VUMERITY manufactured and/or packaged by Biogen or its designees, on worldwide net sales of VUMERITY. We are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are subject to customary reductions, as set forth in the license and collaboration agreement.</w:t>
      </w:r>
    </w:p>
    <w:p>
      <w:pPr>
        <w:spacing w:after="0" w:line="80" w:lineRule="exact"/>
        <w:rPr>
          <w:sz w:val="20"/>
          <w:szCs w:val="20"/>
          <w:color w:val="auto"/>
        </w:rPr>
      </w:pPr>
    </w:p>
    <w:p>
      <w:pPr>
        <w:ind w:left="640" w:right="699" w:firstLine="258"/>
        <w:spacing w:after="0" w:line="292" w:lineRule="auto"/>
        <w:rPr>
          <w:sz w:val="20"/>
          <w:szCs w:val="20"/>
          <w:color w:val="auto"/>
        </w:rPr>
      </w:pPr>
      <w:r>
        <w:rPr>
          <w:rFonts w:ascii="Times New Roman" w:cs="Times New Roman" w:eastAsia="Times New Roman" w:hAnsi="Times New Roman"/>
          <w:sz w:val="14"/>
          <w:szCs w:val="14"/>
          <w:color w:val="auto"/>
        </w:rPr>
        <w:t>Following FDA approval of VUMERITY in 2019, Biogen is responsible for all development and commercialization activities for VUMERITY and all other products covered by the patents that we licensed to Biogen.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14" w:name="page15"/>
    <w:bookmarkEnd w:id="14"/>
    <w:p>
      <w:pPr>
        <w:ind w:left="640" w:right="679" w:firstLine="258"/>
        <w:spacing w:after="0" w:line="259" w:lineRule="auto"/>
        <w:rPr>
          <w:sz w:val="20"/>
          <w:szCs w:val="20"/>
          <w:color w:val="auto"/>
        </w:rPr>
      </w:pPr>
      <w:r>
        <w:rPr>
          <w:rFonts w:ascii="Times New Roman" w:cs="Times New Roman" w:eastAsia="Times New Roman" w:hAnsi="Times New Roman"/>
          <w:sz w:val="14"/>
          <w:szCs w:val="14"/>
          <w:color w:val="auto"/>
        </w:rPr>
        <w:t>Under the license and collaboration agreement, Biogen appointed us as the toll manufacturer of clinical and commercial supplies of VUMERITY, subject to Biogen’s right to manufacture or have manufactured commercial supplies as a back-up manufacturer. In October 2019, we entered into a commercial supply agreement with Biogen for the commercial supply of VUMERITY, an amendment to such commercial supply agreement and an amendment to the license and collaboration agreement with Biogen, pursuant to which Biogen has, following a completed technology transfer and an agreed manufacturing transition period, assumed all responsibility for the manufacture (itself or through a designee) of clinical and commercial supplies of VUMERITY in exchange for an increase in the royalty rate to be paid by Biogen to us on net sales of product that is manufactured by Biogen or its designee. In May 2024, we completed the sale of our research and development business and manufacturing facility in Athlone, Ireland (the “Athlone Facility”) where VUMERITY was manufactured. In connection with the sale of the Athlone Facility, we entered into a subcontracting arrangement with the purchaser of the Athlone Facility for the manufacture of VUMERITY through the manufacturing transition period, which concluded in August 2025.</w:t>
      </w:r>
    </w:p>
    <w:p>
      <w:pPr>
        <w:spacing w:after="0" w:line="97" w:lineRule="exact"/>
        <w:rPr>
          <w:sz w:val="20"/>
          <w:szCs w:val="20"/>
          <w:color w:val="auto"/>
        </w:rPr>
      </w:pPr>
    </w:p>
    <w:p>
      <w:pPr>
        <w:ind w:left="640" w:right="679" w:firstLine="258"/>
        <w:spacing w:after="0" w:line="264" w:lineRule="auto"/>
        <w:rPr>
          <w:sz w:val="20"/>
          <w:szCs w:val="20"/>
          <w:color w:val="auto"/>
        </w:rPr>
      </w:pPr>
      <w:r>
        <w:rPr>
          <w:rFonts w:ascii="Times New Roman" w:cs="Times New Roman" w:eastAsia="Times New Roman" w:hAnsi="Times New Roman"/>
          <w:sz w:val="14"/>
          <w:szCs w:val="14"/>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us.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our request, the VUMERITY program will revert to us.</w:t>
      </w:r>
    </w:p>
    <w:p>
      <w:pPr>
        <w:spacing w:after="0" w:line="264" w:lineRule="exact"/>
        <w:rPr>
          <w:sz w:val="20"/>
          <w:szCs w:val="20"/>
          <w:color w:val="auto"/>
        </w:rPr>
      </w:pPr>
    </w:p>
    <w:p>
      <w:pPr>
        <w:ind w:left="640" w:right="879" w:firstLine="258"/>
        <w:spacing w:after="0" w:line="292" w:lineRule="auto"/>
        <w:rPr>
          <w:sz w:val="20"/>
          <w:szCs w:val="20"/>
          <w:color w:val="auto"/>
        </w:rPr>
      </w:pPr>
      <w:r>
        <w:rPr>
          <w:rFonts w:ascii="Times New Roman" w:cs="Times New Roman" w:eastAsia="Times New Roman" w:hAnsi="Times New Roman"/>
          <w:sz w:val="14"/>
          <w:szCs w:val="14"/>
          <w:color w:val="auto"/>
        </w:rPr>
        <w:t>Revenues from Biogen related to this license and collaboration agreement accounted for approximately 9%, 9% and 8% of our consolidated revenues for the years ended December 31, 2025, 2024 and 2023, respectively.</w:t>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Proprietary Technology Platforms</w:t>
      </w:r>
    </w:p>
    <w:p>
      <w:pPr>
        <w:spacing w:after="0" w:line="131" w:lineRule="exact"/>
        <w:rPr>
          <w:sz w:val="20"/>
          <w:szCs w:val="20"/>
          <w:color w:val="auto"/>
        </w:rPr>
      </w:pPr>
    </w:p>
    <w:p>
      <w:pPr>
        <w:ind w:left="640" w:right="1179" w:firstLine="258"/>
        <w:spacing w:after="0" w:line="292" w:lineRule="auto"/>
        <w:rPr>
          <w:sz w:val="20"/>
          <w:szCs w:val="20"/>
          <w:color w:val="auto"/>
        </w:rPr>
      </w:pPr>
      <w:r>
        <w:rPr>
          <w:rFonts w:ascii="Times New Roman" w:cs="Times New Roman" w:eastAsia="Times New Roman" w:hAnsi="Times New Roman"/>
          <w:sz w:val="14"/>
          <w:szCs w:val="14"/>
          <w:color w:val="auto"/>
        </w:rPr>
        <w:t>We have used our proprietary technology platforms, which include technologies owned and exclusively licensed to us, to establish drug development, clinical development and regulatory expertise and in the development of our products.</w:t>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Injectable Extended-Release Microsphere Technology</w:t>
      </w:r>
    </w:p>
    <w:p>
      <w:pPr>
        <w:spacing w:after="0" w:line="122" w:lineRule="exact"/>
        <w:rPr>
          <w:sz w:val="20"/>
          <w:szCs w:val="20"/>
          <w:color w:val="auto"/>
        </w:rPr>
      </w:pPr>
    </w:p>
    <w:p>
      <w:pPr>
        <w:ind w:left="640" w:right="679" w:firstLine="258"/>
        <w:spacing w:after="0" w:line="263" w:lineRule="auto"/>
        <w:rPr>
          <w:sz w:val="20"/>
          <w:szCs w:val="20"/>
          <w:color w:val="auto"/>
        </w:rPr>
      </w:pPr>
      <w:r>
        <w:rPr>
          <w:rFonts w:ascii="Times New Roman" w:cs="Times New Roman" w:eastAsia="Times New Roman" w:hAnsi="Times New Roman"/>
          <w:sz w:val="14"/>
          <w:szCs w:val="14"/>
          <w:color w:val="auto"/>
        </w:rPr>
        <w:t>Our injectable extended-release microsphere technology allows us to encapsulate small-molecule pharmaceuticals, peptides and proteins in microspheres made of common medical polymers. The technology is designed to enable novel formulations of pharmaceuticals by providing controlled, extended release of drugs over time. Drug release from the microsphere is controlled by diffusion of the drug through the microsphere and by biodegradation of the polymer. These processes can be modulated through a number of formulation and fabrication variables, including drug substance and microsphere particle sizing and choice of polymers and excipients.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LINKERX Technology</w:t>
      </w:r>
    </w:p>
    <w:p>
      <w:pPr>
        <w:spacing w:after="0" w:line="122" w:lineRule="exact"/>
        <w:rPr>
          <w:sz w:val="20"/>
          <w:szCs w:val="20"/>
          <w:color w:val="auto"/>
        </w:rPr>
      </w:pPr>
    </w:p>
    <w:p>
      <w:pPr>
        <w:ind w:left="640" w:right="899" w:firstLine="258"/>
        <w:spacing w:after="0" w:line="274" w:lineRule="auto"/>
        <w:rPr>
          <w:sz w:val="20"/>
          <w:szCs w:val="20"/>
          <w:color w:val="auto"/>
        </w:rPr>
      </w:pPr>
      <w:r>
        <w:rPr>
          <w:rFonts w:ascii="Times New Roman" w:cs="Times New Roman" w:eastAsia="Times New Roman" w:hAnsi="Times New Roman"/>
          <w:sz w:val="14"/>
          <w:szCs w:val="14"/>
          <w:color w:val="auto"/>
        </w:rPr>
        <w:t>Our long-acting LINKERX technology platform is designed to enable the creation of extended-release injectable versions of antipsychotic therapies and may also be useful in other disease areas in which extended duration of action may provide therapeutic benefits. The technology uses proprietary linker-tail chemistry to create new molecular entities derived from known agents.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NANOCRYSTAL Technology</w:t>
      </w:r>
    </w:p>
    <w:p>
      <w:pPr>
        <w:spacing w:after="0" w:line="122" w:lineRule="exact"/>
        <w:rPr>
          <w:sz w:val="20"/>
          <w:szCs w:val="20"/>
          <w:color w:val="auto"/>
        </w:rPr>
      </w:pPr>
    </w:p>
    <w:p>
      <w:pPr>
        <w:ind w:left="640" w:right="679" w:firstLine="258"/>
        <w:spacing w:after="0" w:line="267" w:lineRule="auto"/>
        <w:rPr>
          <w:sz w:val="20"/>
          <w:szCs w:val="20"/>
          <w:color w:val="auto"/>
        </w:rPr>
      </w:pPr>
      <w:r>
        <w:rPr>
          <w:rFonts w:ascii="Times New Roman" w:cs="Times New Roman" w:eastAsia="Times New Roman" w:hAnsi="Times New Roman"/>
          <w:sz w:val="14"/>
          <w:szCs w:val="14"/>
          <w:color w:val="auto"/>
        </w:rPr>
        <w:t>Our NANOCRYSTAL technology is applicable to poorly water-soluble compounds and involves formulating and stabilizing drugs into particles that are nanometers in size. A drug in NANOCRYSTAL form can be incorporated into a range of common dosage forms, including tablets, capsules, inhalation devices and sterile forms for injection, with the potential for enhanced oral bioavailability, increased therapeutic effectiveness, reduced/eliminated fed/fasted variability and sustained duration of intravenous/intramuscular release.</w:t>
      </w: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Oral Controlled Release Technology</w:t>
      </w:r>
    </w:p>
    <w:p>
      <w:pPr>
        <w:spacing w:after="0" w:line="122" w:lineRule="exact"/>
        <w:rPr>
          <w:sz w:val="20"/>
          <w:szCs w:val="20"/>
          <w:color w:val="auto"/>
        </w:rPr>
      </w:pPr>
    </w:p>
    <w:p>
      <w:pPr>
        <w:ind w:left="640" w:right="1299" w:firstLine="258"/>
        <w:spacing w:after="0" w:line="292" w:lineRule="auto"/>
        <w:rPr>
          <w:sz w:val="20"/>
          <w:szCs w:val="20"/>
          <w:color w:val="auto"/>
        </w:rPr>
      </w:pPr>
      <w:r>
        <w:rPr>
          <w:rFonts w:ascii="Times New Roman" w:cs="Times New Roman" w:eastAsia="Times New Roman" w:hAnsi="Times New Roman"/>
          <w:sz w:val="14"/>
          <w:szCs w:val="14"/>
          <w:color w:val="auto"/>
        </w:rPr>
        <w:t>Our oral controlled release (“OCR”) technologies are used to formulate, develop and manufacture oral dosage forms of pharmaceutical products with varied drug release profiles.</w:t>
      </w:r>
    </w:p>
    <w:p>
      <w:pPr>
        <w:spacing w:after="0" w:line="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MICROPUMP Technology</w:t>
      </w:r>
    </w:p>
    <w:p>
      <w:pPr>
        <w:spacing w:after="0" w:line="1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Our MICROPUMP technology allows for the development of modified release solid, oral dosage drug formulations.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b w:val="1"/>
          <w:bCs w:val="1"/>
          <w:color w:val="2E74B5"/>
        </w:rPr>
        <w:t>Manufacturing and Product Supply</w:t>
      </w:r>
    </w:p>
    <w:p>
      <w:pPr>
        <w:spacing w:after="0" w:line="131" w:lineRule="exact"/>
        <w:rPr>
          <w:sz w:val="20"/>
          <w:szCs w:val="20"/>
          <w:color w:val="auto"/>
        </w:rPr>
      </w:pPr>
    </w:p>
    <w:p>
      <w:pPr>
        <w:ind w:left="640" w:right="679" w:firstLine="258"/>
        <w:spacing w:after="0" w:line="262" w:lineRule="auto"/>
        <w:rPr>
          <w:sz w:val="20"/>
          <w:szCs w:val="20"/>
          <w:color w:val="auto"/>
        </w:rPr>
      </w:pPr>
      <w:r>
        <w:rPr>
          <w:rFonts w:ascii="Times New Roman" w:cs="Times New Roman" w:eastAsia="Times New Roman" w:hAnsi="Times New Roman"/>
          <w:sz w:val="14"/>
          <w:szCs w:val="14"/>
          <w:color w:val="auto"/>
        </w:rPr>
        <w:t>We own and occupy a manufacturing facility in Wilmington, Ohio. For products that we manufacture, we either purchase active pharmaceutical ingredient (“API”) from third parties or receive it from our third-party licensees. Our manufacturing and development capabilities include formulation through process development, scale-up and full-scale commercial manufacturing and specialized capabilities for the development and manufacture of controlled substances. We also contract with third party suppliers and contract manufacturers for the purchase of certain API or other raw materials or components of our products and for the manufacture of certain drug product. The manufacture of our products for clinical trials and commercial use, whether by us or third parties, is subject to Current Good Manufacturing Practices (“cGMP”) regulations and other regulations.</w:t>
      </w:r>
    </w:p>
    <w:p>
      <w:pPr>
        <w:spacing w:after="0" w:line="91" w:lineRule="exact"/>
        <w:rPr>
          <w:sz w:val="20"/>
          <w:szCs w:val="20"/>
          <w:color w:val="auto"/>
        </w:rPr>
      </w:pPr>
    </w:p>
    <w:p>
      <w:pPr>
        <w:ind w:left="640" w:right="679" w:firstLine="258"/>
        <w:spacing w:after="0" w:line="268" w:lineRule="auto"/>
        <w:rPr>
          <w:sz w:val="20"/>
          <w:szCs w:val="20"/>
          <w:color w:val="auto"/>
        </w:rPr>
      </w:pPr>
      <w:r>
        <w:rPr>
          <w:rFonts w:ascii="Times New Roman" w:cs="Times New Roman" w:eastAsia="Times New Roman" w:hAnsi="Times New Roman"/>
          <w:sz w:val="14"/>
          <w:szCs w:val="14"/>
          <w:color w:val="auto"/>
        </w:rPr>
        <w:t>Although some materials and related services for our products are currently only available from a single source or a limited number of qualified sources, we attempt to acquire an adequate inventory of such materials, establish alternative sources for such materials and related services and/or negotiate long-term supply arrangements. However, we cannot be certain that we will continue to be able to obtain long-term supplies of our manufacturing materials or long-term provision of related services.</w:t>
      </w:r>
    </w:p>
    <w:p>
      <w:pPr>
        <w:spacing w:after="0" w:line="76" w:lineRule="exact"/>
        <w:rPr>
          <w:sz w:val="20"/>
          <w:szCs w:val="20"/>
          <w:color w:val="auto"/>
        </w:rPr>
      </w:pPr>
    </w:p>
    <w:p>
      <w:pPr>
        <w:ind w:left="640" w:right="659" w:firstLine="258"/>
        <w:spacing w:after="0" w:line="263" w:lineRule="auto"/>
        <w:rPr>
          <w:sz w:val="20"/>
          <w:szCs w:val="20"/>
          <w:color w:val="auto"/>
        </w:rPr>
      </w:pPr>
      <w:r>
        <w:rPr>
          <w:rFonts w:ascii="Times New Roman" w:cs="Times New Roman" w:eastAsia="Times New Roman" w:hAnsi="Times New Roman"/>
          <w:sz w:val="14"/>
          <w:szCs w:val="14"/>
          <w:color w:val="auto"/>
        </w:rPr>
        <w:t>Our supply chain includes an external network of third-party service providers involved in the manufacture of our products whose manufacturing facilities and processes are, like ours, subject to inspection by the FDA or comparable agencies in other jurisdictions. Any delay, interruption or other issues that arise in the acquisition of API, raw materials, or components, or in the manufacture, fill-finish, packaging, or storage of our marketed or development products, including as a result of a failure of our facilities or the facilities or operations of third parties to pass any regulatory agency inspection, could significantly impair our ability to manufacture and market our products or advance our development efforts, as the case may be.</w:t>
      </w:r>
    </w:p>
    <w:p>
      <w:pPr>
        <w:spacing w:after="0" w:line="91" w:lineRule="exact"/>
        <w:rPr>
          <w:sz w:val="20"/>
          <w:szCs w:val="20"/>
          <w:color w:val="auto"/>
        </w:rPr>
      </w:pPr>
    </w:p>
    <w:p>
      <w:pPr>
        <w:ind w:left="640" w:right="759" w:firstLine="258"/>
        <w:spacing w:after="0" w:line="263" w:lineRule="auto"/>
        <w:rPr>
          <w:sz w:val="20"/>
          <w:szCs w:val="20"/>
          <w:color w:val="auto"/>
        </w:rPr>
      </w:pPr>
      <w:r>
        <w:rPr>
          <w:rFonts w:ascii="Times New Roman" w:cs="Times New Roman" w:eastAsia="Times New Roman" w:hAnsi="Times New Roman"/>
          <w:sz w:val="14"/>
          <w:szCs w:val="14"/>
          <w:color w:val="auto"/>
        </w:rPr>
        <w:t>In May 2024, we completed the sale of our Athlone Facility and related business to Novo Nordisk (“Novo”) and entered into subcontracting arrangements to continue certain development and manufacturing activities performed at the Athlone Facility for a period of time after the closing of the transaction, which concluded by the end of 2025. For information about risks relating to the manufacture of our marketed products and product candidates, see “Item 1A—Risk Factors” in this Annual Report and specifically those sections entitled “We rely on third parties to provide goods and services in connection with the manufacture and distribution of our products” and “We are subject to risks related to the manufacture of our products.”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Marketed Products</w:t>
      </w:r>
    </w:p>
    <w:p>
      <w:pPr>
        <w:spacing w:after="0" w:line="133" w:lineRule="exact"/>
        <w:rPr>
          <w:sz w:val="20"/>
          <w:szCs w:val="20"/>
          <w:color w:val="auto"/>
        </w:rPr>
      </w:pPr>
    </w:p>
    <w:p>
      <w:pPr>
        <w:ind w:left="640" w:right="659" w:firstLine="258"/>
        <w:spacing w:after="0" w:line="262" w:lineRule="auto"/>
        <w:rPr>
          <w:sz w:val="20"/>
          <w:szCs w:val="20"/>
          <w:color w:val="auto"/>
        </w:rPr>
      </w:pPr>
      <w:r>
        <w:rPr>
          <w:rFonts w:ascii="Times New Roman" w:cs="Times New Roman" w:eastAsia="Times New Roman" w:hAnsi="Times New Roman"/>
          <w:sz w:val="14"/>
          <w:szCs w:val="14"/>
          <w:color w:val="auto"/>
        </w:rPr>
        <w:t>We manufacture ARISTADA, ARISTADA INITIO, LYBALVI, VIVITROL and microspheres for RISPERDAL CONSTA at our Wilmington, Ohio facility. We outsource our packaging operations for ARISTADA, ARISTADA INITIO, LYBALVI and VIVITROL to third-party contractors. Janssen is responsible for packaging operations for RISPERDAL CONSTA. Our Wilmington, Ohio facility has been inspected by U.S., European (including the UK Medicines and Healthcare products Regulatory Agency), Chinese, Japanese, Brazilian, Turkish, Russian and Saudi Arabian regulatory authorities for compliance with required cGMP standards for continued commercial manufacturing. For more information about our Wilmington, Ohio manufacturing facility, see “Item 2—Properties” in this Annual Report.</w:t>
      </w:r>
    </w:p>
    <w:p>
      <w:pPr>
        <w:spacing w:after="0" w:line="91" w:lineRule="exact"/>
        <w:rPr>
          <w:sz w:val="20"/>
          <w:szCs w:val="20"/>
          <w:color w:val="auto"/>
        </w:rPr>
      </w:pPr>
    </w:p>
    <w:p>
      <w:pPr>
        <w:ind w:left="640" w:right="679" w:firstLine="258"/>
        <w:spacing w:after="0" w:line="263" w:lineRule="auto"/>
        <w:rPr>
          <w:sz w:val="20"/>
          <w:szCs w:val="20"/>
          <w:color w:val="auto"/>
        </w:rPr>
      </w:pPr>
      <w:r>
        <w:rPr>
          <w:rFonts w:ascii="Times New Roman" w:cs="Times New Roman" w:eastAsia="Times New Roman" w:hAnsi="Times New Roman"/>
          <w:sz w:val="14"/>
          <w:szCs w:val="14"/>
          <w:color w:val="auto"/>
        </w:rPr>
        <w:t>We purchase LUMRYZ API and outsource the manufacturing of LUMRYZ drug product to several contract manufacturers in the U.S. and outside of the U.S. The manufacture and distribution of LUMRYZ is highly restricted, as its API (sodium oxybate) and finished product are Schedule I and Schedule III controlled substances in the U.S., respectively, subject to regulation by the U.S. Drug Enforcement Administration of the U.S. Department of Justice (the “DEA”) under the Controlled Substances Act (the “CSA”). Quotas from the DEA are required in order to manufacture both sodium oxybate and LUMRYZ in the U.S. and the contract manufacturer facilities are, like ours, subject to inspection and audit by the FDA and the DEA for cGMP compliance.</w:t>
      </w:r>
    </w:p>
    <w:p>
      <w:pPr>
        <w:spacing w:after="0" w:line="80" w:lineRule="exact"/>
        <w:rPr>
          <w:sz w:val="20"/>
          <w:szCs w:val="20"/>
          <w:color w:val="auto"/>
        </w:rPr>
      </w:pPr>
    </w:p>
    <w:p>
      <w:pPr>
        <w:jc w:val="both"/>
        <w:ind w:left="640" w:right="999" w:firstLine="258"/>
        <w:spacing w:after="0" w:line="274" w:lineRule="auto"/>
        <w:rPr>
          <w:sz w:val="20"/>
          <w:szCs w:val="20"/>
          <w:color w:val="auto"/>
        </w:rPr>
      </w:pPr>
      <w:r>
        <w:rPr>
          <w:rFonts w:ascii="Times New Roman" w:cs="Times New Roman" w:eastAsia="Times New Roman" w:hAnsi="Times New Roman"/>
          <w:sz w:val="14"/>
          <w:szCs w:val="14"/>
          <w:color w:val="auto"/>
        </w:rPr>
        <w:t>We were previously party, through various end dates in 2025, to subcontracting arrangements for the manufacture of several products in the Athlone Facility that are marketed by third parties, including VUMERITY. All of our subcontract manufacturing arrangements at the Athlone Facility concluded by the end of 2025.</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Clinical Products</w:t>
      </w:r>
    </w:p>
    <w:p>
      <w:pPr>
        <w:spacing w:after="0" w:line="133" w:lineRule="exact"/>
        <w:rPr>
          <w:sz w:val="20"/>
          <w:szCs w:val="20"/>
          <w:color w:val="auto"/>
        </w:rPr>
      </w:pPr>
    </w:p>
    <w:p>
      <w:pPr>
        <w:ind w:left="640" w:right="659" w:firstLine="258"/>
        <w:spacing w:after="0" w:line="268" w:lineRule="auto"/>
        <w:rPr>
          <w:sz w:val="20"/>
          <w:szCs w:val="20"/>
          <w:color w:val="auto"/>
        </w:rPr>
      </w:pPr>
      <w:r>
        <w:rPr>
          <w:rFonts w:ascii="Times New Roman" w:cs="Times New Roman" w:eastAsia="Times New Roman" w:hAnsi="Times New Roman"/>
          <w:sz w:val="14"/>
          <w:szCs w:val="14"/>
          <w:color w:val="auto"/>
        </w:rPr>
        <w:t>We manufacture clinical supplies of injectable extended-release products and solid dosage form products at our Wilmington, Ohio facility. We have also contracted with third-party manufacturers to formulate and manufacture certain products for clinical use. We require that our contract manufacturers adhere to cGMP in the manufacture of our products or components of our products for clinical use.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Research &amp; Development</w:t>
      </w:r>
    </w:p>
    <w:p>
      <w:pPr>
        <w:spacing w:after="0" w:line="133" w:lineRule="exact"/>
        <w:rPr>
          <w:sz w:val="20"/>
          <w:szCs w:val="20"/>
          <w:color w:val="auto"/>
        </w:rPr>
      </w:pPr>
    </w:p>
    <w:p>
      <w:pPr>
        <w:ind w:left="640" w:right="739" w:firstLine="258"/>
        <w:spacing w:after="0" w:line="265" w:lineRule="auto"/>
        <w:rPr>
          <w:sz w:val="20"/>
          <w:szCs w:val="20"/>
          <w:color w:val="auto"/>
        </w:rPr>
      </w:pPr>
      <w:r>
        <w:rPr>
          <w:rFonts w:ascii="Times New Roman" w:cs="Times New Roman" w:eastAsia="Times New Roman" w:hAnsi="Times New Roman"/>
          <w:sz w:val="14"/>
          <w:szCs w:val="14"/>
          <w:color w:val="auto"/>
        </w:rPr>
        <w:t>We devote significant resources to R&amp;D programs. We focus our R&amp;D efforts on developing novel therapeutics in areas of high unmet medical need. Our R&amp;D efforts include, but are not limited to, areas such as pharmaceutical formulation, analytical chemistry, process development, engineering, scale-up and drug optimization/delivery. Please see “Item 7—Management’s Discussion and Analysis of Financial Condition and Results of Operations” in this Annual Report for additional information relating to our R&amp;D expenditures.</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Permits and Regulatory Approvals</w:t>
      </w:r>
    </w:p>
    <w:p>
      <w:pPr>
        <w:spacing w:after="0" w:line="120" w:lineRule="exact"/>
        <w:rPr>
          <w:sz w:val="20"/>
          <w:szCs w:val="20"/>
          <w:color w:val="auto"/>
        </w:rPr>
      </w:pPr>
    </w:p>
    <w:p>
      <w:pPr>
        <w:ind w:left="640" w:right="679" w:firstLine="258"/>
        <w:spacing w:after="0" w:line="261" w:lineRule="auto"/>
        <w:rPr>
          <w:sz w:val="20"/>
          <w:szCs w:val="20"/>
          <w:color w:val="auto"/>
        </w:rPr>
      </w:pPr>
      <w:r>
        <w:rPr>
          <w:rFonts w:ascii="Times New Roman" w:cs="Times New Roman" w:eastAsia="Times New Roman" w:hAnsi="Times New Roman"/>
          <w:sz w:val="14"/>
          <w:szCs w:val="14"/>
          <w:color w:val="auto"/>
        </w:rPr>
        <w:t>We hold various permits, registrations, approvals and/or licenses in respect of our manufacturing and related activities. The primary licenses that we hold in this regard are FDA Registrations of Drug Establishment, and licenses from the DEA. We also hold various authorizations, licenses and certificates from the Health Products Regulatory Authority in Ireland, including an Investigational Medicinal Products Manufacturers Authorization (No. IMP074/00002) and a Manufacturers Authorization (No. M13297/00001) in respect of our offices located in Dublin, Ireland. We also hold current GMP certificates associated with each of these authorizations. Due to certain U.S. state law requirements, we also hold state licenses to cover distribution activities conducted in certain states where required. Additional Manufacturer Authorizations that we previously held in respect of the Athlone Facility were transferred to Novo with the sale of the facility and related business in May 2024.</w:t>
      </w:r>
    </w:p>
    <w:p>
      <w:pPr>
        <w:spacing w:after="0" w:line="92" w:lineRule="exact"/>
        <w:rPr>
          <w:sz w:val="20"/>
          <w:szCs w:val="20"/>
          <w:color w:val="auto"/>
        </w:rPr>
      </w:pPr>
    </w:p>
    <w:p>
      <w:pPr>
        <w:ind w:left="640" w:right="699" w:firstLine="258"/>
        <w:spacing w:after="0" w:line="263" w:lineRule="auto"/>
        <w:rPr>
          <w:sz w:val="20"/>
          <w:szCs w:val="20"/>
          <w:color w:val="auto"/>
        </w:rPr>
      </w:pPr>
      <w:r>
        <w:rPr>
          <w:rFonts w:ascii="Times New Roman" w:cs="Times New Roman" w:eastAsia="Times New Roman" w:hAnsi="Times New Roman"/>
          <w:sz w:val="14"/>
          <w:szCs w:val="14"/>
          <w:color w:val="auto"/>
        </w:rPr>
        <w:t>We do not generally act as the marketing authorization holder for products incorporating our technologies that have been developed on behalf of a licensee of such technologies. In such cases, our licensee usually holds the relevant marketing authorization from the FDA or other relevant regulatory authority, and we support this authorization as needed, including by furnishing a copy of the product’s Drug Master File, or chemistry, manufacturing and controls data, to the relevant regulator. We generally update this information annually with the relevant regulator. For our proprietary products, such as ARISTADA, ARISTADA INITIO, LUMRYZ, LYBALVI and VIVITROL, we hold the marketing authorization and related regulatory documentation ourselves.</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Marketing, Sales and Distribution</w:t>
      </w:r>
    </w:p>
    <w:p>
      <w:pPr>
        <w:spacing w:after="0" w:line="120" w:lineRule="exact"/>
        <w:rPr>
          <w:sz w:val="20"/>
          <w:szCs w:val="20"/>
          <w:color w:val="auto"/>
        </w:rPr>
      </w:pPr>
    </w:p>
    <w:p>
      <w:pPr>
        <w:ind w:left="640" w:right="799" w:firstLine="258"/>
        <w:spacing w:after="0" w:line="262" w:lineRule="auto"/>
        <w:rPr>
          <w:sz w:val="20"/>
          <w:szCs w:val="20"/>
          <w:color w:val="auto"/>
        </w:rPr>
      </w:pPr>
      <w:r>
        <w:rPr>
          <w:rFonts w:ascii="Times New Roman" w:cs="Times New Roman" w:eastAsia="Times New Roman" w:hAnsi="Times New Roman"/>
          <w:sz w:val="14"/>
          <w:szCs w:val="14"/>
          <w:color w:val="auto"/>
        </w:rPr>
        <w:t>We are responsible for the marketing of ARISTADA, ARISTADA INITIO, LYBALVI, LUMRYZ and VIVITROL in the U.S. We focus our sales and marketing efforts on physicians in private practice and in public treatment systems. We believe that we use customary pharmaceutical company practices to market our products, including through advertisements, professional symposia, selling initiatives and other methods, and to educate individual physicians, nurses, social workers, counselors and other stakeholders involved in the treatment of opioid dependence, alcohol dependence, schizophrenia, bipolar I disorder and narcolepsy. We provide, and contract with third-party vendors to provide, customer services and other related programs for our products, such as product-specific websites, insurance research services and order, delivery and fulfillment services.</w:t>
      </w:r>
    </w:p>
    <w:p>
      <w:pPr>
        <w:spacing w:after="0" w:line="91" w:lineRule="exact"/>
        <w:rPr>
          <w:sz w:val="20"/>
          <w:szCs w:val="20"/>
          <w:color w:val="auto"/>
        </w:rPr>
      </w:pPr>
    </w:p>
    <w:p>
      <w:pPr>
        <w:ind w:left="640" w:right="719" w:firstLine="258"/>
        <w:spacing w:after="0" w:line="268" w:lineRule="auto"/>
        <w:rPr>
          <w:sz w:val="20"/>
          <w:szCs w:val="20"/>
          <w:color w:val="auto"/>
        </w:rPr>
      </w:pPr>
      <w:r>
        <w:rPr>
          <w:rFonts w:ascii="Times New Roman" w:cs="Times New Roman" w:eastAsia="Times New Roman" w:hAnsi="Times New Roman"/>
          <w:sz w:val="14"/>
          <w:szCs w:val="14"/>
          <w:color w:val="auto"/>
        </w:rPr>
        <w:t>Our sales force for VIVITROL in the U.S. consisted of approximately 105 individuals as of December 31, 2025. VIVITROL is primarily sold to pharmaceutical wholesalers, pharmacies, specialty distributors and treatment providers. Product sales of VIVITROL during the year ended December 31, 2025 to McKesson Corporation, Cardinal Health and Cencora, Inc. (formerly known as Amerisource Bergen, “Cencora”) represented approximately 38%, 15% and 18%, respectively, of total VIVITROL gross sales.</w:t>
      </w:r>
    </w:p>
    <w:p>
      <w:pPr>
        <w:spacing w:after="0" w:line="86" w:lineRule="exact"/>
        <w:rPr>
          <w:sz w:val="20"/>
          <w:szCs w:val="20"/>
          <w:color w:val="auto"/>
        </w:rPr>
      </w:pPr>
    </w:p>
    <w:p>
      <w:pPr>
        <w:ind w:left="640" w:right="659" w:firstLine="258"/>
        <w:spacing w:after="0" w:line="263" w:lineRule="auto"/>
        <w:rPr>
          <w:sz w:val="20"/>
          <w:szCs w:val="20"/>
          <w:color w:val="auto"/>
        </w:rPr>
      </w:pPr>
      <w:r>
        <w:rPr>
          <w:rFonts w:ascii="Times New Roman" w:cs="Times New Roman" w:eastAsia="Times New Roman" w:hAnsi="Times New Roman"/>
          <w:sz w:val="14"/>
          <w:szCs w:val="14"/>
          <w:color w:val="auto"/>
        </w:rPr>
        <w:t>Our sales force for ARISTADA, ARISTADA INITIO and LYBALVI in the U.S. consisted of approximately 435 individuals as of December 31, 2025. ARISTADA, ARISTADA INITIO and LYBALVI are primarily sold to pharmaceutical wholesalers. Product sales of ARISTADA and ARISTADA INITIO during the year ended December 31, 2025 to McKesson Corporation, Cardinal Health and Cencora represented approximately 48%, 22% and 24%, respectively, of total ARISTADA and ARISTADA INITIO gross sales. Product sales of LYBALVI during the year ended December 31, 2025 to McKesson Corporation, Cardinal Health and Cencora represented approximately 32%, 29% and 35%, respectively, of total LYBALVI gross sales.</w:t>
      </w:r>
    </w:p>
    <w:p>
      <w:pPr>
        <w:spacing w:after="0" w:line="80" w:lineRule="exact"/>
        <w:rPr>
          <w:sz w:val="20"/>
          <w:szCs w:val="20"/>
          <w:color w:val="auto"/>
        </w:rPr>
      </w:pPr>
    </w:p>
    <w:p>
      <w:pPr>
        <w:ind w:left="640" w:right="739" w:firstLine="258"/>
        <w:spacing w:after="0" w:line="268" w:lineRule="auto"/>
        <w:rPr>
          <w:sz w:val="20"/>
          <w:szCs w:val="20"/>
          <w:color w:val="auto"/>
        </w:rPr>
      </w:pPr>
      <w:r>
        <w:rPr>
          <w:rFonts w:ascii="Times New Roman" w:cs="Times New Roman" w:eastAsia="Times New Roman" w:hAnsi="Times New Roman"/>
          <w:sz w:val="14"/>
          <w:szCs w:val="14"/>
          <w:color w:val="auto"/>
        </w:rPr>
        <w:t>Our sales force for LUMRYZ in the U.S. became a part of the Company in February 2026 when we completed the Avadel Acquisition. As of the completion of the Avadel Acquisition, this sales force consisted of approximately 60 individuals. LUMRYZ is distributed through a closed network of three commercial specialty pharmacies: CVS, Accredo, and Optum, and one non-commercial specialty pharmacy: Assist Rx.</w:t>
      </w:r>
    </w:p>
    <w:p>
      <w:pPr>
        <w:spacing w:after="0" w:line="86" w:lineRule="exact"/>
        <w:rPr>
          <w:sz w:val="20"/>
          <w:szCs w:val="20"/>
          <w:color w:val="auto"/>
        </w:rPr>
      </w:pPr>
    </w:p>
    <w:p>
      <w:pPr>
        <w:ind w:left="640" w:right="839" w:firstLine="258"/>
        <w:spacing w:after="0" w:line="292" w:lineRule="auto"/>
        <w:rPr>
          <w:sz w:val="20"/>
          <w:szCs w:val="20"/>
          <w:color w:val="auto"/>
        </w:rPr>
      </w:pPr>
      <w:r>
        <w:rPr>
          <w:rFonts w:ascii="Times New Roman" w:cs="Times New Roman" w:eastAsia="Times New Roman" w:hAnsi="Times New Roman"/>
          <w:sz w:val="14"/>
          <w:szCs w:val="14"/>
          <w:color w:val="auto"/>
        </w:rPr>
        <w:t>ICS, a division of Cencora, provides warehousing, shipping and administrative services for ARISTADA, ARISTADA INITIO, LYBALVI and VIVITROL. Eversana provides warehousing, shipping and administrative services for LUMRYZ.</w:t>
      </w:r>
    </w:p>
    <w:p>
      <w:pPr>
        <w:spacing w:after="0" w:line="70" w:lineRule="exact"/>
        <w:rPr>
          <w:sz w:val="20"/>
          <w:szCs w:val="20"/>
          <w:color w:val="auto"/>
        </w:rPr>
      </w:pPr>
    </w:p>
    <w:p>
      <w:pPr>
        <w:ind w:left="640" w:right="839" w:firstLine="258"/>
        <w:spacing w:after="0" w:line="274" w:lineRule="auto"/>
        <w:rPr>
          <w:sz w:val="20"/>
          <w:szCs w:val="20"/>
          <w:color w:val="auto"/>
        </w:rPr>
      </w:pPr>
      <w:r>
        <w:rPr>
          <w:rFonts w:ascii="Times New Roman" w:cs="Times New Roman" w:eastAsia="Times New Roman" w:hAnsi="Times New Roman"/>
          <w:sz w:val="14"/>
          <w:szCs w:val="14"/>
          <w:color w:val="auto"/>
        </w:rPr>
        <w:t>Under our license agreements with Janssen, Biogen and other licensees and sublicensees, the licensees and sublicensees are typically responsible for the commercialization of any products developed under their respective agreements if and when regulatory approval is obtained.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b w:val="1"/>
          <w:bCs w:val="1"/>
          <w:color w:val="2E74B5"/>
        </w:rPr>
        <w:t>Competition</w:t>
      </w:r>
    </w:p>
    <w:p>
      <w:pPr>
        <w:spacing w:after="0" w:line="131" w:lineRule="exact"/>
        <w:rPr>
          <w:sz w:val="20"/>
          <w:szCs w:val="20"/>
          <w:color w:val="auto"/>
        </w:rPr>
      </w:pPr>
    </w:p>
    <w:p>
      <w:pPr>
        <w:ind w:left="640" w:right="759" w:firstLine="258"/>
        <w:spacing w:after="0" w:line="265" w:lineRule="auto"/>
        <w:rPr>
          <w:sz w:val="20"/>
          <w:szCs w:val="20"/>
          <w:color w:val="auto"/>
        </w:rPr>
      </w:pPr>
      <w:r>
        <w:rPr>
          <w:rFonts w:ascii="Times New Roman" w:cs="Times New Roman" w:eastAsia="Times New Roman" w:hAnsi="Times New Roman"/>
          <w:sz w:val="14"/>
          <w:szCs w:val="14"/>
          <w:color w:val="auto"/>
        </w:rPr>
        <w:t>We face intense competition in the development, manufacture, marketing and commercialization of our products from many and varied sources, such as research institutions and biopharmaceutical companies, including other companies with similar technologies. Some of these competitors are also our licensees, who control the commercialization of products from which we receive manufacturing and/or royalty revenues. In some cases, these competitors may be working to develop and market other products, systems, or other methods of preventing or reducing disease, or new small-molecule or other classes of drugs.</w:t>
      </w:r>
    </w:p>
    <w:p>
      <w:pPr>
        <w:spacing w:after="0" w:line="88" w:lineRule="exact"/>
        <w:rPr>
          <w:sz w:val="20"/>
          <w:szCs w:val="20"/>
          <w:color w:val="auto"/>
        </w:rPr>
      </w:pPr>
    </w:p>
    <w:p>
      <w:pPr>
        <w:ind w:left="640" w:right="659" w:firstLine="258"/>
        <w:spacing w:after="0" w:line="258" w:lineRule="auto"/>
        <w:rPr>
          <w:sz w:val="20"/>
          <w:szCs w:val="20"/>
          <w:color w:val="auto"/>
        </w:rPr>
      </w:pPr>
      <w:r>
        <w:rPr>
          <w:rFonts w:ascii="Times New Roman" w:cs="Times New Roman" w:eastAsia="Times New Roman" w:hAnsi="Times New Roman"/>
          <w:sz w:val="14"/>
          <w:szCs w:val="14"/>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products for use in similar indications or with similar technologies to ours with whom we and our licensees compete, many of whom are larger and have significantly greater financial, operational and other resources than we do. Other smaller or earlier stage companies may also prove to be significant competitors, whether through focused or more abbreviated development programs, or collaborative arrangements with large, established companies. Some of the products being developed by our competitors are being designed to work differently than our products and may prove to be safer or more effective than our products or achieve regulatory approval and be commercialized earlier than our products, which may render our products or technology platforms obsolete or noncompetitive or make it more challenging for us to commercialize our products. With respect to our products, we believe that our ability to successfully compete will depend on, among other things, the existence of competing or alternative products in the marketplace, including generic competition, and the relative price of those products; the efficacy, safety and reliability of our products compared to competing or alternative products; product acceptance by, and preferences of, physicians, other healthcare providers and patients; our ability to comply with applicable laws, regulations and regulatory requirements with respect to the manufacture and/or commercialization of our products, including any imposed REMS program or any other changes or increases to regulatory restrictions; protection of our proprietary rights relating to our products; our ability to obtain reimbursement for our products; our ability to complete clinical development and obtain regulatory approvals for our products, and the timing and scope of any such regulatory approvals; our, or our contract manufacturers’, ability to successfully manufacture and provide a reliable supply of commercial quantities of a product to the market; and our ability to recruit, retain and develop skilled employees.</w:t>
      </w:r>
    </w:p>
    <w:p>
      <w:pPr>
        <w:spacing w:after="0" w:line="84" w:lineRule="exact"/>
        <w:rPr>
          <w:sz w:val="20"/>
          <w:szCs w:val="20"/>
          <w:color w:val="auto"/>
        </w:rPr>
      </w:pPr>
    </w:p>
    <w:p>
      <w:pPr>
        <w:ind w:left="640" w:right="699" w:firstLine="258"/>
        <w:spacing w:after="0" w:line="259" w:lineRule="auto"/>
        <w:rPr>
          <w:sz w:val="20"/>
          <w:szCs w:val="20"/>
          <w:color w:val="auto"/>
        </w:rPr>
      </w:pPr>
      <w:r>
        <w:rPr>
          <w:rFonts w:ascii="Times New Roman" w:cs="Times New Roman" w:eastAsia="Times New Roman" w:hAnsi="Times New Roman"/>
          <w:sz w:val="14"/>
          <w:szCs w:val="14"/>
          <w:color w:val="auto"/>
        </w:rPr>
        <w:t>With respect to our proprietary injectable product platform, we are aware that there are other companies developing extended-release delivery systems for pharmaceutical products, including but not limited to technology from Pharmathen S.A., which underpins aripiprazole formulations in development, and technology underpinning Teva’s once every two weeks injectable microsphere formulation, each for the treatment of schizophrenia. In the treatment of schizophrenia, ARISTADA, the long-acting INVEGA products and RISPERDAL CONSTA compete with each other and a number of other injectable products, including ZYPREXA RELPREVV ((olanzapine) For Extended Release Injectable Suspension), which is marketed and sold by Lilly; ABILIFY MAINTENA (aripiprazole for extended release injectable suspension), a once-monthly injectable formulation of ABILIFY (aripiprazole) developed by Otsuka Pharm. Co.; ABILIFY ASIMTUFII (aripiprazole), a once-every-two-months injectable formulation of ABILIFY (aripiprazole) developed by Otsuka Pharm. Co.; RYKINDO (risperidone), a once-every-two-weeks injectable formulation of risperidone developed by Luye Pharma Group; UZEDY (risperidone) extended-release injectable suspension, for subcutaneous use, developed and marketed by MedinCell S.A. and Teva; and generic versions of branded injectable products, such as risperidone for extended-release injectable suspension marketed by Lupin Limited and by Amneal Pharmaceuticals, Inc, both of which reference RISPERDAL CONSTA.</w:t>
      </w:r>
    </w:p>
    <w:p>
      <w:pPr>
        <w:spacing w:after="0" w:line="267" w:lineRule="exact"/>
        <w:rPr>
          <w:sz w:val="20"/>
          <w:szCs w:val="20"/>
          <w:color w:val="auto"/>
        </w:rPr>
      </w:pPr>
    </w:p>
    <w:p>
      <w:pPr>
        <w:ind w:left="640" w:right="759" w:firstLine="258"/>
        <w:spacing w:after="0" w:line="263" w:lineRule="auto"/>
        <w:rPr>
          <w:sz w:val="20"/>
          <w:szCs w:val="20"/>
          <w:color w:val="auto"/>
        </w:rPr>
      </w:pPr>
      <w:r>
        <w:rPr>
          <w:rFonts w:ascii="Times New Roman" w:cs="Times New Roman" w:eastAsia="Times New Roman" w:hAnsi="Times New Roman"/>
          <w:sz w:val="14"/>
          <w:szCs w:val="14"/>
          <w:color w:val="auto"/>
        </w:rPr>
        <w:t>In the treatment of schizophrenia, LYBALVI competes with other oral antipsychotic products, including CAPLYTA (lumateperone) marketed by Johnson &amp; Johnson or its affiliated companies.; REXULTI (brexpiprazole), which is co-marketed by Otsuka Pharm Co. and H. Lundbeck A/S plc; VRAYLAR (cariprazine), which is marketed and sold by Abbvie Inc.; COBENFY (xanomeline and trospium chloride), which is marketed and sold by Bristol-Myers Squibb Company; UZEDY; other oral compounds currently on the market; and generic versions of branded oral products. Other pharmaceutical companies are developing products for the treatment of schizophrenia that, if approved by the FDA, would compete with LYBALVI.</w:t>
      </w:r>
    </w:p>
    <w:p>
      <w:pPr>
        <w:spacing w:after="0" w:line="91" w:lineRule="exact"/>
        <w:rPr>
          <w:sz w:val="20"/>
          <w:szCs w:val="20"/>
          <w:color w:val="auto"/>
        </w:rPr>
      </w:pPr>
    </w:p>
    <w:p>
      <w:pPr>
        <w:ind w:left="640" w:right="1079" w:firstLine="258"/>
        <w:spacing w:after="0" w:line="268" w:lineRule="auto"/>
        <w:rPr>
          <w:sz w:val="20"/>
          <w:szCs w:val="20"/>
          <w:color w:val="auto"/>
        </w:rPr>
      </w:pPr>
      <w:r>
        <w:rPr>
          <w:rFonts w:ascii="Times New Roman" w:cs="Times New Roman" w:eastAsia="Times New Roman" w:hAnsi="Times New Roman"/>
          <w:sz w:val="14"/>
          <w:szCs w:val="14"/>
          <w:color w:val="auto"/>
        </w:rPr>
        <w:t>In the treatment of bipolar I disorder, LYBALVI and RISPERDAL CONSTA compete with antipsychotics such as oral aripiprazole; VRAYLAR; ABILIFY MAINTENA; ABILIFY ASIMTUFII; CAPLYTA; RYKINDO; UZEDY; risperidone; quetiapine; olanzapine; and ziprasidone. Other pharmaceutical companies are developing products for the treatment of bipolar I disorder that, if approved by the FDA, would compete with LYBALVI.</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18" w:name="page19"/>
    <w:bookmarkEnd w:id="18"/>
    <w:p>
      <w:pPr>
        <w:ind w:left="640" w:right="679" w:firstLine="258"/>
        <w:spacing w:after="0" w:line="268" w:lineRule="auto"/>
        <w:rPr>
          <w:sz w:val="20"/>
          <w:szCs w:val="20"/>
          <w:color w:val="auto"/>
        </w:rPr>
      </w:pPr>
      <w:r>
        <w:rPr>
          <w:rFonts w:ascii="Times New Roman" w:cs="Times New Roman" w:eastAsia="Times New Roman" w:hAnsi="Times New Roman"/>
          <w:sz w:val="14"/>
          <w:szCs w:val="14"/>
          <w:color w:val="auto"/>
        </w:rPr>
        <w:t>In the treatment of alcohol dependence, VIVITROL competes with generic acamprosate calcium (also known as CAMPRAL) and generic disulfiram (also known as ANTABUSE) as well as currently marketed drugs, including generic drugs, also formulated from naltrexone. Other pharmaceutical companies are developing products that have shown some potential in treating alcohol dependence that, if approved by the FDA, would compete with VIVITROL.</w:t>
      </w:r>
    </w:p>
    <w:p>
      <w:pPr>
        <w:spacing w:after="0" w:line="86" w:lineRule="exact"/>
        <w:rPr>
          <w:sz w:val="20"/>
          <w:szCs w:val="20"/>
          <w:color w:val="auto"/>
        </w:rPr>
      </w:pPr>
    </w:p>
    <w:p>
      <w:pPr>
        <w:ind w:left="640" w:right="659" w:firstLine="258"/>
        <w:spacing w:after="0" w:line="261" w:lineRule="auto"/>
        <w:rPr>
          <w:sz w:val="20"/>
          <w:szCs w:val="20"/>
          <w:color w:val="auto"/>
        </w:rPr>
      </w:pPr>
      <w:r>
        <w:rPr>
          <w:rFonts w:ascii="Times New Roman" w:cs="Times New Roman" w:eastAsia="Times New Roman" w:hAnsi="Times New Roman"/>
          <w:sz w:val="14"/>
          <w:szCs w:val="14"/>
          <w:color w:val="auto"/>
        </w:rPr>
        <w:t>In the treatment of opioid dependence, VIVITROL competes with SUBOXONE (buprenorphine HCl/naloxone HCl dehydrate sublingual tablets), SUBOXONE (buprenorphine/naloxone) Sublingual Film, SUBUTEX (buprenorphine HCl sublingual tablets) and SUBLOCADE (once-monthly buprenorphine extended-release injection), each of which is marketed and sold by Indivior plc; BUNAVAIL buccal film (buprenorphine and naloxone) marketed by BioDelivery Sciences; ZUBSOLV (buprenorphine and naloxone) marketed by Orexo US, Inc.; and BRIXADI (buprenorphine) extended-release injection for subcutaneous use (CIII), marketed by Braeburn Inc. VIVITROL also competes with methadone, oral naltrexone and generic versions of SUBUTEX and SUBOXONE sublingual tablets. Other pharmaceutical companies are developing products that have shown potential in treating opioid dependence that, if approved by the FDA, would compete with VIVITROL.</w:t>
      </w:r>
    </w:p>
    <w:p>
      <w:pPr>
        <w:spacing w:after="0" w:line="92" w:lineRule="exact"/>
        <w:rPr>
          <w:sz w:val="20"/>
          <w:szCs w:val="20"/>
          <w:color w:val="auto"/>
        </w:rPr>
      </w:pPr>
    </w:p>
    <w:p>
      <w:pPr>
        <w:ind w:left="640" w:right="819" w:firstLine="258"/>
        <w:spacing w:after="0" w:line="262" w:lineRule="auto"/>
        <w:rPr>
          <w:sz w:val="20"/>
          <w:szCs w:val="20"/>
          <w:color w:val="auto"/>
        </w:rPr>
      </w:pPr>
      <w:r>
        <w:rPr>
          <w:rFonts w:ascii="Times New Roman" w:cs="Times New Roman" w:eastAsia="Times New Roman" w:hAnsi="Times New Roman"/>
          <w:sz w:val="14"/>
          <w:szCs w:val="14"/>
          <w:color w:val="auto"/>
        </w:rPr>
        <w:t>In the treatment of MS, VUMERITY competes with AVONEX (interferon beta-1a), TYSABRI (natalizumab), TECFIDERA (dimethyl fumarate), and PLEGRIDY (peginterferon beta-1a) from Biogen; OCREVUS (ocrelizumab) from Genentech; BETASERON (interferon beta-1b) from Bayer HealthCare Pharmaceuticals; COPAXONE (glatiramer acetate) from Teva; REBIF (interferon beta-1a) and MAVENCLAD (cladribine) from EMD Serono, Inc.; GILENYA (fingolimod), EXTAVIA (interferon beta-1b) and MAYZENT (siponimod) from Novartis AG; AUBAGIO (teriflunomide) and LEMTRADA (alemtuzumab) from Sanofi-Aventis; ZEPOSIA (ozanimod) from Bristol-Myers Squibb Company; PONVORY (ponesimod) from Janssen; and BRIUMVI (ublituximab-xiiy) from TG Therapeutics, Inc.</w:t>
      </w:r>
    </w:p>
    <w:p>
      <w:pPr>
        <w:spacing w:after="0" w:line="80" w:lineRule="exact"/>
        <w:rPr>
          <w:sz w:val="20"/>
          <w:szCs w:val="20"/>
          <w:color w:val="auto"/>
        </w:rPr>
      </w:pPr>
    </w:p>
    <w:p>
      <w:pPr>
        <w:ind w:left="640" w:right="699" w:firstLine="258"/>
        <w:spacing w:after="0" w:line="262" w:lineRule="auto"/>
        <w:rPr>
          <w:sz w:val="20"/>
          <w:szCs w:val="20"/>
          <w:color w:val="auto"/>
        </w:rPr>
      </w:pPr>
      <w:r>
        <w:rPr>
          <w:rFonts w:ascii="Times New Roman" w:cs="Times New Roman" w:eastAsia="Times New Roman" w:hAnsi="Times New Roman"/>
          <w:sz w:val="14"/>
          <w:szCs w:val="14"/>
          <w:color w:val="auto"/>
        </w:rPr>
        <w:t>In the treatment of narcolepsy, LUMRYZ competes with twice-nightly oxybate formulations, such as XYWAV (sodium oxybate) and XYREM (sodium oxybate), as well as a number of daytime wake promoting agents, including VYVANSE (lisdexamfetamine), dextroamphetamine, methylphenidate, amphetamine, modafinil, and armodafinil, which are widely prescribed, as well as SUNOSI (solriamfetol) from Axsome Therapeutics, Inc. and WAKIX (pitolisant) from Harmony Biosciences Holdings, Inc. LUMRYZ also competes with generic versions of XYREM. We and other pharmaceutical companies are developing products, including orexin 2 receptor agonists such as alixorexton and other formulations of sodium oxybate, that have shown or may show potential in treating narcolepsy that, if approved by the FDA, would compete with LUMRYZ.</w:t>
      </w:r>
    </w:p>
    <w:p>
      <w:pPr>
        <w:spacing w:after="0" w:line="91" w:lineRule="exact"/>
        <w:rPr>
          <w:sz w:val="20"/>
          <w:szCs w:val="20"/>
          <w:color w:val="auto"/>
        </w:rPr>
      </w:pPr>
    </w:p>
    <w:p>
      <w:pPr>
        <w:ind w:left="640" w:right="679" w:firstLine="258"/>
        <w:spacing w:after="0" w:line="265" w:lineRule="auto"/>
        <w:rPr>
          <w:sz w:val="20"/>
          <w:szCs w:val="20"/>
          <w:color w:val="auto"/>
        </w:rPr>
      </w:pPr>
      <w:r>
        <w:rPr>
          <w:rFonts w:ascii="Times New Roman" w:cs="Times New Roman" w:eastAsia="Times New Roman" w:hAnsi="Times New Roman"/>
          <w:sz w:val="14"/>
          <w:szCs w:val="14"/>
          <w:color w:val="auto"/>
        </w:rPr>
        <w:t>With respect to our NANOCRYSTAL technology, we are aware that other technology approaches similarly address poorly water-soluble drugs. These approaches include nanoparticles, cyclodextrins, lipid-based self-emulsifying drug delivery systems, dendrimers and micelles, among others, any of which could limit the potential success and growth prospects of products incorporating our NANOCRYSTAL technology. In addition, there are many competing technologies to our OCR technology, some of which are owned by large pharmaceutical companies with drug delivery divisions or other, smaller drug-delivery-specific companies.</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Patents and Proprietary Rights</w:t>
      </w:r>
    </w:p>
    <w:p>
      <w:pPr>
        <w:spacing w:after="0" w:line="120" w:lineRule="exact"/>
        <w:rPr>
          <w:sz w:val="20"/>
          <w:szCs w:val="20"/>
          <w:color w:val="auto"/>
        </w:rPr>
      </w:pPr>
    </w:p>
    <w:p>
      <w:pPr>
        <w:ind w:left="640" w:right="739" w:firstLine="258"/>
        <w:spacing w:after="0" w:line="262" w:lineRule="auto"/>
        <w:rPr>
          <w:sz w:val="20"/>
          <w:szCs w:val="20"/>
          <w:color w:val="auto"/>
        </w:rPr>
      </w:pPr>
      <w:r>
        <w:rPr>
          <w:rFonts w:ascii="Times New Roman" w:cs="Times New Roman" w:eastAsia="Times New Roman" w:hAnsi="Times New Roman"/>
          <w:sz w:val="14"/>
          <w:szCs w:val="14"/>
          <w:color w:val="auto"/>
        </w:rPr>
        <w:t>Our success depends, in part, on our ability to obtain and maintain patent protection for our products, including those marketed and sold by our licensees, to maintain trade secret protection and to operate without infringing upon the proprietary rights of others. We have a proprietary portfolio of patent rights and exclusive licenses to patents and patent applications, which includes numerous patents in the U.S. and in other countries directed to compositions of matter, methods of treatment and formulations, and processes of preparation. In the future, we plan to file additional patent applications in the U.S. and in other countries directed to new or improved products and processes, and we intend to continue to vigorously defend our patent positions. In addition, our licensees may own additional patents that cover those products from which we receive royalties.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ARISTADA and ARISTADA INITIO</w:t>
      </w:r>
    </w:p>
    <w:p>
      <w:pPr>
        <w:spacing w:after="0" w:line="133" w:lineRule="exact"/>
        <w:rPr>
          <w:sz w:val="20"/>
          <w:szCs w:val="20"/>
          <w:color w:val="auto"/>
        </w:rPr>
      </w:pPr>
    </w:p>
    <w:p>
      <w:pPr>
        <w:ind w:left="640" w:right="699" w:firstLine="258"/>
        <w:spacing w:after="0" w:line="274" w:lineRule="auto"/>
        <w:rPr>
          <w:sz w:val="20"/>
          <w:szCs w:val="20"/>
          <w:color w:val="auto"/>
        </w:rPr>
      </w:pPr>
      <w:r>
        <w:rPr>
          <w:rFonts w:ascii="Times New Roman" w:cs="Times New Roman" w:eastAsia="Times New Roman" w:hAnsi="Times New Roman"/>
          <w:sz w:val="14"/>
          <w:szCs w:val="14"/>
          <w:color w:val="auto"/>
        </w:rPr>
        <w:t>We have several U.S. patents and patent applications, and a number of corresponding non-U.S. counterparts, that cover ARISTADA and/or ARISTADA INITIO. Our principal U.S. patents for ARISTADA and/or ARISTADA INITIO and their expiration dates are as follows:</w:t>
      </w:r>
    </w:p>
    <w:p>
      <w:pPr>
        <w:spacing w:after="0" w:line="77" w:lineRule="exact"/>
        <w:rPr>
          <w:sz w:val="20"/>
          <w:szCs w:val="20"/>
          <w:color w:val="auto"/>
        </w:rPr>
      </w:pPr>
    </w:p>
    <w:tbl>
      <w:tblPr>
        <w:tblLayout w:type="fixed"/>
        <w:tblInd w:w="650" w:type="dxa"/>
        <w:tblCellMar>
          <w:top w:w="0" w:type="dxa"/>
          <w:left w:w="0" w:type="dxa"/>
          <w:bottom w:w="0" w:type="dxa"/>
          <w:right w:w="0" w:type="dxa"/>
        </w:tblCellMar>
      </w:tblPr>
      <w:tr>
        <w:trPr>
          <w:trHeight w:val="129"/>
        </w:trPr>
        <w:tc>
          <w:tcPr>
            <w:tcW w:w="2620" w:type="dxa"/>
            <w:vAlign w:val="bottom"/>
            <w:tcBorders>
              <w:top w:val="single" w:sz="8" w:color="auto"/>
              <w:left w:val="single" w:sz="8" w:color="auto"/>
              <w:bottom w:val="single" w:sz="8" w:color="auto"/>
              <w:right w:val="single" w:sz="8" w:color="auto"/>
            </w:tcBorders>
          </w:tcPr>
          <w:p>
            <w:pPr>
              <w:jc w:val="right"/>
              <w:ind w:right="1789"/>
              <w:spacing w:after="0"/>
              <w:rPr>
                <w:sz w:val="20"/>
                <w:szCs w:val="20"/>
                <w:color w:val="auto"/>
              </w:rPr>
            </w:pPr>
            <w:r>
              <w:rPr>
                <w:rFonts w:ascii="Times New Roman" w:cs="Times New Roman" w:eastAsia="Times New Roman" w:hAnsi="Times New Roman"/>
                <w:sz w:val="11"/>
                <w:szCs w:val="11"/>
                <w:b w:val="1"/>
                <w:bCs w:val="1"/>
                <w:color w:val="auto"/>
              </w:rPr>
              <w:t>U.S. Patent No.</w:t>
            </w:r>
          </w:p>
        </w:tc>
        <w:tc>
          <w:tcPr>
            <w:tcW w:w="2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Product(s) Covered</w:t>
            </w:r>
          </w:p>
        </w:tc>
        <w:tc>
          <w:tcPr>
            <w:tcW w:w="2560" w:type="dxa"/>
            <w:vAlign w:val="bottom"/>
            <w:tcBorders>
              <w:top w:val="single" w:sz="8" w:color="auto"/>
              <w:bottom w:val="single" w:sz="8" w:color="auto"/>
              <w:right w:val="single" w:sz="8" w:color="auto"/>
            </w:tcBorders>
          </w:tcPr>
          <w:p>
            <w:pPr>
              <w:jc w:val="right"/>
              <w:ind w:right="1709"/>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8,431,576</w:t>
            </w:r>
          </w:p>
        </w:tc>
        <w:tc>
          <w:tcPr>
            <w:tcW w:w="2560" w:type="dxa"/>
            <w:vAlign w:val="bottom"/>
            <w:tcBorders>
              <w:right w:val="single" w:sz="8" w:color="auto"/>
            </w:tcBorders>
            <w:shd w:val="clear" w:color="auto" w:fill="CCF0FC"/>
          </w:tcPr>
          <w:p>
            <w:pPr>
              <w:ind w:left="60"/>
              <w:spacing w:after="0" w:line="148" w:lineRule="exact"/>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right w:val="single" w:sz="8" w:color="auto"/>
            </w:tcBorders>
            <w:vMerge w:val="restart"/>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00"/>
        </w:trPr>
        <w:tc>
          <w:tcPr>
            <w:tcW w:w="2620" w:type="dxa"/>
            <w:vAlign w:val="bottom"/>
            <w:tcBorders>
              <w:left w:val="single" w:sz="8" w:color="auto"/>
              <w:right w:val="single" w:sz="8" w:color="auto"/>
            </w:tcBorders>
            <w:vMerge w:val="continue"/>
            <w:shd w:val="clear" w:color="auto" w:fill="CCF0FC"/>
          </w:tcPr>
          <w:p>
            <w:pPr>
              <w:spacing w:after="0"/>
              <w:rPr>
                <w:sz w:val="8"/>
                <w:szCs w:val="8"/>
                <w:color w:val="auto"/>
              </w:rPr>
            </w:pPr>
          </w:p>
        </w:tc>
        <w:tc>
          <w:tcPr>
            <w:tcW w:w="2560" w:type="dxa"/>
            <w:vAlign w:val="bottom"/>
            <w:tcBorders>
              <w:right w:val="single" w:sz="8" w:color="auto"/>
            </w:tcBorders>
            <w:vMerge w:val="restart"/>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right w:val="single" w:sz="8" w:color="auto"/>
            </w:tcBorders>
            <w:vMerge w:val="continue"/>
            <w:shd w:val="clear" w:color="auto" w:fill="CCF0FC"/>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bottom w:val="single" w:sz="8" w:color="auto"/>
              <w:right w:val="single" w:sz="8" w:color="auto"/>
            </w:tcBorders>
            <w:shd w:val="clear" w:color="auto" w:fill="CCF0FC"/>
          </w:tcPr>
          <w:p>
            <w:pPr>
              <w:spacing w:after="0"/>
              <w:rPr>
                <w:sz w:val="7"/>
                <w:szCs w:val="7"/>
                <w:color w:val="auto"/>
              </w:rPr>
            </w:pPr>
          </w:p>
        </w:tc>
        <w:tc>
          <w:tcPr>
            <w:tcW w:w="2560" w:type="dxa"/>
            <w:vAlign w:val="bottom"/>
            <w:tcBorders>
              <w:bottom w:val="single" w:sz="8" w:color="auto"/>
              <w:right w:val="single" w:sz="8" w:color="auto"/>
            </w:tcBorders>
            <w:vMerge w:val="continue"/>
            <w:shd w:val="clear" w:color="auto" w:fill="CCF0FC"/>
          </w:tcPr>
          <w:p>
            <w:pPr>
              <w:spacing w:after="0"/>
              <w:rPr>
                <w:sz w:val="7"/>
                <w:szCs w:val="7"/>
                <w:color w:val="auto"/>
              </w:rPr>
            </w:pPr>
          </w:p>
        </w:tc>
        <w:tc>
          <w:tcPr>
            <w:tcW w:w="2560" w:type="dxa"/>
            <w:vAlign w:val="bottom"/>
            <w:tcBorders>
              <w:bottom w:val="single" w:sz="8" w:color="auto"/>
              <w:right w:val="single" w:sz="8" w:color="auto"/>
            </w:tcBorders>
            <w:shd w:val="clear" w:color="auto" w:fill="CCF0FC"/>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8,796,276</w:t>
            </w:r>
          </w:p>
        </w:tc>
        <w:tc>
          <w:tcPr>
            <w:tcW w:w="25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right w:val="single" w:sz="8" w:color="auto"/>
            </w:tcBorders>
            <w:vMerge w:val="restart"/>
          </w:tcPr>
          <w:p>
            <w:pPr>
              <w:jc w:val="right"/>
              <w:ind w:right="212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00"/>
        </w:trPr>
        <w:tc>
          <w:tcPr>
            <w:tcW w:w="2620" w:type="dxa"/>
            <w:vAlign w:val="bottom"/>
            <w:tcBorders>
              <w:left w:val="single" w:sz="8" w:color="auto"/>
              <w:right w:val="single" w:sz="8" w:color="auto"/>
            </w:tcBorders>
            <w:vMerge w:val="continue"/>
          </w:tcPr>
          <w:p>
            <w:pPr>
              <w:spacing w:after="0"/>
              <w:rPr>
                <w:sz w:val="8"/>
                <w:szCs w:val="8"/>
                <w:color w:val="auto"/>
              </w:rPr>
            </w:pPr>
          </w:p>
        </w:tc>
        <w:tc>
          <w:tcPr>
            <w:tcW w:w="2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vMerge w:val="continue"/>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10,112,903</w:t>
            </w:r>
          </w:p>
        </w:tc>
        <w:tc>
          <w:tcPr>
            <w:tcW w:w="2560" w:type="dxa"/>
            <w:vAlign w:val="bottom"/>
            <w:tcBorders>
              <w:right w:val="single" w:sz="8" w:color="auto"/>
            </w:tcBorders>
            <w:shd w:val="clear" w:color="auto" w:fill="CC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right w:val="single" w:sz="8" w:color="auto"/>
            </w:tcBorders>
            <w:vMerge w:val="restart"/>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00"/>
        </w:trPr>
        <w:tc>
          <w:tcPr>
            <w:tcW w:w="2620" w:type="dxa"/>
            <w:vAlign w:val="bottom"/>
            <w:tcBorders>
              <w:left w:val="single" w:sz="8" w:color="auto"/>
              <w:right w:val="single" w:sz="8" w:color="auto"/>
            </w:tcBorders>
            <w:vMerge w:val="continue"/>
            <w:shd w:val="clear" w:color="auto" w:fill="CCF0FC"/>
          </w:tcPr>
          <w:p>
            <w:pPr>
              <w:spacing w:after="0"/>
              <w:rPr>
                <w:sz w:val="8"/>
                <w:szCs w:val="8"/>
                <w:color w:val="auto"/>
              </w:rPr>
            </w:pPr>
          </w:p>
        </w:tc>
        <w:tc>
          <w:tcPr>
            <w:tcW w:w="2560" w:type="dxa"/>
            <w:vAlign w:val="bottom"/>
            <w:tcBorders>
              <w:right w:val="single" w:sz="8" w:color="auto"/>
            </w:tcBorders>
            <w:vMerge w:val="restart"/>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right w:val="single" w:sz="8" w:color="auto"/>
            </w:tcBorders>
            <w:vMerge w:val="continue"/>
            <w:shd w:val="clear" w:color="auto" w:fill="CCF0FC"/>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bottom w:val="single" w:sz="8" w:color="auto"/>
              <w:right w:val="single" w:sz="8" w:color="auto"/>
            </w:tcBorders>
            <w:shd w:val="clear" w:color="auto" w:fill="CCF0FC"/>
          </w:tcPr>
          <w:p>
            <w:pPr>
              <w:spacing w:after="0"/>
              <w:rPr>
                <w:sz w:val="7"/>
                <w:szCs w:val="7"/>
                <w:color w:val="auto"/>
              </w:rPr>
            </w:pPr>
          </w:p>
        </w:tc>
        <w:tc>
          <w:tcPr>
            <w:tcW w:w="2560" w:type="dxa"/>
            <w:vAlign w:val="bottom"/>
            <w:tcBorders>
              <w:bottom w:val="single" w:sz="8" w:color="auto"/>
              <w:right w:val="single" w:sz="8" w:color="auto"/>
            </w:tcBorders>
            <w:vMerge w:val="continue"/>
            <w:shd w:val="clear" w:color="auto" w:fill="CCF0FC"/>
          </w:tcPr>
          <w:p>
            <w:pPr>
              <w:spacing w:after="0"/>
              <w:rPr>
                <w:sz w:val="7"/>
                <w:szCs w:val="7"/>
                <w:color w:val="auto"/>
              </w:rPr>
            </w:pPr>
          </w:p>
        </w:tc>
        <w:tc>
          <w:tcPr>
            <w:tcW w:w="2560" w:type="dxa"/>
            <w:vAlign w:val="bottom"/>
            <w:tcBorders>
              <w:bottom w:val="single" w:sz="8" w:color="auto"/>
              <w:right w:val="single" w:sz="8" w:color="auto"/>
            </w:tcBorders>
            <w:shd w:val="clear" w:color="auto" w:fill="CCF0FC"/>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10,023,537</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10,351,529</w:t>
            </w:r>
          </w:p>
        </w:tc>
        <w:tc>
          <w:tcPr>
            <w:tcW w:w="2560" w:type="dxa"/>
            <w:vAlign w:val="bottom"/>
            <w:tcBorders>
              <w:right w:val="single" w:sz="8" w:color="auto"/>
            </w:tcBorders>
            <w:shd w:val="clear" w:color="auto" w:fill="CCF0FC"/>
          </w:tcPr>
          <w:p>
            <w:pPr>
              <w:ind w:left="60"/>
              <w:spacing w:after="0" w:line="148" w:lineRule="exact"/>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right w:val="single" w:sz="8" w:color="auto"/>
            </w:tcBorders>
            <w:vMerge w:val="restart"/>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00"/>
        </w:trPr>
        <w:tc>
          <w:tcPr>
            <w:tcW w:w="2620" w:type="dxa"/>
            <w:vAlign w:val="bottom"/>
            <w:tcBorders>
              <w:left w:val="single" w:sz="8" w:color="auto"/>
              <w:right w:val="single" w:sz="8" w:color="auto"/>
            </w:tcBorders>
            <w:vMerge w:val="continue"/>
            <w:shd w:val="clear" w:color="auto" w:fill="CCF0FC"/>
          </w:tcPr>
          <w:p>
            <w:pPr>
              <w:spacing w:after="0"/>
              <w:rPr>
                <w:sz w:val="8"/>
                <w:szCs w:val="8"/>
                <w:color w:val="auto"/>
              </w:rPr>
            </w:pPr>
          </w:p>
        </w:tc>
        <w:tc>
          <w:tcPr>
            <w:tcW w:w="2560" w:type="dxa"/>
            <w:vAlign w:val="bottom"/>
            <w:tcBorders>
              <w:right w:val="single" w:sz="8" w:color="auto"/>
            </w:tcBorders>
            <w:vMerge w:val="restart"/>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right w:val="single" w:sz="8" w:color="auto"/>
            </w:tcBorders>
            <w:vMerge w:val="continue"/>
            <w:shd w:val="clear" w:color="auto" w:fill="CCF0FC"/>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bottom w:val="single" w:sz="8" w:color="auto"/>
              <w:right w:val="single" w:sz="8" w:color="auto"/>
            </w:tcBorders>
            <w:shd w:val="clear" w:color="auto" w:fill="CCF0FC"/>
          </w:tcPr>
          <w:p>
            <w:pPr>
              <w:spacing w:after="0"/>
              <w:rPr>
                <w:sz w:val="7"/>
                <w:szCs w:val="7"/>
                <w:color w:val="auto"/>
              </w:rPr>
            </w:pPr>
          </w:p>
        </w:tc>
        <w:tc>
          <w:tcPr>
            <w:tcW w:w="2560" w:type="dxa"/>
            <w:vAlign w:val="bottom"/>
            <w:tcBorders>
              <w:bottom w:val="single" w:sz="8" w:color="auto"/>
              <w:right w:val="single" w:sz="8" w:color="auto"/>
            </w:tcBorders>
            <w:vMerge w:val="continue"/>
            <w:shd w:val="clear" w:color="auto" w:fill="CCF0FC"/>
          </w:tcPr>
          <w:p>
            <w:pPr>
              <w:spacing w:after="0"/>
              <w:rPr>
                <w:sz w:val="7"/>
                <w:szCs w:val="7"/>
                <w:color w:val="auto"/>
              </w:rPr>
            </w:pPr>
          </w:p>
        </w:tc>
        <w:tc>
          <w:tcPr>
            <w:tcW w:w="2560" w:type="dxa"/>
            <w:vAlign w:val="bottom"/>
            <w:tcBorders>
              <w:bottom w:val="single" w:sz="8" w:color="auto"/>
              <w:right w:val="single" w:sz="8" w:color="auto"/>
            </w:tcBorders>
            <w:shd w:val="clear" w:color="auto" w:fill="CCF0FC"/>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11,518,745</w:t>
            </w:r>
          </w:p>
        </w:tc>
        <w:tc>
          <w:tcPr>
            <w:tcW w:w="25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right w:val="single" w:sz="8" w:color="auto"/>
            </w:tcBorders>
            <w:vMerge w:val="restart"/>
          </w:tcPr>
          <w:p>
            <w:pPr>
              <w:jc w:val="right"/>
              <w:ind w:right="212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00"/>
        </w:trPr>
        <w:tc>
          <w:tcPr>
            <w:tcW w:w="2620" w:type="dxa"/>
            <w:vAlign w:val="bottom"/>
            <w:tcBorders>
              <w:left w:val="single" w:sz="8" w:color="auto"/>
              <w:right w:val="single" w:sz="8" w:color="auto"/>
            </w:tcBorders>
            <w:vMerge w:val="continue"/>
          </w:tcPr>
          <w:p>
            <w:pPr>
              <w:spacing w:after="0"/>
              <w:rPr>
                <w:sz w:val="8"/>
                <w:szCs w:val="8"/>
                <w:color w:val="auto"/>
              </w:rPr>
            </w:pPr>
          </w:p>
        </w:tc>
        <w:tc>
          <w:tcPr>
            <w:tcW w:w="2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vMerge w:val="continue"/>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12,180,164</w:t>
            </w:r>
          </w:p>
        </w:tc>
        <w:tc>
          <w:tcPr>
            <w:tcW w:w="2560" w:type="dxa"/>
            <w:vAlign w:val="bottom"/>
            <w:tcBorders>
              <w:right w:val="single" w:sz="8" w:color="auto"/>
            </w:tcBorders>
            <w:shd w:val="clear" w:color="auto" w:fill="CC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right w:val="single" w:sz="8" w:color="auto"/>
            </w:tcBorders>
            <w:vMerge w:val="restart"/>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00"/>
        </w:trPr>
        <w:tc>
          <w:tcPr>
            <w:tcW w:w="2620" w:type="dxa"/>
            <w:vAlign w:val="bottom"/>
            <w:tcBorders>
              <w:left w:val="single" w:sz="8" w:color="auto"/>
              <w:right w:val="single" w:sz="8" w:color="auto"/>
            </w:tcBorders>
            <w:vMerge w:val="continue"/>
            <w:shd w:val="clear" w:color="auto" w:fill="CCF0FC"/>
          </w:tcPr>
          <w:p>
            <w:pPr>
              <w:spacing w:after="0"/>
              <w:rPr>
                <w:sz w:val="8"/>
                <w:szCs w:val="8"/>
                <w:color w:val="auto"/>
              </w:rPr>
            </w:pPr>
          </w:p>
        </w:tc>
        <w:tc>
          <w:tcPr>
            <w:tcW w:w="2560" w:type="dxa"/>
            <w:vAlign w:val="bottom"/>
            <w:tcBorders>
              <w:right w:val="single" w:sz="8" w:color="auto"/>
            </w:tcBorders>
            <w:vMerge w:val="restart"/>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right w:val="single" w:sz="8" w:color="auto"/>
            </w:tcBorders>
            <w:vMerge w:val="continue"/>
            <w:shd w:val="clear" w:color="auto" w:fill="CCF0FC"/>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bottom w:val="single" w:sz="8" w:color="auto"/>
              <w:right w:val="single" w:sz="8" w:color="auto"/>
            </w:tcBorders>
            <w:shd w:val="clear" w:color="auto" w:fill="CCF0FC"/>
          </w:tcPr>
          <w:p>
            <w:pPr>
              <w:spacing w:after="0"/>
              <w:rPr>
                <w:sz w:val="7"/>
                <w:szCs w:val="7"/>
                <w:color w:val="auto"/>
              </w:rPr>
            </w:pPr>
          </w:p>
        </w:tc>
        <w:tc>
          <w:tcPr>
            <w:tcW w:w="2560" w:type="dxa"/>
            <w:vAlign w:val="bottom"/>
            <w:tcBorders>
              <w:bottom w:val="single" w:sz="8" w:color="auto"/>
              <w:right w:val="single" w:sz="8" w:color="auto"/>
            </w:tcBorders>
            <w:vMerge w:val="continue"/>
            <w:shd w:val="clear" w:color="auto" w:fill="CCF0FC"/>
          </w:tcPr>
          <w:p>
            <w:pPr>
              <w:spacing w:after="0"/>
              <w:rPr>
                <w:sz w:val="7"/>
                <w:szCs w:val="7"/>
                <w:color w:val="auto"/>
              </w:rPr>
            </w:pPr>
          </w:p>
        </w:tc>
        <w:tc>
          <w:tcPr>
            <w:tcW w:w="2560" w:type="dxa"/>
            <w:vAlign w:val="bottom"/>
            <w:tcBorders>
              <w:bottom w:val="single" w:sz="8" w:color="auto"/>
              <w:right w:val="single" w:sz="8" w:color="auto"/>
            </w:tcBorders>
            <w:shd w:val="clear" w:color="auto" w:fill="CCF0FC"/>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11,273,158</w:t>
            </w:r>
          </w:p>
        </w:tc>
        <w:tc>
          <w:tcPr>
            <w:tcW w:w="25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right w:val="single" w:sz="8" w:color="auto"/>
            </w:tcBorders>
            <w:vMerge w:val="restart"/>
          </w:tcPr>
          <w:p>
            <w:pPr>
              <w:jc w:val="right"/>
              <w:ind w:right="2129"/>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00"/>
        </w:trPr>
        <w:tc>
          <w:tcPr>
            <w:tcW w:w="2620" w:type="dxa"/>
            <w:vAlign w:val="bottom"/>
            <w:tcBorders>
              <w:left w:val="single" w:sz="8" w:color="auto"/>
              <w:right w:val="single" w:sz="8" w:color="auto"/>
            </w:tcBorders>
            <w:vMerge w:val="continue"/>
          </w:tcPr>
          <w:p>
            <w:pPr>
              <w:spacing w:after="0"/>
              <w:rPr>
                <w:sz w:val="8"/>
                <w:szCs w:val="8"/>
                <w:color w:val="auto"/>
              </w:rPr>
            </w:pPr>
          </w:p>
        </w:tc>
        <w:tc>
          <w:tcPr>
            <w:tcW w:w="2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vMerge w:val="continue"/>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restart"/>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12,251,381</w:t>
            </w:r>
          </w:p>
        </w:tc>
        <w:tc>
          <w:tcPr>
            <w:tcW w:w="2560" w:type="dxa"/>
            <w:vAlign w:val="bottom"/>
            <w:tcBorders>
              <w:right w:val="single" w:sz="8" w:color="auto"/>
            </w:tcBorders>
            <w:shd w:val="clear" w:color="auto" w:fill="CC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right w:val="single" w:sz="8" w:color="auto"/>
            </w:tcBorders>
            <w:vMerge w:val="restart"/>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00"/>
        </w:trPr>
        <w:tc>
          <w:tcPr>
            <w:tcW w:w="2620" w:type="dxa"/>
            <w:vAlign w:val="bottom"/>
            <w:tcBorders>
              <w:left w:val="single" w:sz="8" w:color="auto"/>
              <w:right w:val="single" w:sz="8" w:color="auto"/>
            </w:tcBorders>
            <w:vMerge w:val="continue"/>
            <w:shd w:val="clear" w:color="auto" w:fill="CCF0FC"/>
          </w:tcPr>
          <w:p>
            <w:pPr>
              <w:spacing w:after="0"/>
              <w:rPr>
                <w:sz w:val="8"/>
                <w:szCs w:val="8"/>
                <w:color w:val="auto"/>
              </w:rPr>
            </w:pPr>
          </w:p>
        </w:tc>
        <w:tc>
          <w:tcPr>
            <w:tcW w:w="2560" w:type="dxa"/>
            <w:vAlign w:val="bottom"/>
            <w:tcBorders>
              <w:right w:val="single" w:sz="8" w:color="auto"/>
            </w:tcBorders>
            <w:vMerge w:val="restart"/>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right w:val="single" w:sz="8" w:color="auto"/>
            </w:tcBorders>
            <w:vMerge w:val="continue"/>
            <w:shd w:val="clear" w:color="auto" w:fill="CCF0FC"/>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bottom w:val="single" w:sz="8" w:color="auto"/>
              <w:right w:val="single" w:sz="8" w:color="auto"/>
            </w:tcBorders>
            <w:shd w:val="clear" w:color="auto" w:fill="CCF0FC"/>
          </w:tcPr>
          <w:p>
            <w:pPr>
              <w:spacing w:after="0"/>
              <w:rPr>
                <w:sz w:val="7"/>
                <w:szCs w:val="7"/>
                <w:color w:val="auto"/>
              </w:rPr>
            </w:pPr>
          </w:p>
        </w:tc>
        <w:tc>
          <w:tcPr>
            <w:tcW w:w="2560" w:type="dxa"/>
            <w:vAlign w:val="bottom"/>
            <w:tcBorders>
              <w:bottom w:val="single" w:sz="8" w:color="auto"/>
              <w:right w:val="single" w:sz="8" w:color="auto"/>
            </w:tcBorders>
            <w:vMerge w:val="continue"/>
            <w:shd w:val="clear" w:color="auto" w:fill="CCF0FC"/>
          </w:tcPr>
          <w:p>
            <w:pPr>
              <w:spacing w:after="0"/>
              <w:rPr>
                <w:sz w:val="7"/>
                <w:szCs w:val="7"/>
                <w:color w:val="auto"/>
              </w:rPr>
            </w:pPr>
          </w:p>
        </w:tc>
        <w:tc>
          <w:tcPr>
            <w:tcW w:w="2560" w:type="dxa"/>
            <w:vAlign w:val="bottom"/>
            <w:tcBorders>
              <w:bottom w:val="single" w:sz="8" w:color="auto"/>
              <w:right w:val="single" w:sz="8" w:color="auto"/>
            </w:tcBorders>
            <w:shd w:val="clear" w:color="auto" w:fill="CCF0FC"/>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9,034,867</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10,226,458</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9,193,685</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9,861,699</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10,342,877</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10,639,376</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11,097,006</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11,969,469</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12,311,027</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9,452,131</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9,526,726</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10,064,859</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10,238,651</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10,478,434</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10,813,928</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10,973,816</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11,406,632</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11,883,394</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10,016,415</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10,688,091</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10,849,894</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bottom w:val="single" w:sz="8" w:color="auto"/>
              <w:right w:val="single" w:sz="8" w:color="auto"/>
            </w:tcBorders>
            <w:shd w:val="clear" w:color="auto" w:fill="CCF0FC"/>
          </w:tcPr>
          <w:p>
            <w:pPr>
              <w:jc w:val="right"/>
              <w:ind w:right="29"/>
              <w:spacing w:after="0"/>
              <w:rPr>
                <w:sz w:val="20"/>
                <w:szCs w:val="20"/>
                <w:color w:val="auto"/>
              </w:rPr>
            </w:pPr>
            <w:r>
              <w:rPr>
                <w:rFonts w:ascii="Times New Roman" w:cs="Times New Roman" w:eastAsia="Times New Roman" w:hAnsi="Times New Roman"/>
                <w:sz w:val="14"/>
                <w:szCs w:val="14"/>
                <w:color w:val="auto"/>
              </w:rPr>
              <w:t>11,115,552</w:t>
            </w:r>
          </w:p>
        </w:tc>
        <w:tc>
          <w:tcPr>
            <w:tcW w:w="2560" w:type="dxa"/>
            <w:vAlign w:val="bottom"/>
            <w:tcBorders>
              <w:bottom w:val="single" w:sz="8" w:color="auto"/>
              <w:right w:val="single" w:sz="8" w:color="auto"/>
            </w:tcBorders>
            <w:shd w:val="clear" w:color="auto" w:fill="CCF0FC"/>
          </w:tcPr>
          <w:p>
            <w:pPr>
              <w:ind w:left="60"/>
              <w:spacing w:after="0"/>
              <w:rPr>
                <w:sz w:val="20"/>
                <w:szCs w:val="20"/>
                <w:color w:val="auto"/>
              </w:rPr>
            </w:pPr>
            <w:r>
              <w:rPr>
                <w:rFonts w:ascii="Times New Roman" w:cs="Times New Roman" w:eastAsia="Times New Roman" w:hAnsi="Times New Roman"/>
                <w:sz w:val="14"/>
                <w:szCs w:val="14"/>
                <w:color w:val="auto"/>
              </w:rPr>
              <w:t>ARISTADA INITIO</w:t>
            </w:r>
          </w:p>
        </w:tc>
        <w:tc>
          <w:tcPr>
            <w:tcW w:w="2560" w:type="dxa"/>
            <w:vAlign w:val="bottom"/>
            <w:tcBorders>
              <w:bottom w:val="single" w:sz="8" w:color="auto"/>
              <w:right w:val="single" w:sz="8" w:color="auto"/>
            </w:tcBorders>
            <w:shd w:val="clear" w:color="auto" w:fill="CCF0FC"/>
          </w:tcPr>
          <w:p>
            <w:pPr>
              <w:jc w:val="right"/>
              <w:ind w:right="2129"/>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VIVITROL</w:t>
      </w:r>
    </w:p>
    <w:p>
      <w:pPr>
        <w:spacing w:after="0" w:line="122" w:lineRule="exact"/>
        <w:rPr>
          <w:sz w:val="20"/>
          <w:szCs w:val="20"/>
          <w:color w:val="auto"/>
        </w:rPr>
      </w:pPr>
    </w:p>
    <w:p>
      <w:pPr>
        <w:ind w:left="640" w:right="719" w:firstLine="258"/>
        <w:spacing w:after="0" w:line="292" w:lineRule="auto"/>
        <w:rPr>
          <w:sz w:val="20"/>
          <w:szCs w:val="20"/>
          <w:color w:val="auto"/>
        </w:rPr>
      </w:pPr>
      <w:r>
        <w:rPr>
          <w:rFonts w:ascii="Times New Roman" w:cs="Times New Roman" w:eastAsia="Times New Roman" w:hAnsi="Times New Roman"/>
          <w:sz w:val="14"/>
          <w:szCs w:val="14"/>
          <w:color w:val="auto"/>
        </w:rPr>
        <w:t>We have a number of patents and pending patent applications covering our microsphere technology throughout the world, which, to some extent, cover VIVITROL.</w:t>
      </w:r>
    </w:p>
    <w:p>
      <w:pPr>
        <w:spacing w:after="0" w:line="70" w:lineRule="exact"/>
        <w:rPr>
          <w:sz w:val="20"/>
          <w:szCs w:val="20"/>
          <w:color w:val="auto"/>
        </w:rPr>
      </w:pPr>
    </w:p>
    <w:p>
      <w:pPr>
        <w:ind w:left="640" w:right="719" w:firstLine="258"/>
        <w:spacing w:after="0" w:line="274" w:lineRule="auto"/>
        <w:rPr>
          <w:sz w:val="20"/>
          <w:szCs w:val="20"/>
          <w:color w:val="auto"/>
        </w:rPr>
      </w:pPr>
      <w:r>
        <w:rPr>
          <w:rFonts w:ascii="Times New Roman" w:cs="Times New Roman" w:eastAsia="Times New Roman" w:hAnsi="Times New Roman"/>
          <w:sz w:val="14"/>
          <w:szCs w:val="14"/>
          <w:color w:val="auto"/>
        </w:rPr>
        <w:t xml:space="preserve">We own one unexpired Orange-Book listed U.S. patent covering VIVITROL, which expires in the U.S. in 2029. For a discussion of legal proceedings related to VIVITROL, see Note 19,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Consolidated Financial Statements” in this Annual Report.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20" w:name="page21"/>
    <w:bookmarkEnd w:id="20"/>
    <w:p>
      <w:pPr>
        <w:ind w:left="640" w:right="699" w:firstLine="258"/>
        <w:spacing w:after="0" w:line="258" w:lineRule="auto"/>
        <w:rPr>
          <w:sz w:val="20"/>
          <w:szCs w:val="20"/>
          <w:color w:val="auto"/>
        </w:rPr>
      </w:pPr>
      <w:r>
        <w:rPr>
          <w:rFonts w:ascii="Times New Roman" w:cs="Times New Roman" w:eastAsia="Times New Roman" w:hAnsi="Times New Roman"/>
          <w:sz w:val="14"/>
          <w:szCs w:val="14"/>
          <w:color w:val="auto"/>
        </w:rPr>
        <w:t xml:space="preserve">Pursuant to the terms of a confidential settlement and license agreement entered into in August 2023 with Teva, we granted Teva a non-exclusive, royalty-free, non-transferable, non-sublicensable limited license under the remaining patent covering VIVITROL to market and sell a generic version of VIVITROL in the U.S. beginning on January 15, 2027 (the “First Entry Date”), or earlier under certain circumstances. Under the terms of a settlement and license agreement entered into in July 2019 with Amneal Pharmaceuticals LLC (“Amneal”), we granted Amneal a non-exclusive license under certain patents covering VIVITROL, including the remaining patent covering VIVITROL in the U.S., to market and sell a generic formulation of VIVITROL in the U.S. beginning on the earlier of the First Entry Date, sometime in 2028 or earlier under certain circumstances. In September 2025, we entered into an authorized generic product supply agreement (the “AG Agreement”) with Amneal, pursuant to which we granted Amneal certain rights to distribute and sell in the U.S. an authorized generic version of VIVITROL (the “Amneal AG Product”) for a one-year term beginning on the date of a Third Party ANDA Product Launch (as defined in the AG Agreement);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a Third Party ANDA Product Launch does not occur within ninety (90) days after the First Entry Date (or an earlier launch date under certain circumstances) (a “Third Party ANDA Product Launch Failure”), Amneal shall no longer have the right to distribute and sell the Amneal AG Product;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in such event, upon written request from Amneal, we agreed to consider, for a period of thirty (30) days from the date of the Third Party ANDA Product Launch Failure, whether to allow Amneal a second opportunity to launch the Amneal AG Product. In the event that Amneal launches its own generic version of VIVITROL (other than the Amneal AG Product) pursuant to the July 2019 license grant described above, we would have a right to terminate the AG Agreement.</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INVEGA SUSTENNA/XEPLION, INVEGA TRINZA/TREVICTA and INVEGA HAFYERA/BYANNLI</w:t>
      </w:r>
    </w:p>
    <w:p>
      <w:pPr>
        <w:spacing w:after="0" w:line="133" w:lineRule="exact"/>
        <w:rPr>
          <w:sz w:val="20"/>
          <w:szCs w:val="20"/>
          <w:color w:val="auto"/>
        </w:rPr>
      </w:pPr>
    </w:p>
    <w:p>
      <w:pPr>
        <w:ind w:left="640" w:right="699" w:firstLine="258"/>
        <w:spacing w:after="0" w:line="265" w:lineRule="auto"/>
        <w:rPr>
          <w:sz w:val="20"/>
          <w:szCs w:val="20"/>
          <w:color w:val="auto"/>
        </w:rPr>
      </w:pPr>
      <w:r>
        <w:rPr>
          <w:rFonts w:ascii="Times New Roman" w:cs="Times New Roman" w:eastAsia="Times New Roman" w:hAnsi="Times New Roman"/>
          <w:sz w:val="14"/>
          <w:szCs w:val="14"/>
          <w:color w:val="auto"/>
        </w:rPr>
        <w:t>Our NANOCRYSTAL technology patent portfolio, licensed to Janssen, contains a number of granted patents and pending patent applications throughout the world, including in the U.S. and in countries outside of the U.S. The latest to expire of the patents subject to our license agreement expires in 2030 in the U.S., the EU and certain other countries. In addition, Janssen has other patents not subject to our license agreement, including, among others, one that covers INVEGA TRINZA in the U.S. and expires in 2036 and two that cover INVEGA HAFYERA in the U.S. and expire in 2041.</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VUMERITY</w:t>
      </w:r>
    </w:p>
    <w:p>
      <w:pPr>
        <w:spacing w:after="0" w:line="133" w:lineRule="exact"/>
        <w:rPr>
          <w:sz w:val="20"/>
          <w:szCs w:val="20"/>
          <w:color w:val="auto"/>
        </w:rPr>
      </w:pPr>
    </w:p>
    <w:p>
      <w:pPr>
        <w:jc w:val="both"/>
        <w:ind w:left="640" w:right="919" w:firstLine="258"/>
        <w:spacing w:after="0" w:line="274" w:lineRule="auto"/>
        <w:rPr>
          <w:sz w:val="20"/>
          <w:szCs w:val="20"/>
          <w:color w:val="auto"/>
        </w:rPr>
      </w:pPr>
      <w:r>
        <w:rPr>
          <w:rFonts w:ascii="Times New Roman" w:cs="Times New Roman" w:eastAsia="Times New Roman" w:hAnsi="Times New Roman"/>
          <w:sz w:val="14"/>
          <w:szCs w:val="14"/>
          <w:color w:val="auto"/>
        </w:rPr>
        <w:t>We own U.S. patents and patent applications, and a number of corresponding non-U.S. counterparts, that cover VUMERITY. U.S. Patent Nos. 8,669,281, 9,090,558 and 10,080,733, each expiring in 2033, cover compositions of, or methods of treatment for, VUMERITY.</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LYBALVI</w:t>
      </w:r>
    </w:p>
    <w:p>
      <w:pPr>
        <w:spacing w:after="0" w:line="122" w:lineRule="exact"/>
        <w:rPr>
          <w:sz w:val="20"/>
          <w:szCs w:val="20"/>
          <w:color w:val="auto"/>
        </w:rPr>
      </w:pPr>
    </w:p>
    <w:p>
      <w:pPr>
        <w:jc w:val="both"/>
        <w:ind w:left="640" w:right="679" w:firstLine="258"/>
        <w:spacing w:after="0" w:line="268" w:lineRule="auto"/>
        <w:rPr>
          <w:sz w:val="20"/>
          <w:szCs w:val="20"/>
          <w:color w:val="auto"/>
        </w:rPr>
      </w:pPr>
      <w:r>
        <w:rPr>
          <w:rFonts w:ascii="Times New Roman" w:cs="Times New Roman" w:eastAsia="Times New Roman" w:hAnsi="Times New Roman"/>
          <w:sz w:val="14"/>
          <w:szCs w:val="14"/>
          <w:color w:val="auto"/>
        </w:rPr>
        <w:t>We own or have a license to U.S. and worldwide patents and patent applications that cover a class of compounds that includes the opioid modulators in LYBALVI. In addition, we own U.S. and worldwide patents and patent applications that claim formulations and methods of treatment that cover LYBALVI. The principal owned or licensed U.S. patents for LYBALVI and their expiration dates are as follows:</w:t>
      </w:r>
    </w:p>
    <w:p>
      <w:pPr>
        <w:spacing w:after="0" w:line="135" w:lineRule="exact"/>
        <w:rPr>
          <w:sz w:val="20"/>
          <w:szCs w:val="20"/>
          <w:color w:val="auto"/>
        </w:rPr>
      </w:pPr>
    </w:p>
    <w:tbl>
      <w:tblPr>
        <w:tblLayout w:type="fixed"/>
        <w:tblInd w:w="650" w:type="dxa"/>
        <w:tblCellMar>
          <w:top w:w="0" w:type="dxa"/>
          <w:left w:w="0" w:type="dxa"/>
          <w:bottom w:w="0" w:type="dxa"/>
          <w:right w:w="0" w:type="dxa"/>
        </w:tblCellMar>
      </w:tblPr>
      <w:tr>
        <w:trPr>
          <w:trHeight w:val="129"/>
        </w:trPr>
        <w:tc>
          <w:tcPr>
            <w:tcW w:w="2620" w:type="dxa"/>
            <w:vAlign w:val="bottom"/>
            <w:tcBorders>
              <w:top w:val="single" w:sz="8" w:color="auto"/>
              <w:left w:val="single" w:sz="8" w:color="auto"/>
              <w:bottom w:val="single" w:sz="8" w:color="auto"/>
              <w:right w:val="single" w:sz="8" w:color="auto"/>
            </w:tcBorders>
          </w:tcPr>
          <w:p>
            <w:pPr>
              <w:jc w:val="right"/>
              <w:ind w:right="1789"/>
              <w:spacing w:after="0"/>
              <w:rPr>
                <w:sz w:val="20"/>
                <w:szCs w:val="20"/>
                <w:color w:val="auto"/>
              </w:rPr>
            </w:pPr>
            <w:r>
              <w:rPr>
                <w:rFonts w:ascii="Times New Roman" w:cs="Times New Roman" w:eastAsia="Times New Roman" w:hAnsi="Times New Roman"/>
                <w:sz w:val="11"/>
                <w:szCs w:val="11"/>
                <w:b w:val="1"/>
                <w:bCs w:val="1"/>
                <w:color w:val="auto"/>
              </w:rPr>
              <w:t>U.S. Patent No.</w:t>
            </w:r>
          </w:p>
        </w:tc>
        <w:tc>
          <w:tcPr>
            <w:tcW w:w="2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Product Covered</w:t>
            </w:r>
          </w:p>
        </w:tc>
        <w:tc>
          <w:tcPr>
            <w:tcW w:w="2560" w:type="dxa"/>
            <w:vAlign w:val="bottom"/>
            <w:tcBorders>
              <w:top w:val="single" w:sz="8" w:color="auto"/>
              <w:bottom w:val="single" w:sz="8" w:color="auto"/>
              <w:right w:val="single" w:sz="8" w:color="auto"/>
            </w:tcBorders>
          </w:tcPr>
          <w:p>
            <w:pPr>
              <w:jc w:val="right"/>
              <w:ind w:right="1709"/>
              <w:spacing w:after="0"/>
              <w:rPr>
                <w:sz w:val="20"/>
                <w:szCs w:val="20"/>
                <w:color w:val="auto"/>
              </w:rPr>
            </w:pPr>
            <w:r>
              <w:rPr>
                <w:rFonts w:ascii="Times New Roman" w:cs="Times New Roman" w:eastAsia="Times New Roman" w:hAnsi="Times New Roman"/>
                <w:sz w:val="11"/>
                <w:szCs w:val="11"/>
                <w:b w:val="1"/>
                <w:bCs w:val="1"/>
                <w:color w:val="auto"/>
              </w:rPr>
              <w:t>Expiration Date</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8,680,112</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2030</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9,119,848</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10,005,790</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9,126,977</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9,517,235</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9,943,514</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10,716,785</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11,185,541</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11,241,425</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11,351,166</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11,793,805</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12,194,035</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2031</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8,778,960</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2032</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10,300,054</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2033</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11,707,466</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2041</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11,951,111</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2041</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12,390,474</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LYBALVI</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2041</w:t>
            </w:r>
          </w:p>
        </w:tc>
      </w:tr>
    </w:tbl>
    <w:p>
      <w:pPr>
        <w:spacing w:after="0" w:line="103" w:lineRule="exact"/>
        <w:rPr>
          <w:sz w:val="20"/>
          <w:szCs w:val="20"/>
          <w:color w:val="auto"/>
        </w:rPr>
      </w:pPr>
    </w:p>
    <w:p>
      <w:pPr>
        <w:ind w:left="640" w:right="1239" w:firstLine="258"/>
        <w:spacing w:after="0" w:line="292" w:lineRule="auto"/>
        <w:rPr>
          <w:sz w:val="20"/>
          <w:szCs w:val="20"/>
          <w:color w:val="auto"/>
        </w:rPr>
      </w:pPr>
      <w:r>
        <w:rPr>
          <w:rFonts w:ascii="Times New Roman" w:cs="Times New Roman" w:eastAsia="Times New Roman" w:hAnsi="Times New Roman"/>
          <w:sz w:val="14"/>
          <w:szCs w:val="14"/>
          <w:color w:val="auto"/>
        </w:rPr>
        <w:t>For a discussion of legal proceedings related to patents covering LYBALVI, see Note 19, Commitments and Contingent Liabilities in the “Notes to Consolidated Financial Statements” in this Annual Report.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LUMRYZ</w:t>
      </w:r>
    </w:p>
    <w:p>
      <w:pPr>
        <w:spacing w:after="0" w:line="133" w:lineRule="exact"/>
        <w:rPr>
          <w:sz w:val="20"/>
          <w:szCs w:val="20"/>
          <w:color w:val="auto"/>
        </w:rPr>
      </w:pPr>
    </w:p>
    <w:p>
      <w:pPr>
        <w:ind w:left="640" w:right="739" w:firstLine="258"/>
        <w:spacing w:after="0" w:line="274" w:lineRule="auto"/>
        <w:rPr>
          <w:sz w:val="20"/>
          <w:szCs w:val="20"/>
          <w:color w:val="auto"/>
        </w:rPr>
      </w:pPr>
      <w:r>
        <w:rPr>
          <w:rFonts w:ascii="Times New Roman" w:cs="Times New Roman" w:eastAsia="Times New Roman" w:hAnsi="Times New Roman"/>
          <w:sz w:val="14"/>
          <w:szCs w:val="14"/>
          <w:color w:val="auto"/>
        </w:rPr>
        <w:t>We own numerous U.S. patents and patent applications, and a number of corresponding non-U.S. counterparts, that cover LUMRYZ with expiration dates spanning from mid-2037 to early-2042. LUMRYZ was also granted seven years of FDA ODE for its approved adult and pediatric narcolepsy patient populations through May 2030 and October 2031, respectively.</w:t>
      </w:r>
    </w:p>
    <w:p>
      <w:pPr>
        <w:spacing w:after="0" w:line="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Our principal U.S. patents for LUMRYZ and their expiration dates are as follows:</w:t>
      </w:r>
    </w:p>
    <w:p>
      <w:pPr>
        <w:spacing w:after="0" w:line="177" w:lineRule="exact"/>
        <w:rPr>
          <w:sz w:val="20"/>
          <w:szCs w:val="20"/>
          <w:color w:val="auto"/>
        </w:rPr>
      </w:pPr>
    </w:p>
    <w:tbl>
      <w:tblPr>
        <w:tblLayout w:type="fixed"/>
        <w:tblInd w:w="650" w:type="dxa"/>
        <w:tblCellMar>
          <w:top w:w="0" w:type="dxa"/>
          <w:left w:w="0" w:type="dxa"/>
          <w:bottom w:w="0" w:type="dxa"/>
          <w:right w:w="0" w:type="dxa"/>
        </w:tblCellMar>
      </w:tblPr>
      <w:tr>
        <w:trPr>
          <w:trHeight w:val="129"/>
        </w:trPr>
        <w:tc>
          <w:tcPr>
            <w:tcW w:w="2620" w:type="dxa"/>
            <w:vAlign w:val="bottom"/>
            <w:tcBorders>
              <w:top w:val="single" w:sz="8" w:color="auto"/>
              <w:left w:val="single" w:sz="8" w:color="auto"/>
              <w:bottom w:val="single" w:sz="8" w:color="auto"/>
              <w:right w:val="single" w:sz="8" w:color="auto"/>
            </w:tcBorders>
          </w:tcPr>
          <w:p>
            <w:pPr>
              <w:jc w:val="right"/>
              <w:ind w:right="1789"/>
              <w:spacing w:after="0"/>
              <w:rPr>
                <w:sz w:val="20"/>
                <w:szCs w:val="20"/>
                <w:color w:val="auto"/>
              </w:rPr>
            </w:pPr>
            <w:r>
              <w:rPr>
                <w:rFonts w:ascii="Times New Roman" w:cs="Times New Roman" w:eastAsia="Times New Roman" w:hAnsi="Times New Roman"/>
                <w:sz w:val="11"/>
                <w:szCs w:val="11"/>
                <w:b w:val="1"/>
                <w:bCs w:val="1"/>
                <w:color w:val="auto"/>
              </w:rPr>
              <w:t>U.S. Patent No.</w:t>
            </w:r>
          </w:p>
        </w:tc>
        <w:tc>
          <w:tcPr>
            <w:tcW w:w="2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Product Covered</w:t>
            </w:r>
          </w:p>
        </w:tc>
        <w:tc>
          <w:tcPr>
            <w:tcW w:w="2560" w:type="dxa"/>
            <w:vAlign w:val="bottom"/>
            <w:tcBorders>
              <w:top w:val="single" w:sz="8" w:color="auto"/>
              <w:bottom w:val="single" w:sz="8" w:color="auto"/>
              <w:right w:val="single" w:sz="8" w:color="auto"/>
            </w:tcBorders>
          </w:tcPr>
          <w:p>
            <w:pPr>
              <w:jc w:val="right"/>
              <w:ind w:right="1709"/>
              <w:spacing w:after="0"/>
              <w:rPr>
                <w:sz w:val="20"/>
                <w:szCs w:val="20"/>
                <w:color w:val="auto"/>
              </w:rPr>
            </w:pPr>
            <w:r>
              <w:rPr>
                <w:rFonts w:ascii="Times New Roman" w:cs="Times New Roman" w:eastAsia="Times New Roman" w:hAnsi="Times New Roman"/>
                <w:sz w:val="11"/>
                <w:szCs w:val="11"/>
                <w:b w:val="1"/>
                <w:bCs w:val="1"/>
                <w:color w:val="auto"/>
              </w:rPr>
              <w:t>Expiration Date</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10,272,062</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10,736,866</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10,925,844</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2040</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10,952,986</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10,973,795</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11,000,498</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11,052,061</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11,065,224</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11,400,065</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11,504,347</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11,583,510</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2042</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11,602,512</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11,602,513</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11,766,418</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11,779,557</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2042</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11,826,335</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11,839,597</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11,896,572</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11,986,451</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12,097,175</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12,097,176</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12,109,186</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12,115,142</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12,115,143</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12,115,144</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12,115,145</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12,128,021</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12,138,239</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12,144,793</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12,226,377</w:t>
            </w:r>
          </w:p>
        </w:tc>
        <w:tc>
          <w:tcPr>
            <w:tcW w:w="2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r>
        <w:trPr>
          <w:trHeight w:val="163"/>
        </w:trPr>
        <w:tc>
          <w:tcPr>
            <w:tcW w:w="2620" w:type="dxa"/>
            <w:vAlign w:val="bottom"/>
            <w:tcBorders>
              <w:left w:val="single" w:sz="8" w:color="auto"/>
              <w:bottom w:val="single" w:sz="8" w:color="auto"/>
              <w:right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12,303,478</w:t>
            </w:r>
          </w:p>
        </w:tc>
        <w:tc>
          <w:tcPr>
            <w:tcW w:w="25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LUMRYZ</w:t>
            </w:r>
          </w:p>
        </w:tc>
        <w:tc>
          <w:tcPr>
            <w:tcW w:w="2560" w:type="dxa"/>
            <w:vAlign w:val="bottom"/>
            <w:tcBorders>
              <w:bottom w:val="single" w:sz="8" w:color="auto"/>
              <w:right w:val="single" w:sz="8" w:color="auto"/>
            </w:tcBorders>
            <w:shd w:val="clear" w:color="auto" w:fill="CFF0FC"/>
          </w:tcPr>
          <w:p>
            <w:pPr>
              <w:jc w:val="right"/>
              <w:ind w:right="2129"/>
              <w:spacing w:after="0"/>
              <w:rPr>
                <w:sz w:val="20"/>
                <w:szCs w:val="20"/>
                <w:color w:val="auto"/>
              </w:rPr>
            </w:pPr>
            <w:r>
              <w:rPr>
                <w:rFonts w:ascii="Times New Roman" w:cs="Times New Roman" w:eastAsia="Times New Roman" w:hAnsi="Times New Roman"/>
                <w:sz w:val="14"/>
                <w:szCs w:val="14"/>
                <w:color w:val="auto"/>
              </w:rPr>
              <w:t>2037</w:t>
            </w:r>
          </w:p>
        </w:tc>
      </w:tr>
    </w:tbl>
    <w:p>
      <w:pPr>
        <w:spacing w:after="0" w:line="93"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color w:val="auto"/>
        </w:rPr>
        <w:t>Pursuant to the Avadel Settlement Agreement, we have a worldwide, non-exclusive, royalty-bearing license under any past, present, or future Jazz patents that could be asserted against LUMRYZ, to market and sell LUMRYZ for narcolepsy and, beginning March 1, 2028, for any non-narcolepsy indications, including idiopathic hypersomnia. In exchange, from October 1, 2025, Jazz will receive a royalty of 3.85% (subject to potential reduction as set forth in the agreement) on net sales of LUMRYZ sold for narcolepsy and, beginning no earlier than March 1, 2028, an additional royalty of 10% (subject to potential reduction as set forth in the agreement) on net sales of LUMRYZ sold for any future FDA-approved indications (other than narcolepsy), in each case through February 18, 2036. Avadel also agreed not to market, sell or provide services for LUMRYZ for any non-narcolepsy indications prior to March 1, 2028, and that any unpermitted sales during such timeframe would be subject to a royalty of 80% of such net sales for any quarter in which such net sales exceed $2.25 million. Among other things, Jazz also agreed not to challenge the approvability of LUMRYZ for any present or future indications and Avadel granted Jazz a covenant not to sue under the patents covering LUMRYZ in connection with Jazz’s marketing and sale of XYWAV and XYREM for any present and future indications.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Alixorexton</w:t>
      </w:r>
    </w:p>
    <w:p>
      <w:pPr>
        <w:spacing w:after="0" w:line="1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We have U.S. patent protection that extends to 2041, several U.S. patent applications, and a number of corresponding non-U.S.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counterparts that cover alixorexton.</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Protection of Proprietary Rights and Competitive Position</w:t>
      </w:r>
    </w:p>
    <w:p>
      <w:pPr>
        <w:spacing w:after="0" w:line="133" w:lineRule="exact"/>
        <w:rPr>
          <w:sz w:val="20"/>
          <w:szCs w:val="20"/>
          <w:color w:val="auto"/>
        </w:rPr>
      </w:pPr>
    </w:p>
    <w:p>
      <w:pPr>
        <w:ind w:left="640" w:right="779" w:firstLine="258"/>
        <w:spacing w:after="0" w:line="265" w:lineRule="auto"/>
        <w:rPr>
          <w:sz w:val="20"/>
          <w:szCs w:val="20"/>
          <w:color w:val="auto"/>
        </w:rPr>
      </w:pPr>
      <w:r>
        <w:rPr>
          <w:rFonts w:ascii="Times New Roman" w:cs="Times New Roman" w:eastAsia="Times New Roman" w:hAnsi="Times New Roman"/>
          <w:sz w:val="14"/>
          <w:szCs w:val="14"/>
          <w:color w:val="auto"/>
        </w:rPr>
        <w:t>We have exclusive rights through licensing agreements with third parties to issued U.S. patents, pending patent applications and corresponding patents or patent applications in countries outside the U.S, subject in certain instances to the rights of the U.S. government to use the technology covered by such patents and patent applications. Under certain licensing agreements, we are responsible for patent expenses, and we pay annual license fees and/or minimum annual royalties. In addition, under these licensing agreements, we are typically obligated to pay royalties on future sales of products, if any, covered by the licensed patents.</w:t>
      </w:r>
    </w:p>
    <w:p>
      <w:pPr>
        <w:spacing w:after="0" w:line="88" w:lineRule="exact"/>
        <w:rPr>
          <w:sz w:val="20"/>
          <w:szCs w:val="20"/>
          <w:color w:val="auto"/>
        </w:rPr>
      </w:pPr>
    </w:p>
    <w:p>
      <w:pPr>
        <w:ind w:left="640" w:right="699" w:firstLine="258"/>
        <w:spacing w:after="0" w:line="263" w:lineRule="auto"/>
        <w:rPr>
          <w:sz w:val="20"/>
          <w:szCs w:val="20"/>
          <w:color w:val="auto"/>
        </w:rPr>
      </w:pPr>
      <w:r>
        <w:rPr>
          <w:rFonts w:ascii="Times New Roman" w:cs="Times New Roman" w:eastAsia="Times New Roman" w:hAnsi="Times New Roman"/>
          <w:sz w:val="14"/>
          <w:szCs w:val="14"/>
          <w:color w:val="auto"/>
        </w:rPr>
        <w:t>There may be patents issued to third parties that relate to our products or technologies. The manufacture, use, offer for sale, sale or import of some of our products might be found to infringe on the claims of these patents. A third party might file an infringement action against us. The cost of defending such an action is likely to be high, and we might not receive a favorable ruling. There may also be patent applications filed by third parties that relate to some of our products if issued in their present form. The patent laws of the U.S. and other countries are distinct, and decisions as to patenting, validity of patents and infringement of patents may be resolved differently in different countries.</w:t>
      </w:r>
    </w:p>
    <w:p>
      <w:pPr>
        <w:spacing w:after="0" w:line="80" w:lineRule="exact"/>
        <w:rPr>
          <w:sz w:val="20"/>
          <w:szCs w:val="20"/>
          <w:color w:val="auto"/>
        </w:rPr>
      </w:pPr>
    </w:p>
    <w:p>
      <w:pPr>
        <w:jc w:val="both"/>
        <w:ind w:left="640" w:right="919" w:firstLine="258"/>
        <w:spacing w:after="0" w:line="268" w:lineRule="auto"/>
        <w:rPr>
          <w:sz w:val="20"/>
          <w:szCs w:val="20"/>
          <w:color w:val="auto"/>
        </w:rPr>
      </w:pPr>
      <w:r>
        <w:rPr>
          <w:rFonts w:ascii="Times New Roman" w:cs="Times New Roman" w:eastAsia="Times New Roman" w:hAnsi="Times New Roman"/>
          <w:sz w:val="14"/>
          <w:szCs w:val="14"/>
          <w:color w:val="auto"/>
        </w:rPr>
        <w:t>If patents exist or are issued that cover our products or technologies, we or our licensees may not be able to manufacture, use, offer for sale, sell or import some of our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w:t>
      </w:r>
    </w:p>
    <w:p>
      <w:pPr>
        <w:spacing w:after="0" w:line="86"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color w:val="auto"/>
        </w:rPr>
        <w:t>We try to protect our proprietary position by filing patent applications in the U.S. and in other countries related to our proprietary technologies, inventions and improvements that are important to the development of our business. Because the patent position of biopharmaceutical companies involves complex legal and factual questions, enforceability of patents cannot be predicted with certainty. The ultimate degree of patent protection that will be afforded to products and processes, including ours, in the U.S. and in other important markets, remains uncertain and is dependent upon the scope of protection decided upon by the patent offices, courts and lawmakers in these countries. Patents, if issued, may be challenged, invalidated or circumvented. Thus, any patents that we own or license from others may not provide any protection against competitors. Our pending patent applications, those we may file in the future, or those we may license from third parties, may not result in patents being issued. If issued, such patents may not provide us with proprietary protection or competitive advantages against competitors with similar technology. Furthermore, others may independently develop similar technologies or duplicate any technology that we have developed outside the scope of our patents. The laws of certain countries do not protect our IP rights to the same extent as the laws of the U.S.</w:t>
      </w:r>
    </w:p>
    <w:p>
      <w:pPr>
        <w:spacing w:after="0" w:line="97" w:lineRule="exact"/>
        <w:rPr>
          <w:sz w:val="20"/>
          <w:szCs w:val="20"/>
          <w:color w:val="auto"/>
        </w:rPr>
      </w:pPr>
    </w:p>
    <w:p>
      <w:pPr>
        <w:ind w:left="640" w:right="679" w:firstLine="258"/>
        <w:spacing w:after="0" w:line="262" w:lineRule="auto"/>
        <w:rPr>
          <w:sz w:val="20"/>
          <w:szCs w:val="20"/>
          <w:color w:val="auto"/>
        </w:rPr>
      </w:pPr>
      <w:r>
        <w:rPr>
          <w:rFonts w:ascii="Times New Roman" w:cs="Times New Roman" w:eastAsia="Times New Roman" w:hAnsi="Times New Roman"/>
          <w:sz w:val="14"/>
          <w:szCs w:val="14"/>
          <w:color w:val="auto"/>
        </w:rPr>
        <w:t>We also rely on trade secrets, know-how and inventions, which are not protected by patents, to maintain our competitive position. We try to protect this information by entering into confidentiality agreements with parties that have access to such information, such as our corporate partners, collaborators, licensees, employees and consultants. However, any of these parties may breach such agreements and may disclose our confidential information or our competitors might learn of the information in some other way. If any trade secret, know-how or other invention not protected by a patent were to be disclosed to, or independently developed by, a competitor, such event could materially adversely affect our business, financial condition, cash flows and results of operations. For more information, see “Item 1A—Risk Factors” in this Annual Report.</w:t>
      </w:r>
    </w:p>
    <w:p>
      <w:pPr>
        <w:spacing w:after="0" w:line="80" w:lineRule="exact"/>
        <w:rPr>
          <w:sz w:val="20"/>
          <w:szCs w:val="20"/>
          <w:color w:val="auto"/>
        </w:rPr>
      </w:pPr>
    </w:p>
    <w:p>
      <w:pPr>
        <w:ind w:left="640" w:right="659" w:firstLine="258"/>
        <w:spacing w:after="0" w:line="261" w:lineRule="auto"/>
        <w:rPr>
          <w:sz w:val="20"/>
          <w:szCs w:val="20"/>
          <w:color w:val="auto"/>
        </w:rPr>
      </w:pPr>
      <w:r>
        <w:rPr>
          <w:rFonts w:ascii="Times New Roman" w:cs="Times New Roman" w:eastAsia="Times New Roman" w:hAnsi="Times New Roman"/>
          <w:sz w:val="14"/>
          <w:szCs w:val="14"/>
          <w:color w:val="auto"/>
        </w:rPr>
        <w:t>Our trademarks, including ARISTADA, ARISTADA INITIO, LUMRYZ, LYBALVI and VIVITROL, are important to us and are generally covered by trademark applications or registrations with the U.S. Patent and Trademark Office (the “USPTO”) and the patent or trademark offices of other countries. Our licensed products and products using our proprietary technologies also use trademarks that are owned by our licensees, such as the trademarks for INVEGA SUSTENNA/XEPLION, INVEGA TRINZA/TREVICTA, INVEGA HAFYERA/BYANNLI and RISPERDAL CONSTA, which are registered trademarks of Johnson &amp; Johnson or its affiliated companies and VUMERITY, which is a registered trademark of Biogen (and used by us under license).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color w:val="2E74B5"/>
        </w:rPr>
        <w:t>Regulatory</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Regulation of Pharmaceutical Products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0070C0"/>
        </w:rPr>
        <w:t>United States</w:t>
      </w:r>
    </w:p>
    <w:p>
      <w:pPr>
        <w:spacing w:after="0" w:line="131" w:lineRule="exact"/>
        <w:rPr>
          <w:sz w:val="20"/>
          <w:szCs w:val="20"/>
          <w:color w:val="auto"/>
        </w:rPr>
      </w:pPr>
    </w:p>
    <w:p>
      <w:pPr>
        <w:ind w:left="640" w:right="679" w:firstLine="258"/>
        <w:spacing w:after="0" w:line="265" w:lineRule="auto"/>
        <w:rPr>
          <w:sz w:val="20"/>
          <w:szCs w:val="20"/>
          <w:color w:val="auto"/>
        </w:rPr>
      </w:pPr>
      <w:r>
        <w:rPr>
          <w:rFonts w:ascii="Times New Roman" w:cs="Times New Roman" w:eastAsia="Times New Roman" w:hAnsi="Times New Roman"/>
          <w:sz w:val="14"/>
          <w:szCs w:val="14"/>
          <w:color w:val="auto"/>
        </w:rPr>
        <w:t>Our current and contemplated activities, and the products and processes that result from such activities, are subject to substantial government regulation. Before new pharmaceutical products may be sold in the U.S., preclinical studies and clinical trials of the products must be conducted and the results submitted to the FDA for approval. Clinical trial programs must determine an appropriate dose and regimen, establish substantial evidence of effectiveness and define the conditions for safe use. This is a high-risk process that requires stepwise clinical studies in which the product must successfully meet pre-specified endpoints.</w:t>
      </w:r>
    </w:p>
    <w:p>
      <w:pPr>
        <w:spacing w:after="0" w:line="76" w:lineRule="exact"/>
        <w:rPr>
          <w:sz w:val="20"/>
          <w:szCs w:val="20"/>
          <w:color w:val="auto"/>
        </w:rPr>
      </w:pPr>
    </w:p>
    <w:p>
      <w:pPr>
        <w:jc w:val="both"/>
        <w:ind w:left="640" w:right="819" w:firstLine="258"/>
        <w:spacing w:after="0" w:line="269" w:lineRule="auto"/>
        <w:rPr>
          <w:sz w:val="20"/>
          <w:szCs w:val="20"/>
          <w:color w:val="auto"/>
        </w:rPr>
      </w:pPr>
      <w:r>
        <w:rPr>
          <w:rFonts w:ascii="Times New Roman" w:cs="Times New Roman" w:eastAsia="Times New Roman" w:hAnsi="Times New Roman"/>
          <w:sz w:val="14"/>
          <w:szCs w:val="14"/>
          <w:i w:val="1"/>
          <w:iCs w:val="1"/>
          <w:color w:val="0070C0"/>
        </w:rPr>
        <w:t>Preclinical Testing</w:t>
      </w:r>
      <w:r>
        <w:rPr>
          <w:rFonts w:ascii="Times New Roman" w:cs="Times New Roman" w:eastAsia="Times New Roman" w:hAnsi="Times New Roman"/>
          <w:sz w:val="14"/>
          <w:szCs w:val="14"/>
          <w:color w:val="000000"/>
        </w:rPr>
        <w:t>: Before beginning testing of any compounds with potential therapeutic value in human subjects in the U.S.,</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stringent 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w:t>
      </w:r>
    </w:p>
    <w:p>
      <w:pPr>
        <w:spacing w:after="0" w:line="84" w:lineRule="exact"/>
        <w:rPr>
          <w:sz w:val="20"/>
          <w:szCs w:val="20"/>
          <w:color w:val="auto"/>
        </w:rPr>
      </w:pPr>
    </w:p>
    <w:p>
      <w:pPr>
        <w:ind w:left="640" w:right="679" w:firstLine="258"/>
        <w:spacing w:after="0" w:line="262" w:lineRule="auto"/>
        <w:rPr>
          <w:sz w:val="20"/>
          <w:szCs w:val="20"/>
          <w:color w:val="auto"/>
        </w:rPr>
      </w:pPr>
      <w:r>
        <w:rPr>
          <w:rFonts w:ascii="Times New Roman" w:cs="Times New Roman" w:eastAsia="Times New Roman" w:hAnsi="Times New Roman"/>
          <w:sz w:val="14"/>
          <w:szCs w:val="14"/>
          <w:i w:val="1"/>
          <w:iCs w:val="1"/>
          <w:color w:val="0070C0"/>
        </w:rPr>
        <w:t>Investigational New Drug Application</w:t>
      </w:r>
      <w:r>
        <w:rPr>
          <w:rFonts w:ascii="Times New Roman" w:cs="Times New Roman" w:eastAsia="Times New Roman" w:hAnsi="Times New Roman"/>
          <w:sz w:val="14"/>
          <w:szCs w:val="14"/>
          <w:color w:val="000000"/>
        </w:rPr>
        <w:t>: All available data from animal pharmacology and toxicology studies are included in an</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Investigational New Drug application (“IND”) submitted to the FDA and are reviewed by the FDA prior to commencement of first-in-human clinical trials. The preclinical data must provide an adequate basis for evaluating both the safety and the scientific rationale for the initial clinical studies in human subjects. In certain cases where human clinical data from ex-U.S. studies are available prior to submitting the IND, these data would also be included in the IND for review by the FDA prior to commencing clinical trials in the U.S. In addition, information pertaining to the composition, manufacturer, stability, and controls used for manufacturing the drug substance and the drug product are included in the IND to support identification, quality, purity, and strength of the investigational drug product.</w:t>
      </w:r>
    </w:p>
    <w:p>
      <w:pPr>
        <w:spacing w:after="0" w:line="263" w:lineRule="exact"/>
        <w:rPr>
          <w:sz w:val="20"/>
          <w:szCs w:val="20"/>
          <w:color w:val="auto"/>
        </w:rPr>
      </w:pPr>
    </w:p>
    <w:p>
      <w:pPr>
        <w:ind w:left="640" w:right="659" w:firstLine="258"/>
        <w:spacing w:after="0" w:line="264" w:lineRule="auto"/>
        <w:rPr>
          <w:sz w:val="20"/>
          <w:szCs w:val="20"/>
          <w:color w:val="auto"/>
        </w:rPr>
      </w:pPr>
      <w:r>
        <w:rPr>
          <w:rFonts w:ascii="Times New Roman" w:cs="Times New Roman" w:eastAsia="Times New Roman" w:hAnsi="Times New Roman"/>
          <w:sz w:val="14"/>
          <w:szCs w:val="14"/>
          <w:i w:val="1"/>
          <w:iCs w:val="1"/>
          <w:color w:val="0070C0"/>
        </w:rPr>
        <w:t>Clinical Trials</w:t>
      </w:r>
      <w:r>
        <w:rPr>
          <w:rFonts w:ascii="Times New Roman" w:cs="Times New Roman" w:eastAsia="Times New Roman" w:hAnsi="Times New Roman"/>
          <w:sz w:val="14"/>
          <w:szCs w:val="14"/>
          <w:color w:val="000000"/>
        </w:rPr>
        <w:t>: Clinical trials involve the administration of an investigational drug to healthy human volunteers or to patients</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under the supervision of a qualified investigator pursuant to an FDA-reviewed protocol. Human clinical trials are typically conducted in three sequential phases, although the phases may overlap with one another and, depending upon the nature of the clinical program, a specific phase or phases may be skipped altogether. Clinical trials must be conducted under protocols that detail the objectives of the study, the parameters to be used to monitor safety, and the efficacy criteria, if any, to be evaluated. Each protocol must be submitted to the FDA as part of the applicable IND.</w:t>
      </w:r>
    </w:p>
    <w:p>
      <w:pPr>
        <w:spacing w:after="0" w:line="56" w:lineRule="exact"/>
        <w:rPr>
          <w:sz w:val="20"/>
          <w:szCs w:val="20"/>
          <w:color w:val="auto"/>
        </w:rPr>
      </w:pPr>
    </w:p>
    <w:p>
      <w:pPr>
        <w:ind w:left="1340" w:right="1159" w:hanging="249"/>
        <w:spacing w:after="0" w:line="292"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clinical trials—test for safety, tolerability, absorption, bio-distribution, metabolism, excretion and clinical pharmacology and, if possible, to gain early evidence regarding efficacy.</w:t>
      </w:r>
    </w:p>
    <w:p>
      <w:pPr>
        <w:spacing w:after="0" w:line="37" w:lineRule="exact"/>
        <w:rPr>
          <w:rFonts w:ascii="Times New Roman" w:cs="Times New Roman" w:eastAsia="Times New Roman" w:hAnsi="Times New Roman"/>
          <w:sz w:val="14"/>
          <w:szCs w:val="14"/>
          <w:color w:val="auto"/>
        </w:rPr>
      </w:pPr>
    </w:p>
    <w:p>
      <w:pPr>
        <w:ind w:left="1340" w:right="679" w:hanging="249"/>
        <w:spacing w:after="0" w:line="274"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 clinical trials—involve a relatively small sample of the intended patient population and seek to assess the efficacy of the drug for targeted indications, to determine dose-response and the optimal dose range and to gather additional information relating to the safety profile.</w:t>
      </w:r>
    </w:p>
    <w:p>
      <w:pPr>
        <w:spacing w:after="0" w:line="50" w:lineRule="exact"/>
        <w:rPr>
          <w:rFonts w:ascii="Times New Roman" w:cs="Times New Roman" w:eastAsia="Times New Roman" w:hAnsi="Times New Roman"/>
          <w:sz w:val="14"/>
          <w:szCs w:val="14"/>
          <w:color w:val="auto"/>
        </w:rPr>
      </w:pPr>
    </w:p>
    <w:p>
      <w:pPr>
        <w:ind w:left="1340" w:right="899" w:hanging="249"/>
        <w:spacing w:after="0" w:line="292"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 clinical trials—consist of expanded, large-scale studies of patients with the target disease or disorder to obtain definitive statistical evidence of the efficacy and safety of the proposed product and dosing regimen.</w:t>
      </w:r>
    </w:p>
    <w:p>
      <w:pPr>
        <w:spacing w:after="0" w:line="59" w:lineRule="exact"/>
        <w:rPr>
          <w:sz w:val="20"/>
          <w:szCs w:val="20"/>
          <w:color w:val="auto"/>
        </w:rPr>
      </w:pPr>
    </w:p>
    <w:p>
      <w:pPr>
        <w:ind w:left="640" w:right="659" w:firstLine="258"/>
        <w:spacing w:after="0" w:line="262" w:lineRule="auto"/>
        <w:rPr>
          <w:sz w:val="20"/>
          <w:szCs w:val="20"/>
          <w:color w:val="auto"/>
        </w:rPr>
      </w:pPr>
      <w:r>
        <w:rPr>
          <w:rFonts w:ascii="Times New Roman" w:cs="Times New Roman" w:eastAsia="Times New Roman" w:hAnsi="Times New Roman"/>
          <w:sz w:val="14"/>
          <w:szCs w:val="14"/>
          <w:color w:val="auto"/>
        </w:rPr>
        <w:t>In the U.S., the results of the preclinical and clinical testing of a product are then submitted to the FDA in the form of a New Drug Application (“NDA”) or a Biologics License Application (“BLA”), depending on the nature of the product. The NDA or BLA also include information pertaining to the chemistry, manufacturing and controls (“CMC”) of the product as well as the proposed product packaging and labeling. The submission of an application is not a guarantee that the FDA will find the application complete and accept it for filing. The FDA may refuse to file the application if it is not considered sufficiently complete to permit a review and will inform the applicant of the reason for the refusal. The applicant may then resubmit the application and include supplemental information.</w:t>
      </w:r>
    </w:p>
    <w:p>
      <w:pPr>
        <w:spacing w:after="0" w:line="266" w:lineRule="exact"/>
        <w:rPr>
          <w:sz w:val="20"/>
          <w:szCs w:val="20"/>
          <w:color w:val="auto"/>
        </w:rPr>
      </w:pPr>
    </w:p>
    <w:p>
      <w:pPr>
        <w:ind w:left="640" w:right="659" w:firstLine="258"/>
        <w:spacing w:after="0" w:line="261" w:lineRule="auto"/>
        <w:rPr>
          <w:sz w:val="20"/>
          <w:szCs w:val="20"/>
          <w:color w:val="auto"/>
        </w:rPr>
      </w:pPr>
      <w:r>
        <w:rPr>
          <w:rFonts w:ascii="Times New Roman" w:cs="Times New Roman" w:eastAsia="Times New Roman" w:hAnsi="Times New Roman"/>
          <w:sz w:val="14"/>
          <w:szCs w:val="14"/>
          <w:color w:val="auto"/>
        </w:rPr>
        <w:t>Once an NDA or BLA is accepted for filing, the FDA has 10 months, under its standard review process, within which to review the application (for some applications, the review process is longer than 10 months). For drugs that, if approved, would represent a significant improvement in the safety or effectiveness of the treatment, diagnosis, or prevention of serious conditions when compared to standard applications, the FDA may assign “priority review” designation and review the application within six months of filing. The FDA has additional review pathways to expedite development and review of new drugs that are intended to treat serious or life-threatening conditions and demonstrate the potential to address unmet medical needs, including: “Fast Track,” “Breakthrough Therapy,” and “Accelerated Approval.” However, none of these expedited pathways ensure that a product will receive FDA approval in a timely manner or at all.</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24" w:name="page25"/>
    <w:bookmarkEnd w:id="24"/>
    <w:p>
      <w:pPr>
        <w:ind w:left="640" w:right="759" w:firstLine="258"/>
        <w:spacing w:after="0" w:line="262" w:lineRule="auto"/>
        <w:rPr>
          <w:sz w:val="20"/>
          <w:szCs w:val="20"/>
          <w:color w:val="auto"/>
        </w:rPr>
      </w:pPr>
      <w:r>
        <w:rPr>
          <w:rFonts w:ascii="Times New Roman" w:cs="Times New Roman" w:eastAsia="Times New Roman" w:hAnsi="Times New Roman"/>
          <w:sz w:val="14"/>
          <w:szCs w:val="14"/>
          <w:color w:val="auto"/>
        </w:rPr>
        <w:t>As part of its review, the FDA may refer the application to an advisory committee for independent advice on questions related to the development of the drug, recommendation as to whether the application should be approved or other guidance that the FDA may seek. The FDA is not bound by the recommendation of an advisory committee; however, historically, it has often followed such recommendations. The FDA may determine that a Risk Evaluation and Mitigation Strategy (“REMS”) is necessary to ensure that the benefits of a new product outweigh its risks. If required, a REMS may include various elements, such as publication of a medication guide, a patient package insert, a communication plan to educate healthcare providers of the drug’s risks, limitations on who may prescribe or dispense the drug, or other measures that the FDA deems necessary to support the safe use of the drug.</w:t>
      </w:r>
    </w:p>
    <w:p>
      <w:pPr>
        <w:spacing w:after="0" w:line="91" w:lineRule="exact"/>
        <w:rPr>
          <w:sz w:val="20"/>
          <w:szCs w:val="20"/>
          <w:color w:val="auto"/>
        </w:rPr>
      </w:pPr>
    </w:p>
    <w:p>
      <w:pPr>
        <w:ind w:left="640" w:right="719" w:firstLine="258"/>
        <w:spacing w:after="0" w:line="258" w:lineRule="auto"/>
        <w:rPr>
          <w:sz w:val="20"/>
          <w:szCs w:val="20"/>
          <w:color w:val="auto"/>
        </w:rPr>
      </w:pPr>
      <w:r>
        <w:rPr>
          <w:rFonts w:ascii="Times New Roman" w:cs="Times New Roman" w:eastAsia="Times New Roman" w:hAnsi="Times New Roman"/>
          <w:sz w:val="14"/>
          <w:szCs w:val="14"/>
          <w:color w:val="auto"/>
        </w:rPr>
        <w:t>In reviewing an NDA or BLA, the FDA may grant marketing approval, or issue a complete response letter to communicate to the applicant the reasons the application cannot be approved in its then-current form and provide input on the additional information that the FDA requires and/or changes that must be made before an application can be approved. Even if such additional information is submitted to the FDA or such changes made, the FDA may ultimately decide that the NDA or BLA still does not satisfy the FDA’s criteria for approval. The receipt of regulatory approval often takes a number of years, involves the expenditure of substantial resources and depends on a number of factors, including the severity of the disease in question, the availability of alternative treatments, efficacy and potential safety signals observed in preclinical tests or clinical trials, and the risks and benefits demonstrated in clinical trials. It is impossible to predict with any certainty whether and when the FDA will grant marketing approval for a given product. Even if a product is approved, the approval may be subject to limitations based on the FDA’s interpretation of the data. For example, the FDA may require, as a condition of approval, restricted distribution and use, enhanced labeling, special packaging or labeling, expedited reporting of certain adverse events, pre-approval of promotional materials or restrictions on direct-to-consumer advertising, any of which could negatively impact the commercial success of a drug. The FDA may also require a sponsor to conduct additional post-marketing studies as a condition of approval to provide data on safety and effectiveness. In addition, prior to commercialization, products that may be deemed controlled substances are subject to review and scheduling by the DEA.</w:t>
      </w:r>
    </w:p>
    <w:p>
      <w:pPr>
        <w:spacing w:after="0" w:line="101" w:lineRule="exact"/>
        <w:rPr>
          <w:sz w:val="20"/>
          <w:szCs w:val="20"/>
          <w:color w:val="auto"/>
        </w:rPr>
      </w:pPr>
    </w:p>
    <w:p>
      <w:pPr>
        <w:ind w:left="640" w:right="779" w:firstLine="258"/>
        <w:spacing w:after="0" w:line="265" w:lineRule="auto"/>
        <w:rPr>
          <w:sz w:val="20"/>
          <w:szCs w:val="20"/>
          <w:color w:val="auto"/>
        </w:rPr>
      </w:pPr>
      <w:r>
        <w:rPr>
          <w:rFonts w:ascii="Times New Roman" w:cs="Times New Roman" w:eastAsia="Times New Roman" w:hAnsi="Times New Roman"/>
          <w:sz w:val="14"/>
          <w:szCs w:val="14"/>
          <w:color w:val="auto"/>
        </w:rPr>
        <w:t>The FDA tracks information on side effects and adverse events reported during clinical studies and after marketing approval. Non-compliance with safety reporting requirements may result in civil or criminal penalties. Side effects or adverse events that are identified during clinical trials can delay, impede or prevent marketing approval. Based on new safety information that emerges after approval, the FDA can mandate product labeling changes, impose a REMS or the addition of elements to an existing REMS, require new post-marketing studies (including additional clinical trials), or suspend or withdraw approval of the product.</w:t>
      </w:r>
    </w:p>
    <w:p>
      <w:pPr>
        <w:spacing w:after="0" w:line="78" w:lineRule="exact"/>
        <w:rPr>
          <w:sz w:val="20"/>
          <w:szCs w:val="20"/>
          <w:color w:val="auto"/>
        </w:rPr>
      </w:pPr>
    </w:p>
    <w:p>
      <w:pPr>
        <w:ind w:left="640" w:right="659" w:firstLine="258"/>
        <w:spacing w:after="0" w:line="263" w:lineRule="auto"/>
        <w:rPr>
          <w:sz w:val="20"/>
          <w:szCs w:val="20"/>
          <w:color w:val="auto"/>
        </w:rPr>
      </w:pPr>
      <w:r>
        <w:rPr>
          <w:rFonts w:ascii="Times New Roman" w:cs="Times New Roman" w:eastAsia="Times New Roman" w:hAnsi="Times New Roman"/>
          <w:sz w:val="14"/>
          <w:szCs w:val="14"/>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adding a new indication, we would be required to demonstrate with additional clinical data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91" w:lineRule="exact"/>
        <w:rPr>
          <w:sz w:val="20"/>
          <w:szCs w:val="20"/>
          <w:color w:val="auto"/>
        </w:rPr>
      </w:pPr>
    </w:p>
    <w:p>
      <w:pPr>
        <w:ind w:left="640" w:right="719" w:firstLine="258"/>
        <w:spacing w:after="0" w:line="261" w:lineRule="auto"/>
        <w:rPr>
          <w:sz w:val="20"/>
          <w:szCs w:val="20"/>
          <w:color w:val="auto"/>
        </w:rPr>
      </w:pPr>
      <w:r>
        <w:rPr>
          <w:rFonts w:ascii="Times New Roman" w:cs="Times New Roman" w:eastAsia="Times New Roman" w:hAnsi="Times New Roman"/>
          <w:sz w:val="14"/>
          <w:szCs w:val="14"/>
          <w:color w:val="auto"/>
        </w:rPr>
        <w:t>In addition, the FDA regulates all advertising and promotional activities for products under its jurisdiction. A company can make only those claims relating to safety and efficacy that are consistent with FDA regulation and guidance, and the product’s approved label. However, physicians may prescribe legally available drugs for uses that are not described in the drug’s labeling. Such off-label uses are common across certain medical specialties and often reflect a physician’s belief that the off-label use is the best treatment for a particular patient. The FDA does not regulate the behavior of physicians in their choice of treatments, but the FDA regulations do impose stringent restrictions on manufacturers’ communications regarding off-label uses. Failure to comply with applicable FDA requirements may subject a company to adverse publicity, enforcement action by the FDA and the U.S. Department of Justice, corrective advertising and the full range of civil and criminal penalties available to the FDA and the U.S. Department of Justice.</w:t>
      </w:r>
    </w:p>
    <w:p>
      <w:pPr>
        <w:spacing w:after="0" w:line="90"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i w:val="1"/>
          <w:iCs w:val="1"/>
          <w:color w:val="0070C0"/>
        </w:rPr>
        <w:t>Controlled Substances Act</w:t>
      </w:r>
      <w:r>
        <w:rPr>
          <w:rFonts w:ascii="Times New Roman" w:cs="Times New Roman" w:eastAsia="Times New Roman" w:hAnsi="Times New Roman"/>
          <w:sz w:val="14"/>
          <w:szCs w:val="14"/>
          <w:color w:val="000000"/>
        </w:rPr>
        <w:t>: The DEA regulates pharmaceutical products that are controlled substances. Controlled substances are</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those drugs that appear on one of the five schedules promulgated and administered by the DEA under the CSA. Schedule I substances by definition have a high potential for abuse, have no currently “accepted medical use” in the U.S., lack accepted safety for use under medical supervision, and may not be prescribed, marketed or sold in the U.S. Pharmaceutical products approved for use in the U.S. may be listed as Schedule II, III, IV or V, with Schedule II substances considered to present the highest potential for abuse or dependence and Schedule V substances the lowest relative risk of abuse. If a product is classified as a controlled substance, it must undergo the process of scheduling by the DEA into one of these five schedules, which is a process that is separate from FDA approval of the NDA for such product and may delay the commercial launch of such product even after FDA approval. The CSA also governs, among other things, the inventory, distribution, recordkeeping, handling, security and disposal of controlled substances. Schedule I and II drugs are subject to the strictest controls, including manufacturing and procurement quotas, heightened security requirements and additional criteria for importation. In addition, dispensing of Schedule II drugs is subject to additional requirements. Further, companies with a scheduled pharmaceutical product are subject to periodic and ongoing inspections by the DEA and similar state drug enforcement authorities to assess ongoing compliance with the DEA’s regulations.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5" w:name="page26"/>
    <w:bookmarkEnd w:id="25"/>
    <w:p>
      <w:pPr>
        <w:ind w:left="640" w:right="799" w:firstLine="258"/>
        <w:spacing w:after="0" w:line="262" w:lineRule="auto"/>
        <w:rPr>
          <w:sz w:val="20"/>
          <w:szCs w:val="20"/>
          <w:color w:val="auto"/>
        </w:rPr>
      </w:pPr>
      <w:r>
        <w:rPr>
          <w:rFonts w:ascii="Times New Roman" w:cs="Times New Roman" w:eastAsia="Times New Roman" w:hAnsi="Times New Roman"/>
          <w:sz w:val="14"/>
          <w:szCs w:val="14"/>
          <w:color w:val="auto"/>
        </w:rPr>
        <w:t>Any person or firm that manufactures, distributes, dispenses, imports, or exports any controlled substance, or proposes to do so, must register with the DEA for a specific business activity related to controlled substances, including manufacturing or distributing, and may engage in only the activity or activities for which it is registered. The DEA conducts periodic inspections of registered establishments for compliance with its rules and regulations. Any failure to comply with these regulations could lead to a variety of sanctions, including the revocation, or a denial of renewal, of any DEA registration and injunctions, or civil or criminal penalties. In addition to these U.S. federal statutory obligations, there may be additional U.S. state and local laws and regulations relevant to the handling of controlled substances.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0070C0"/>
        </w:rPr>
        <w:t>Outside the United States</w:t>
      </w:r>
    </w:p>
    <w:p>
      <w:pPr>
        <w:spacing w:after="0" w:line="120" w:lineRule="exact"/>
        <w:rPr>
          <w:sz w:val="20"/>
          <w:szCs w:val="20"/>
          <w:color w:val="auto"/>
        </w:rPr>
      </w:pPr>
    </w:p>
    <w:p>
      <w:pPr>
        <w:ind w:left="640" w:right="679" w:firstLine="258"/>
        <w:spacing w:after="0" w:line="261" w:lineRule="auto"/>
        <w:rPr>
          <w:sz w:val="20"/>
          <w:szCs w:val="20"/>
          <w:color w:val="auto"/>
        </w:rPr>
      </w:pPr>
      <w:r>
        <w:rPr>
          <w:rFonts w:ascii="Times New Roman" w:cs="Times New Roman" w:eastAsia="Times New Roman" w:hAnsi="Times New Roman"/>
          <w:sz w:val="14"/>
          <w:szCs w:val="14"/>
          <w:color w:val="auto"/>
        </w:rPr>
        <w:t>Certain of our products are commercialized by our licensees in numerous jurisdictions outside the U.S. Most of these jurisdictions have product approval and post-approval regulatory processes that are similar in principle to those in the U.S. In Europe, there are several mechanisms for marketing approval, depending on the type of product for which approval is sought. Under the centralized procedure, a company submits a single application to the European Medicines Agency (“EMA”). The marketing application is evaluated by the Committee for Medicinal Products for Human Use (“CHMP”), the expert scientific committee of the EMA. If the CHMP determines that the marketing application fulfills the requirements for quality, safety, and efficacy, it will submit a favorable opinion to the European Commission (“EC”). The CHMP opinion is not binding, but is typically adopted by the EC. A marketing application approved by the EC is valid in all EU member states.</w:t>
      </w:r>
    </w:p>
    <w:p>
      <w:pPr>
        <w:spacing w:after="0" w:line="92" w:lineRule="exact"/>
        <w:rPr>
          <w:sz w:val="20"/>
          <w:szCs w:val="20"/>
          <w:color w:val="auto"/>
        </w:rPr>
      </w:pPr>
    </w:p>
    <w:p>
      <w:pPr>
        <w:ind w:left="640" w:right="739" w:firstLine="258"/>
        <w:spacing w:after="0" w:line="263" w:lineRule="auto"/>
        <w:rPr>
          <w:sz w:val="20"/>
          <w:szCs w:val="20"/>
          <w:color w:val="auto"/>
        </w:rPr>
      </w:pPr>
      <w:r>
        <w:rPr>
          <w:rFonts w:ascii="Times New Roman" w:cs="Times New Roman" w:eastAsia="Times New Roman" w:hAnsi="Times New Roman"/>
          <w:sz w:val="14"/>
          <w:szCs w:val="14"/>
          <w:color w:val="auto"/>
        </w:rPr>
        <w:t>In addition to this centralized procedure, Europe also has: (i) a nationalized procedure, which requires a separate application to, and approval determination by, each country; (ii) a decentralized procedure, whereby applicants submit identical applications to several countries and receive simultaneous approval; and (iii) a mutual recognition procedure, where applicants submit an application to one country for review and other countries may accept or reject the initial decision. Regardless of the approval process employed, various parties share responsibilities for the monitoring, detection and evaluation of adverse events post-approval, including national authorities, the EMA, the EC, other relevant regulatory authorities and the marketing authorization holder.</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Good Manufacturing Practices</w:t>
      </w:r>
    </w:p>
    <w:p>
      <w:pPr>
        <w:spacing w:after="0" w:line="133" w:lineRule="exact"/>
        <w:rPr>
          <w:sz w:val="20"/>
          <w:szCs w:val="20"/>
          <w:color w:val="auto"/>
        </w:rPr>
      </w:pPr>
    </w:p>
    <w:p>
      <w:pPr>
        <w:ind w:left="640" w:right="659" w:firstLine="258"/>
        <w:spacing w:after="0" w:line="260" w:lineRule="auto"/>
        <w:rPr>
          <w:sz w:val="20"/>
          <w:szCs w:val="20"/>
          <w:color w:val="auto"/>
        </w:rPr>
      </w:pPr>
      <w:r>
        <w:rPr>
          <w:rFonts w:ascii="Times New Roman" w:cs="Times New Roman" w:eastAsia="Times New Roman" w:hAnsi="Times New Roman"/>
          <w:sz w:val="14"/>
          <w:szCs w:val="14"/>
          <w:color w:val="auto"/>
        </w:rPr>
        <w:t>The FDA, the EMA, the competent authorities of the EU member states and other regulatory agencies regulate and inspect equipment, facilities and processes used in the manufacturing of pharmaceutical products prior to approving a product. Once approval from a regulatory agency is obtained, if a company makes a material change in manufacturing equipment, location or process, additional regulatory review and approval may be required. Companies also must adhere to cGMP and product-specific regulations enforced by the FDA and other regulatory agencies both in the manufacture of clinical product and following product approval. The FDA, the EMA and other regulatory agencies also conduct regular, periodic visits to re-inspect equipment, facilities and processes following the initial approval of a product and may also request that certain information or records be provided in writing for review in lieu of an on-site visit. If, as a result of these inspections or records reviews,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Good Clinical Practices</w:t>
      </w:r>
    </w:p>
    <w:p>
      <w:pPr>
        <w:spacing w:after="0" w:line="133" w:lineRule="exact"/>
        <w:rPr>
          <w:sz w:val="20"/>
          <w:szCs w:val="20"/>
          <w:color w:val="auto"/>
        </w:rPr>
      </w:pPr>
    </w:p>
    <w:p>
      <w:pPr>
        <w:ind w:left="640" w:right="659" w:firstLine="258"/>
        <w:spacing w:after="0" w:line="260" w:lineRule="auto"/>
        <w:rPr>
          <w:sz w:val="20"/>
          <w:szCs w:val="20"/>
          <w:color w:val="auto"/>
        </w:rPr>
      </w:pPr>
      <w:r>
        <w:rPr>
          <w:rFonts w:ascii="Times New Roman" w:cs="Times New Roman" w:eastAsia="Times New Roman" w:hAnsi="Times New Roman"/>
          <w:sz w:val="14"/>
          <w:szCs w:val="14"/>
          <w:color w:val="auto"/>
        </w:rPr>
        <w:t>The FDA, the EMA and other regulatory agencies promulgate regulations and standards, commonly referred to as Good Clinical Practices (“GCP”), for designing, conducting, monitoring, auditing and reporting the results of clinical trials to ensure that the data and results are accurate and that the trial participants are adequately protected. The FDA, the EMA and other regulatory agencies enforce GCP through periodic inspections of trial sponsors, principal investigators, trial sites, contract research organizations (“CROs”) and institutional review boards. If our studies fail to comply with applicable GCP, patient safety and well-being could be impacted,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GCP can likewise result in rejection of our clinical trial data or other sanctions.</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Hatch-Waxman Act</w:t>
      </w:r>
    </w:p>
    <w:p>
      <w:pPr>
        <w:spacing w:after="0" w:line="133" w:lineRule="exact"/>
        <w:rPr>
          <w:sz w:val="20"/>
          <w:szCs w:val="20"/>
          <w:color w:val="auto"/>
        </w:rPr>
      </w:pPr>
    </w:p>
    <w:p>
      <w:pPr>
        <w:ind w:left="640" w:right="659" w:firstLine="258"/>
        <w:spacing w:after="0" w:line="262" w:lineRule="auto"/>
        <w:rPr>
          <w:sz w:val="20"/>
          <w:szCs w:val="20"/>
          <w:color w:val="auto"/>
        </w:rPr>
      </w:pPr>
      <w:r>
        <w:rPr>
          <w:rFonts w:ascii="Times New Roman" w:cs="Times New Roman" w:eastAsia="Times New Roman" w:hAnsi="Times New Roman"/>
          <w:sz w:val="14"/>
          <w:szCs w:val="14"/>
          <w:color w:val="auto"/>
        </w:rPr>
        <w:t>Under the U.S. Drug Price Competition and Patent Term Restoration Act of 1984 (the “Hatch-Waxman Act”), Congress created an abbreviated FDA review process for generic versions of pioneer, or brand-name, drug products. The law also provides incentives by awarding, in certain circumstances, non-patent related marketing exclusivities to pioneer drug manufacturers. Newly approved drug products and changes to the conditions of use of approved products may benefit from periods of non-patent-related marketing exclusivity in addition to any patent protection the drug product may have. The Hatch-Waxman Act provides five years of new chemical entity (“NCE”) marketing exclusivity to the first applicant to gain approval of an NDA for a product that contains an active ingredient, known as the active drug moiety, not found in any other approved product. The FDA is prohibited from accepting any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6" w:name="page27"/>
    <w:bookmarkEnd w:id="26"/>
    <w:p>
      <w:pPr>
        <w:ind w:left="640" w:right="719"/>
        <w:spacing w:after="0" w:line="261" w:lineRule="auto"/>
        <w:rPr>
          <w:sz w:val="20"/>
          <w:szCs w:val="20"/>
          <w:color w:val="auto"/>
        </w:rPr>
      </w:pPr>
      <w:r>
        <w:rPr>
          <w:rFonts w:ascii="Times New Roman" w:cs="Times New Roman" w:eastAsia="Times New Roman" w:hAnsi="Times New Roman"/>
          <w:sz w:val="14"/>
          <w:szCs w:val="14"/>
          <w:color w:val="auto"/>
        </w:rPr>
        <w:t>abbreviated new drug application (“ANDA”) for a generic drug or 505(b)(2) application referencing the NCE for five years from the date of approval of the NCE, or four years in the case of an ANDA or 505(b)(2) application containing a patent challenge, and in both cases may not approve such generic drug or 505(b)(2) application until expiration of NCE marketing exclusivity. A 505(b)(2) application is an NDA in which the applicant relies, in part, on data and the FDA’s findings of safety and efficacy from studies not conducted by or for the applicant and for which the applicant has not obtained a right of reference. Hatch-Waxman Act exclusivities will not prevent the submission or approval of a full NDA (e.g., under 505(b)(1)), as opposed to an ANDA or 505(b)(2) application, for any drug, including, for example, a drug with the same active ingredient, dosage form, route of administration, strength and conditions of use.</w:t>
      </w:r>
    </w:p>
    <w:p>
      <w:pPr>
        <w:spacing w:after="0" w:line="92" w:lineRule="exact"/>
        <w:rPr>
          <w:sz w:val="20"/>
          <w:szCs w:val="20"/>
          <w:color w:val="auto"/>
        </w:rPr>
      </w:pPr>
    </w:p>
    <w:p>
      <w:pPr>
        <w:ind w:left="640" w:right="719" w:firstLine="258"/>
        <w:spacing w:after="0" w:line="265" w:lineRule="auto"/>
        <w:rPr>
          <w:sz w:val="20"/>
          <w:szCs w:val="20"/>
          <w:color w:val="auto"/>
        </w:rPr>
      </w:pPr>
      <w:r>
        <w:rPr>
          <w:rFonts w:ascii="Times New Roman" w:cs="Times New Roman" w:eastAsia="Times New Roman" w:hAnsi="Times New Roman"/>
          <w:sz w:val="14"/>
          <w:szCs w:val="14"/>
          <w:color w:val="auto"/>
        </w:rPr>
        <w:t>The Hatch-Waxman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However, this exclusivity only protects against the approval of ANDAs and 505(b)(2) applications for the protected use and will not prohibit the FDA from accepting or approving ANDAs or 505(b)(2) applications for other products containing the same active ingredient.</w:t>
      </w:r>
    </w:p>
    <w:p>
      <w:pPr>
        <w:spacing w:after="0" w:line="88" w:lineRule="exact"/>
        <w:rPr>
          <w:sz w:val="20"/>
          <w:szCs w:val="20"/>
          <w:color w:val="auto"/>
        </w:rPr>
      </w:pPr>
    </w:p>
    <w:p>
      <w:pPr>
        <w:ind w:left="640" w:right="679" w:firstLine="258"/>
        <w:spacing w:after="0" w:line="258" w:lineRule="auto"/>
        <w:rPr>
          <w:sz w:val="20"/>
          <w:szCs w:val="20"/>
          <w:color w:val="auto"/>
        </w:rPr>
      </w:pPr>
      <w:r>
        <w:rPr>
          <w:rFonts w:ascii="Times New Roman" w:cs="Times New Roman" w:eastAsia="Times New Roman" w:hAnsi="Times New Roman"/>
          <w:sz w:val="14"/>
          <w:szCs w:val="14"/>
          <w:color w:val="auto"/>
        </w:rPr>
        <w:t>The Hatch-Waxman Act requires NDA applicants and NDA holders to provide certain information about patents related to the drug for listing in the FDA’s Approved Drugs Product List, commonly referred to as the Orange Book. ANDA and 505(b)(2) applicants must then certify regarding each of the patents listed with the FDA for the reference product. A certification that a listed patent is invalid or will not be infringed by the marketing of the applicant’s product is called a “Paragraph IV certification.” If the ANDA or 505(b)(2) applicant provides such a notification of patent invalidity or noninfringement, then the FDA may accept the ANDA or 505(b)(2) application four years after approval of the NDA for an NCE. If a Paragraph IV certification is filed and the ANDA or 505(b)(2) application has been accepted as a reviewable filing by the FDA, the ANDA or 505(b)(2) applicant must then, within 20 days, provide notice to the NDA holder and patent owner stating that the application has been submitted and providing the factual and legal basis for the applicant’s opinion that the patent is invalid or not infringed. The NDA holder or patent owner may file suit against the ANDA or 505(b)(2) applicant for patent infringement. If this is done within 45 days of receiving notice of the Paragraph IV certification, a one-time, 30-month stay of the FDA’s ability to approve the ANDA or 505(b)(2) application is triggered. The 30-month stay begins at the end of the NDA holder’s data exclusivity period, or, if data exclusivity has expired, on the date that the patent holder is notified. The FDA may approve the proposed product before the expiration of the 30-month stay if a court finds the patent invalid or not infringed, or if the court shortens the period because the parties have failed to cooperate in expediting the litigation.</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Orphan Drug Act</w:t>
      </w:r>
    </w:p>
    <w:p>
      <w:pPr>
        <w:spacing w:after="0" w:line="133" w:lineRule="exact"/>
        <w:rPr>
          <w:sz w:val="20"/>
          <w:szCs w:val="20"/>
          <w:color w:val="auto"/>
        </w:rPr>
      </w:pPr>
    </w:p>
    <w:p>
      <w:pPr>
        <w:ind w:left="640" w:right="679" w:firstLine="258"/>
        <w:spacing w:after="0" w:line="260" w:lineRule="auto"/>
        <w:rPr>
          <w:sz w:val="20"/>
          <w:szCs w:val="20"/>
          <w:color w:val="auto"/>
        </w:rPr>
      </w:pPr>
      <w:r>
        <w:rPr>
          <w:rFonts w:ascii="Times New Roman" w:cs="Times New Roman" w:eastAsia="Times New Roman" w:hAnsi="Times New Roman"/>
          <w:sz w:val="14"/>
          <w:szCs w:val="14"/>
          <w:color w:val="auto"/>
        </w:rPr>
        <w:t>Under the Orphan Drug Act, the FDA may designate drugs or biologics for relatively small patient populations as orphan drugs. FDA grants orphan drug designation to drugs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the FDA. If a product is approved for its orphan designated use, it may be entitled to orphan drug exclusivity (“ODE”), which blocks the FDA from approving for seven years any other application to market a product that is the same drug for the same indication, except in certain limited circumstances. ODE does not prevent approval of another sponsor’s application for different indications or uses of the same drug, or for different drugs for the same indication.</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Sales and Marketing</w:t>
      </w:r>
    </w:p>
    <w:p>
      <w:pPr>
        <w:spacing w:after="0" w:line="122" w:lineRule="exact"/>
        <w:rPr>
          <w:sz w:val="20"/>
          <w:szCs w:val="20"/>
          <w:color w:val="auto"/>
        </w:rPr>
      </w:pPr>
    </w:p>
    <w:p>
      <w:pPr>
        <w:ind w:left="640" w:right="719" w:firstLine="258"/>
        <w:spacing w:after="0" w:line="258" w:lineRule="auto"/>
        <w:rPr>
          <w:sz w:val="20"/>
          <w:szCs w:val="20"/>
          <w:color w:val="auto"/>
        </w:rPr>
      </w:pPr>
      <w:r>
        <w:rPr>
          <w:rFonts w:ascii="Times New Roman" w:cs="Times New Roman" w:eastAsia="Times New Roman" w:hAnsi="Times New Roman"/>
          <w:sz w:val="14"/>
          <w:szCs w:val="14"/>
          <w:color w:val="auto"/>
        </w:rPr>
        <w:t>We are subject to various U.S. federal and state laws pertaining to healthcare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broad scope of the U.S. statutory provisions, the general absence of guidance in the form of regulations, and few court decisions addressing industry practices, it is possible that our practices might be challenged under anti-kickback or similar laws. False claims laws prohibit anyone from knowingly and willingly presenting, or causing to be presented, for payment to third-party payers (including Medicare and Medicaid) claims for reimbursed drugs or services that are false or fraudulent, claims for items or services not provided as claimed or claims for medically unnecessary items or services. Activities relating to the sale and marketing of our products may be subject to scrutiny under these laws. Violations of fraud and abuse laws may be punishable by criminal and/or civil sanctions, including fines and civil monetary penalties, as well as the possibility of exclusion from federal healthcare programs (including Medicare and Medicaid). In addition, federal and state authorities are paying increased attention to enforcement of these laws within the pharmaceutical industry and private individuals have been active in alleging violations of the laws and bringing suits on behalf of the U.S. government under the False Claims Act. If we were subject to allegations concerning, or were convicted of violating, these laws, our business could be harmed. See “Item 1A—Risk Factors” in this Annual Report and specifically those sections entitled “If there are changes in, or we fail to comply with, the extensive legal and regulatory requirements affecting the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7" w:name="page28"/>
    <w:bookmarkEnd w:id="27"/>
    <w:p>
      <w:pPr>
        <w:ind w:left="640" w:right="779"/>
        <w:spacing w:after="0" w:line="262" w:lineRule="auto"/>
        <w:rPr>
          <w:sz w:val="20"/>
          <w:szCs w:val="20"/>
          <w:color w:val="auto"/>
        </w:rPr>
      </w:pPr>
      <w:r>
        <w:rPr>
          <w:rFonts w:ascii="Times New Roman" w:cs="Times New Roman" w:eastAsia="Times New Roman" w:hAnsi="Times New Roman"/>
          <w:sz w:val="14"/>
          <w:szCs w:val="14"/>
          <w:color w:val="auto"/>
        </w:rPr>
        <w:t>healthcare industry, we could be subject to investigations, litigation, costs, penalties and business losses,” “Revenues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 and “The clinical study or commercial use of our products may cause unintended side effects or adverse reactions, or incidents of misuse may occur, which could adversely affect our products, business and share price.”</w:t>
      </w:r>
    </w:p>
    <w:p>
      <w:pPr>
        <w:spacing w:after="0" w:line="91"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color w:val="auto"/>
        </w:rPr>
        <w:t>Laws and regulations have been enacted by the U.S. federal government and various states to regulate the sales and marketing practices of pharmaceutical manufacturers. The laws and regulations generally limit financial interactions between manufacturers and healthcare providers and require disclosure to the government and public of such interactions. The laws include federal “sunshine”, or open payments, provisions enacted in 2010 as part of the comprehensive federal healthcare reform legislation and supplemented as part of the Substance Use-Disorder Prevention that Promotes Opioid Recovery and Treatment for Patients and Communities Act. Such provisions apply to pharmaceutical manufacturers with products reimbursed under certain government programs and require those manufacturers to disclose annually to the federal government (for re-disclosure to the public) certain payments made to, or at the request of, or on behalf of, physicians or to teaching hospitals and certain payments made to physicians assistants, nurse practitioners, clinical nurse specialists, certified registered nurse anesthetists and certified nurse-midwives. Certain state laws also require disclosure of pharmaceutical pricing information and marketing expenditures. Given the ambiguity found in many of these laws and their implementation, our reporting actions could be subject to the penalty provisions of the pertinent U.S. federal and state laws and regulations.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Pricing and Reimbursement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0070C0"/>
        </w:rPr>
        <w:t>United States</w:t>
      </w:r>
    </w:p>
    <w:p>
      <w:pPr>
        <w:spacing w:after="0" w:line="120" w:lineRule="exact"/>
        <w:rPr>
          <w:sz w:val="20"/>
          <w:szCs w:val="20"/>
          <w:color w:val="auto"/>
        </w:rPr>
      </w:pPr>
    </w:p>
    <w:p>
      <w:pPr>
        <w:ind w:left="640" w:right="939" w:firstLine="258"/>
        <w:spacing w:after="0" w:line="265" w:lineRule="auto"/>
        <w:rPr>
          <w:sz w:val="20"/>
          <w:szCs w:val="20"/>
          <w:color w:val="auto"/>
        </w:rPr>
      </w:pPr>
      <w:r>
        <w:rPr>
          <w:rFonts w:ascii="Times New Roman" w:cs="Times New Roman" w:eastAsia="Times New Roman" w:hAnsi="Times New Roman"/>
          <w:sz w:val="14"/>
          <w:szCs w:val="14"/>
          <w:color w:val="auto"/>
        </w:rPr>
        <w:t>In the U.S., sales of our products, including those sold by our licensees, and our ability to generate revenues on such sales are dependent, in significant part, on the availability and level of reimbursement from third-party payers such as state and federal governments, including Medicare and Medicaid, managed care providers and private insurance plans. Third-party payers are increasingly challenging the prices charged for medical products and examining the medical necessity and cost-effectiveness of medical products, in addition to their safety and efficacy.</w:t>
      </w:r>
    </w:p>
    <w:p>
      <w:pPr>
        <w:spacing w:after="0" w:line="88" w:lineRule="exact"/>
        <w:rPr>
          <w:sz w:val="20"/>
          <w:szCs w:val="20"/>
          <w:color w:val="auto"/>
        </w:rPr>
      </w:pPr>
    </w:p>
    <w:p>
      <w:pPr>
        <w:ind w:left="640" w:right="679" w:firstLine="258"/>
        <w:spacing w:after="0" w:line="259" w:lineRule="auto"/>
        <w:rPr>
          <w:sz w:val="20"/>
          <w:szCs w:val="20"/>
          <w:color w:val="auto"/>
        </w:rPr>
      </w:pPr>
      <w:r>
        <w:rPr>
          <w:rFonts w:ascii="Times New Roman" w:cs="Times New Roman" w:eastAsia="Times New Roman" w:hAnsi="Times New Roman"/>
          <w:sz w:val="14"/>
          <w:szCs w:val="14"/>
          <w:color w:val="auto"/>
        </w:rPr>
        <w:t>Medicaid is a joint federal and state program that is administered by the states for low-income and disabled beneficiaries. Under the Medicaid rebate program, we are required to pay a rebate for each unit of product reimbursed by the state Medicaid programs. The amount of the rebate for each product is set by law as the greater of 23.1% of average manufacturer price (“AMP”) or the difference between AMP and the best price available from us to any commercial or non-federal governmental customer. The rebate amount must be adjusted upward where the AMP for a product’s first full quarter of sales, when adjusted for increases in the Consumer Price Index —Urban, is less than the AMP for the current quarter, with this difference being the amount by which the rebate is adjusted upwards. The rebate amount is required to be recomputed each quarter based on our report of current AMP and best price for each of our products to the Centers for Medicare &amp; Medicaid Services (“CMS”). The terms of our participation in the rebate program impose a requirement on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per item of false information in addition to other penalties available to the government.</w:t>
      </w:r>
    </w:p>
    <w:p>
      <w:pPr>
        <w:spacing w:after="0" w:line="267" w:lineRule="exact"/>
        <w:rPr>
          <w:sz w:val="20"/>
          <w:szCs w:val="20"/>
          <w:color w:val="auto"/>
        </w:rPr>
      </w:pPr>
    </w:p>
    <w:p>
      <w:pPr>
        <w:ind w:left="640" w:right="679" w:firstLine="258"/>
        <w:spacing w:after="0" w:line="259" w:lineRule="auto"/>
        <w:rPr>
          <w:sz w:val="20"/>
          <w:szCs w:val="20"/>
          <w:color w:val="auto"/>
        </w:rPr>
      </w:pPr>
      <w:r>
        <w:rPr>
          <w:rFonts w:ascii="Times New Roman" w:cs="Times New Roman" w:eastAsia="Times New Roman" w:hAnsi="Times New Roman"/>
          <w:sz w:val="14"/>
          <w:szCs w:val="14"/>
          <w:color w:val="auto"/>
        </w:rPr>
        <w:t>Medicare is a federal program that is administered by the federal government that covers individuals age 65 and over as well as those with certain disabilities. Medicare Part B pays physicians who administer our products under a payment methodology using average sales price (“ASP”) information. Manufacturers, including us, are required to provide ASP information to CMS on a quarterly basis. This information is used to compute Medicare payment rates, with rates for Medicare Part B drugs outside the hospital outpatient setting and in the hospital outpatient setting consisting of ASP plus a specified percentage. These rates are adjusted periodically. If a manufacturer is found to have made a misrepresentation in the reporting of ASP, the statute provides for civil monetary penalties for each misrepresentation and for each day in which the misrepresentation was applied. In October 2025, CMS finalized the CY 2026 Medicare Physician Fee Schedule rule, which, among other provisions, increases documentation requirements for bona fide service fees, establishes a methodology for allocating discounts in bundled arrangements, and requires that sales of Part B units at the Maximum Fair Price be included in ASP calculations. These changes impose additional, complex reporting and documentation obligations, may lower ASP of our products and reimbursement under Medicare Part B and may increase our engagement with CMS in respect of price concessions.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8" w:name="page29"/>
    <w:bookmarkEnd w:id="28"/>
    <w:p>
      <w:pPr>
        <w:ind w:left="640" w:right="659" w:firstLine="258"/>
        <w:spacing w:after="0" w:line="257" w:lineRule="auto"/>
        <w:rPr>
          <w:sz w:val="20"/>
          <w:szCs w:val="20"/>
          <w:color w:val="auto"/>
        </w:rPr>
      </w:pPr>
      <w:r>
        <w:rPr>
          <w:rFonts w:ascii="Times New Roman" w:cs="Times New Roman" w:eastAsia="Times New Roman" w:hAnsi="Times New Roman"/>
          <w:sz w:val="14"/>
          <w:szCs w:val="14"/>
          <w:color w:val="auto"/>
        </w:rPr>
        <w:t>Medicare Part D provides coverage to enrolled Medicare patients for self-administered drugs (i.e., drugs that do not need to be injected or otherwise administered by a physician) and certain physician-administered drugs reimbursed under a pharmacy benefit. Medicare Part D also covers the prescription drug benefit for dual eligible beneficiaries. Medicare Part D is administered by private prescription drug plans approved by the U.S. government and each drug plan establishes its own Medicare Part D formulary for prescription drug coverage and pricing, which the drug plan may modify from time-to-time. The prescription drug plans negotiate pricing with manufacturers and may condition formulary placement on the availability of manufacturer discounts. The Medicare Part D benefit has distinct phases, where the share of drug costs paid by Medicare Part D enrollees, the Medicare Part D prescription drug plan, drug manufacturers and Medicare varies. Prior to 2025, the phases consisted of the deductible phase, the initial coverage phase, the coverage gap and the catastrophic coverage phase and, except for dual eligible Medicare Part D beneficiaries who qualified for low-income subsidies, drug manufacturers, including us, were required to provide a seventy percent (70%) discount on our brand name prescription drugs utilized by Medicare Part D beneficiaries when those beneficiaries reached the coverage gap in their drug benefits. The Inflation Reduction Act of 2022 (the “Inflation Reduction Act”) made substantial changes to the Medicare Part D benefit design and replaced the manufacturer coverage-gap discount program with a new manufacturer discount program that took effect in January 2025. Under the new discount program, the Medicare Part D benefit phases consist of the deductible phase, the coverage phase and the catastrophic coverage phase, and drug manufacturers must provide a ten percent (10%) discount on their brand name prescription drugs utilized by Medicare Part D beneficiaries during the initial coverage phase and a twenty percent (20%) discount during the catastrophic coverage phase. For manufacturers that meet the definition of a “specified manufacturer,” the Inflation Reduction Act provides for Medicare Part D discounts to be phased in over time, starting with a one percent (1%) discount in the initial coverage phase and a one percent (1%) discount in the catastrophic coverage phase in 2025. These discount amounts increase each year, stepping up to a ten percent (10%) discount in the initial coverage phase in 2029 and a twenty percent (20%) discount in the catastrophic coverage phase in 2031. Alkermes meets the criteria of a “specified manufacturer” and, therefore, will follow the phase-in schedule for discounts to the Medicare Part D program.</w:t>
      </w:r>
    </w:p>
    <w:p>
      <w:pPr>
        <w:spacing w:after="0" w:line="278" w:lineRule="exact"/>
        <w:rPr>
          <w:sz w:val="20"/>
          <w:szCs w:val="20"/>
          <w:color w:val="auto"/>
        </w:rPr>
      </w:pPr>
    </w:p>
    <w:p>
      <w:pPr>
        <w:ind w:left="640" w:right="679" w:firstLine="258"/>
        <w:spacing w:after="0" w:line="259" w:lineRule="auto"/>
        <w:rPr>
          <w:sz w:val="20"/>
          <w:szCs w:val="20"/>
          <w:color w:val="auto"/>
        </w:rPr>
      </w:pPr>
      <w:r>
        <w:rPr>
          <w:rFonts w:ascii="Times New Roman" w:cs="Times New Roman" w:eastAsia="Times New Roman" w:hAnsi="Times New Roman"/>
          <w:sz w:val="14"/>
          <w:szCs w:val="14"/>
          <w:color w:val="auto"/>
        </w:rPr>
        <w:t>Federal law also requires that any company that participates in the Medicaid Drug Rebate Program (“MDRP”) also participate in the Public Health Services’ (including the Indian Health Services, “PHS”) pharmaceutical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drugs.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MDRP. A regulation regarding the calculation of the 340B ceiling price and the imposition of civil monetary penalties on manufacturers that knowingly and intentionally overcharge covered entities became effective on January 1, 2019. The scope and implementation of the 340B program continue to be the subject of legislative and regulatory interest and ongoing litigation, the outcomes of which are difficult to predict.</w:t>
      </w:r>
    </w:p>
    <w:p>
      <w:pPr>
        <w:spacing w:after="0" w:line="93"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color w:val="auto"/>
        </w:rPr>
        <w:t>We also make our products available for purchase by authorized users of the Federal Supply Schedule (“FSS”) of the General Services Administration pursuant to our FSS contract with the Department of Veterans Affairs. Under the Veterans Health Care Act of 1992 (the “VHC Act”), we are required to offer deeply discounted FSS contract pricing to four federal agencies: the Department of Veterans Affairs; the Department of Defense; the Coast Guard; and the PHS, in order for federal funding to be made available for reimbursement of any of our products by such federal agencies and certain federal grantees. Coverage under Medicaid, the Medicare Part B program and the PHS pharmaceutical pricing program is also conditioned upon FSS participation. FSS pricing is negotiated periodically with the Department of Veterans Affairs. FSS pricing is intended not to exceed the price that we charge our most-favored, non-federal customer for a product. In addition, prices for drugs purchased by the Department of Veterans Affairs, Department of Defense (including drugs purchased by military personnel and dependents through the Tricare Retail Pharmacy (“Tricare”) program), Coast Guard and PHS are subject to a cap on pricing equal to 76% of the non-federal average manufacturer price (“non-FAMP”). An additional discount applies if non-FAMP increases more than inflation (measured by the Consumer Price Index—Urban). In addition, if we are found to have knowingly submitted false information to the government, the VHC Act provides for civil monetary penalties per false item of information in addition to other penalties available to the government.</w:t>
      </w:r>
    </w:p>
    <w:p>
      <w:pPr>
        <w:spacing w:after="0" w:line="83" w:lineRule="exact"/>
        <w:rPr>
          <w:sz w:val="20"/>
          <w:szCs w:val="20"/>
          <w:color w:val="auto"/>
        </w:rPr>
      </w:pPr>
    </w:p>
    <w:p>
      <w:pPr>
        <w:ind w:left="640" w:right="739" w:firstLine="258"/>
        <w:spacing w:after="0" w:line="261" w:lineRule="auto"/>
        <w:rPr>
          <w:sz w:val="20"/>
          <w:szCs w:val="20"/>
          <w:color w:val="auto"/>
        </w:rPr>
      </w:pPr>
      <w:r>
        <w:rPr>
          <w:rFonts w:ascii="Times New Roman" w:cs="Times New Roman" w:eastAsia="Times New Roman" w:hAnsi="Times New Roman"/>
          <w:sz w:val="14"/>
          <w:szCs w:val="14"/>
          <w:color w:val="auto"/>
        </w:rPr>
        <w:t>In addition, in January 2016, CMS released the final Medicaid covered outpatient drug regulation, which became effective in April 2016. This regulation implements those changes made by the Patient Protection and Affordable Care Act (the “PPACA”) to the Medicaid drug rebate statute in 2010 and addresses a number of other issues with respect to the Medicaid program, including, but not limited to, the eligibility and calculation methodologies for AMP and best price, and the expansion of Medicaid rebate liability to include Medicaid managed care organizations. The final Medicaid covered outpatient drug regulation established two calculation methodologies for AMP: one for drugs generally dispensed through retail community pharmacies (“RCP”) and one for so-called “5i drugs” (inhaled, infused, instilled, implanted or injectable drugs) “not generally dispensed” through RCPs. The regulation further made clear that 5i drugs would qualify as “not generally dispensed” and, therefore, able to use the alternative AMP calculation, if not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9" w:name="page30"/>
    <w:bookmarkEnd w:id="29"/>
    <w:p>
      <w:pPr>
        <w:ind w:left="640" w:right="679"/>
        <w:spacing w:after="0" w:line="265" w:lineRule="auto"/>
        <w:rPr>
          <w:sz w:val="20"/>
          <w:szCs w:val="20"/>
          <w:color w:val="auto"/>
        </w:rPr>
      </w:pPr>
      <w:r>
        <w:rPr>
          <w:rFonts w:ascii="Times New Roman" w:cs="Times New Roman" w:eastAsia="Times New Roman" w:hAnsi="Times New Roman"/>
          <w:sz w:val="14"/>
          <w:szCs w:val="14"/>
          <w:color w:val="auto"/>
        </w:rPr>
        <w:t>more than thirty percent (30%) of their sales were to RCPs or to wholesalers for RCPs. The primary difference between the two AMP calculations is the requirement to include in AMP, for those qualifying 5i drugs not generally dispensed through RCPs, certain payments, rebates and discounts related to sales to non-RCPs; such inclusion often leads to a lower AMP. The decision of which AMP calculation a product is eligible to use must be made and applied on a monthly basis based on the percentage of sales of such product to RCPs or to wholesalers for RCPs.</w:t>
      </w:r>
    </w:p>
    <w:p>
      <w:pPr>
        <w:spacing w:after="0" w:line="88" w:lineRule="exact"/>
        <w:rPr>
          <w:sz w:val="20"/>
          <w:szCs w:val="20"/>
          <w:color w:val="auto"/>
        </w:rPr>
      </w:pPr>
    </w:p>
    <w:p>
      <w:pPr>
        <w:ind w:left="640" w:right="699" w:firstLine="258"/>
        <w:spacing w:after="0" w:line="261" w:lineRule="auto"/>
        <w:rPr>
          <w:sz w:val="20"/>
          <w:szCs w:val="20"/>
          <w:color w:val="auto"/>
        </w:rPr>
      </w:pPr>
      <w:r>
        <w:rPr>
          <w:rFonts w:ascii="Times New Roman" w:cs="Times New Roman" w:eastAsia="Times New Roman" w:hAnsi="Times New Roman"/>
          <w:sz w:val="14"/>
          <w:szCs w:val="14"/>
          <w:color w:val="auto"/>
        </w:rPr>
        <w:t>In September 2024, CMS released a final rule titled “Medicaid Program: Misclassification of Drugs, Program Administration and Program Integrity Updates Under the Medicaid Drug Rebate Program,” the provisions of which generally took effect in November 2024. The rule includes several provisions affecting manufacturers that participate in the MDRP, including, but not limited to, addressing manufacturer misclassification of their products in reports required by the MDRP, imposing a 12-quarter deadline for manufacturer disputes or audits of state rebate invoices, and modifying the definition of “covered outpatient drugs” for which manufacturers are required to pay rebates to include certain drugs administered in inpatient settings where the drug is part of an inclusive payment, such inclusive payment includes an amount attributable to the drug and the number of units of the drug administered to the patient, and where the amount paid that is attributable to the drug is based on a reimbursement methodology included in the applicable state plan.</w:t>
      </w:r>
    </w:p>
    <w:p>
      <w:pPr>
        <w:spacing w:after="0" w:line="264"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color w:val="auto"/>
        </w:rPr>
        <w:t>U.S. federal and state governments regularly consider reforming healthcare coverage and lessening healthcare costs. Such reforms may include price controls, value-based pricing and changes to the coverage and reimbursement of our products, which may have a significant impact on our business. In August 2022, the Inflation Reduction Act was signed into law. The Inflation Reduction Act includes several provisions that will impact our business to varying degrees, including those that imposed new manufacturer financial liability on all drugs in Medicare Part D beginning in 2025, allow the U.S. government to negotiate prices for some drugs covered under Medicare Part D beginning in 2026 and Medicare Part B beginning in 2028, and require companies to pay rebates to Medicare for drug prices that increase faster than inflation. Additionally, the One Big Beautiful Bill Act (the “OBBBA”), which was enacted in July 2025, imposes significant reductions in the funding of the Medicaid program, which are expected to decrease the number of individuals enrolled in Medicaid and reduce the services covered by Medicaid. The OBBBA also modified the Inflation Reduction Act’s exclusion protecting orphan drugs designated for a single rare disease indication from required Medicare pricing negotiations by expanding it to apply to drugs designated for multiple rare diseases and by prohibiting Medicare price negotiations until seven years after an orphan drug is approved for a non-orphan indication.</w:t>
      </w:r>
    </w:p>
    <w:p>
      <w:pPr>
        <w:spacing w:after="0" w:line="106" w:lineRule="exact"/>
        <w:rPr>
          <w:sz w:val="20"/>
          <w:szCs w:val="20"/>
          <w:color w:val="auto"/>
        </w:rPr>
      </w:pPr>
    </w:p>
    <w:p>
      <w:pPr>
        <w:ind w:left="640" w:right="679" w:firstLine="351"/>
        <w:spacing w:after="0" w:line="173" w:lineRule="exact"/>
        <w:rPr>
          <w:sz w:val="20"/>
          <w:szCs w:val="20"/>
          <w:color w:val="auto"/>
        </w:rPr>
      </w:pPr>
      <w:r>
        <w:rPr>
          <w:rFonts w:ascii="Times New Roman" w:cs="Times New Roman" w:eastAsia="Times New Roman" w:hAnsi="Times New Roman"/>
          <w:sz w:val="14"/>
          <w:szCs w:val="14"/>
          <w:color w:val="auto"/>
        </w:rPr>
        <w:t>Throughout 2025, the U.S. federal government pursued multiple initiatives aimed at tying U.S. drug prices to those paid in certain other developed countries through a “Most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Favored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Nation” (“MFN”) pricing framework. These actions included a 2025 Executive Order entitled “Delivering Most-Favored-Nation Prescription Drug Pricing to American Patients” in which CMS was instructed to create plans to impose MFN pricing on drug manufacturers. Following the Executive Order, CMS advanced three MFN-based payment models through the Center for Medicare and Medicaid Innovation (“CMMI”): the “Global Benchmark for Efficient Drug Pricing” (“GLOBE”), which would implement a new, mandatory drug rebate program tied to MFN pricing for select drugs in Medicare Part B and is proposed to go into effect on October 1, 2026; “Guarding U.S. Medicare Against Rising Drug Costs” (“GUARD”), which would implement a similar mandatory drug rebate program for select drugs in Medicare Part D and is proposed to go into effect on January 1, 2027; and “GENErating cost Reductions fOr U.S. Medicaid” (“GENEROUS”), launched in January 2026, under which manufacturers who choose to participate in the model would pay MFN-based supplemental rebates under the Medicaid program in exchange for standardized coverage criteria in participating states. These models are likely to face legal and operational challenges, and the implementation of these models remains uncertain. In parallel to these CMS initiatives, several major pharmaceutical manufacturers have entered into voluntary agreements with the U.S. federal government to provide discounted prices aligned to MFN prices on certain of the manufacturers’ drugs to the Medicaid program and direct to patients.</w:t>
      </w:r>
    </w:p>
    <w:p>
      <w:pPr>
        <w:spacing w:after="0" w:line="100" w:lineRule="exact"/>
        <w:rPr>
          <w:sz w:val="20"/>
          <w:szCs w:val="20"/>
          <w:color w:val="auto"/>
        </w:rPr>
      </w:pPr>
    </w:p>
    <w:p>
      <w:pPr>
        <w:ind w:left="640" w:right="779" w:firstLine="258"/>
        <w:spacing w:after="0" w:line="265" w:lineRule="auto"/>
        <w:rPr>
          <w:sz w:val="20"/>
          <w:szCs w:val="20"/>
          <w:color w:val="auto"/>
        </w:rPr>
      </w:pPr>
      <w:r>
        <w:rPr>
          <w:rFonts w:ascii="Times New Roman" w:cs="Times New Roman" w:eastAsia="Times New Roman" w:hAnsi="Times New Roman"/>
          <w:sz w:val="14"/>
          <w:szCs w:val="14"/>
          <w:color w:val="auto"/>
        </w:rPr>
        <w:t>In addition, emphasis on managed care in the U.S. has increased and we expect will continue to increase the pressure on drug pricing. Private insurers regularly seek to manage drug cost and utilization by implementing coverage and reimbursement limitations through means including, but not limited to, formularies, increased out of pocket obligations and various prior authorization requirements. Even if favorable coverage and reimbursement status is attained for one or more products for which we have received regulatory approval, less favorable coverage policies and reimbursement rates may be implemented in the future.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i w:val="1"/>
          <w:iCs w:val="1"/>
          <w:color w:val="0070C0"/>
        </w:rPr>
        <w:t>Outside the United States</w:t>
      </w:r>
    </w:p>
    <w:p>
      <w:pPr>
        <w:spacing w:after="0" w:line="131" w:lineRule="exact"/>
        <w:rPr>
          <w:sz w:val="20"/>
          <w:szCs w:val="20"/>
          <w:color w:val="auto"/>
        </w:rPr>
      </w:pPr>
    </w:p>
    <w:p>
      <w:pPr>
        <w:ind w:left="640" w:right="659" w:firstLine="258"/>
        <w:spacing w:after="0" w:line="261" w:lineRule="auto"/>
        <w:rPr>
          <w:sz w:val="20"/>
          <w:szCs w:val="20"/>
          <w:color w:val="auto"/>
        </w:rPr>
      </w:pPr>
      <w:r>
        <w:rPr>
          <w:rFonts w:ascii="Times New Roman" w:cs="Times New Roman" w:eastAsia="Times New Roman" w:hAnsi="Times New Roman"/>
          <w:sz w:val="14"/>
          <w:szCs w:val="14"/>
          <w:color w:val="auto"/>
        </w:rPr>
        <w:t>Within the EU, products are paid for by a variety of payers, with governments being the primary source of payment. Governments may determine or influence reimbursement of products. Governments may also set prices or otherwise regulate pricing. Negotiating prices with governmental authorities can delay commercialization of products. Governments may use a variety of cost-containment measures to control the cost of products, including price cuts, mandatory rebates, value-based pricing and reference pricing (i.e., referencing prices in other countries and using those reference prices to set a price). Recent budgetary pressures in many EU countries are causing governments to consider or implement various cost-containment measures, such as price freezes, increased price cuts and rebates, and expanded generic substitution and patient cost-sharing. If budget pressures continue, governments may implement additional cost-containment measures.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Other Regulations</w:t>
      </w:r>
    </w:p>
    <w:p>
      <w:pPr>
        <w:spacing w:after="0" w:line="120" w:lineRule="exact"/>
        <w:rPr>
          <w:sz w:val="20"/>
          <w:szCs w:val="20"/>
          <w:color w:val="auto"/>
        </w:rPr>
      </w:pPr>
    </w:p>
    <w:p>
      <w:pPr>
        <w:ind w:left="640" w:right="739" w:firstLine="258"/>
        <w:spacing w:after="0" w:line="262" w:lineRule="auto"/>
        <w:rPr>
          <w:sz w:val="20"/>
          <w:szCs w:val="20"/>
          <w:color w:val="auto"/>
        </w:rPr>
      </w:pPr>
      <w:r>
        <w:rPr>
          <w:rFonts w:ascii="Times New Roman" w:cs="Times New Roman" w:eastAsia="Times New Roman" w:hAnsi="Times New Roman"/>
          <w:sz w:val="14"/>
          <w:szCs w:val="14"/>
          <w:i w:val="1"/>
          <w:iCs w:val="1"/>
          <w:color w:val="0070C0"/>
        </w:rPr>
        <w:t>Foreign Corrupt Practices Act</w:t>
      </w:r>
      <w:r>
        <w:rPr>
          <w:rFonts w:ascii="Times New Roman" w:cs="Times New Roman" w:eastAsia="Times New Roman" w:hAnsi="Times New Roman"/>
          <w:sz w:val="14"/>
          <w:szCs w:val="14"/>
          <w:color w:val="000000"/>
        </w:rPr>
        <w:t>: We are subject to the U.S. Foreign Corrupt Practices Act (the “FCPA”) and its Irish equivalent,</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which prohibits corporations and their representatives from paying, offering to pay, promising, authorizing, or making payments of anything of value to any foreign government official, government staff member, political party, or political candidate in an attempt to obtain or retain business or to otherwise influence a person working in an official capacity. In many countries, the healthcare professionals with whom we regularly interact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91" w:lineRule="exact"/>
        <w:rPr>
          <w:sz w:val="20"/>
          <w:szCs w:val="20"/>
          <w:color w:val="auto"/>
        </w:rPr>
      </w:pPr>
    </w:p>
    <w:p>
      <w:pPr>
        <w:ind w:left="640" w:right="659" w:firstLine="258"/>
        <w:spacing w:after="0" w:line="259" w:lineRule="auto"/>
        <w:rPr>
          <w:sz w:val="20"/>
          <w:szCs w:val="20"/>
          <w:color w:val="auto"/>
        </w:rPr>
      </w:pPr>
      <w:r>
        <w:rPr>
          <w:rFonts w:ascii="Times New Roman" w:cs="Times New Roman" w:eastAsia="Times New Roman" w:hAnsi="Times New Roman"/>
          <w:sz w:val="14"/>
          <w:szCs w:val="14"/>
          <w:i w:val="1"/>
          <w:iCs w:val="1"/>
          <w:color w:val="0070C0"/>
        </w:rPr>
        <w:t>Environmental, Health and Safety Laws</w:t>
      </w:r>
      <w:r>
        <w:rPr>
          <w:rFonts w:ascii="Times New Roman" w:cs="Times New Roman" w:eastAsia="Times New Roman" w:hAnsi="Times New Roman"/>
          <w:sz w:val="14"/>
          <w:szCs w:val="14"/>
          <w:color w:val="000000"/>
        </w:rPr>
        <w:t>: Our operations are subject to complex and increasingly stringent environmental, health</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and safety laws and regulations in the countries where we operate and, in particular, where we have manufacturing facilities, namely the U.S. and Ireland. Environmental and health and safety authorities in the relevant jurisdictions, including the Environmental Protection Agency and the Occupational Safety and Health Administration in the U.S. and the Environmental Protection Agency and the Health and Safety Authority in Ireland, administer laws which regulate,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these laws and regulations may impose strict liability for pollution of the environment and contamination resulting from spills, disposals or other releases of hazardous substances or waste and/or any migration of such hazardous substances or waste. Costs, damages and/or fines may result from the presence, investigation and remediation of contamination at properties currently or formerly owned, leased or operated by us and/or off-site locations, including where we have arranged for the disposal of hazardous substances or waste. In addition, we may be subject to third-party claims, including for natural resource damages, personal injury and property damage, in connection with such contamination.</w:t>
      </w:r>
    </w:p>
    <w:p>
      <w:pPr>
        <w:spacing w:after="0" w:line="93" w:lineRule="exact"/>
        <w:rPr>
          <w:sz w:val="20"/>
          <w:szCs w:val="20"/>
          <w:color w:val="auto"/>
        </w:rPr>
      </w:pPr>
    </w:p>
    <w:p>
      <w:pPr>
        <w:ind w:left="640" w:right="699" w:firstLine="258"/>
        <w:spacing w:after="0" w:line="259" w:lineRule="auto"/>
        <w:rPr>
          <w:sz w:val="20"/>
          <w:szCs w:val="20"/>
          <w:color w:val="auto"/>
        </w:rPr>
      </w:pPr>
      <w:r>
        <w:rPr>
          <w:rFonts w:ascii="Times New Roman" w:cs="Times New Roman" w:eastAsia="Times New Roman" w:hAnsi="Times New Roman"/>
          <w:sz w:val="14"/>
          <w:szCs w:val="14"/>
          <w:i w:val="1"/>
          <w:iCs w:val="1"/>
          <w:color w:val="0070C0"/>
        </w:rPr>
        <w:t>The General Data Protection Regulation (“GDPR”)</w:t>
      </w:r>
      <w:r>
        <w:rPr>
          <w:rFonts w:ascii="Times New Roman" w:cs="Times New Roman" w:eastAsia="Times New Roman" w:hAnsi="Times New Roman"/>
          <w:sz w:val="14"/>
          <w:szCs w:val="14"/>
          <w:color w:val="000000"/>
        </w:rPr>
        <w:t>: The GDPR became effective in May 2018 and replaced the previous EU</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Data Protection Directive (95/46). The GDPR, which governs the processing of personal data (including personal health data), applies to the Company and any of its subsidiaries that are established in the EU to the extent that they process personal data as well as any of its subsidiaries that are established outside the EU to the extent that they process personal data relating to EU residents for certain purposes, including any such data relating to clinical trial participants in the EU.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in order to introduce further conditions, including limitations, with regard to the processing of genetic, biometric or health data.</w:t>
      </w:r>
    </w:p>
    <w:p>
      <w:pPr>
        <w:spacing w:after="0" w:line="256" w:lineRule="exact"/>
        <w:rPr>
          <w:sz w:val="20"/>
          <w:szCs w:val="20"/>
          <w:color w:val="auto"/>
        </w:rPr>
      </w:pPr>
    </w:p>
    <w:p>
      <w:pPr>
        <w:ind w:left="640" w:right="699" w:firstLine="258"/>
        <w:spacing w:after="0" w:line="264" w:lineRule="auto"/>
        <w:rPr>
          <w:sz w:val="20"/>
          <w:szCs w:val="20"/>
          <w:color w:val="auto"/>
        </w:rPr>
      </w:pPr>
      <w:r>
        <w:rPr>
          <w:rFonts w:ascii="Times New Roman" w:cs="Times New Roman" w:eastAsia="Times New Roman" w:hAnsi="Times New Roman"/>
          <w:sz w:val="14"/>
          <w:szCs w:val="14"/>
          <w:i w:val="1"/>
          <w:iCs w:val="1"/>
          <w:color w:val="0070C0"/>
        </w:rPr>
        <w:t>Other Laws</w:t>
      </w:r>
      <w:r>
        <w:rPr>
          <w:rFonts w:ascii="Times New Roman" w:cs="Times New Roman" w:eastAsia="Times New Roman" w:hAnsi="Times New Roman"/>
          <w:sz w:val="14"/>
          <w:szCs w:val="14"/>
          <w:color w:val="000000"/>
        </w:rPr>
        <w:t>: We are subject to a variety of financial disclosures, securities trading regulations and U.S. and Irish or EU</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governmental regulations as an Irish-incorporated company publicly-listed in the U.S., including laws relating to the oversight activities of the SEC, the Irish Companies Act 2014, and the regulations of the Nasdaq Stock Market (“Nasdaq”), on which our shares are traded. We are also subject to various laws, regulations and recommendations relating to safe working conditions, laboratory practices, the experimental use of animals, and the purchase, storage, movement, import and export and use and environmental matters, including disposal of hazardous or potentially hazardous substances used in connection with our research work.</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color w:val="2E74B5"/>
        </w:rPr>
        <w:t>Human Capital Resources</w:t>
      </w:r>
    </w:p>
    <w:p>
      <w:pPr>
        <w:spacing w:after="0" w:line="131" w:lineRule="exact"/>
        <w:rPr>
          <w:sz w:val="20"/>
          <w:szCs w:val="20"/>
          <w:color w:val="auto"/>
        </w:rPr>
      </w:pPr>
    </w:p>
    <w:p>
      <w:pPr>
        <w:ind w:left="640" w:right="699" w:firstLine="258"/>
        <w:spacing w:after="0" w:line="259" w:lineRule="auto"/>
        <w:rPr>
          <w:sz w:val="20"/>
          <w:szCs w:val="20"/>
          <w:color w:val="auto"/>
        </w:rPr>
      </w:pPr>
      <w:r>
        <w:rPr>
          <w:rFonts w:ascii="Times New Roman" w:cs="Times New Roman" w:eastAsia="Times New Roman" w:hAnsi="Times New Roman"/>
          <w:sz w:val="14"/>
          <w:szCs w:val="14"/>
          <w:color w:val="auto"/>
        </w:rPr>
        <w:t>As a global biopharmaceutical company focused on developing innovative medicines in the field of neuroscience, we have built, and continue to devote significant resources to further develop and enhance, a comprehensive cross-functional infrastructure designed to support product development from discovery through commercialization and lifecycle management. We seek to attract, hire, develop, retain and motivate qualified and highly-skilled employees with experience in areas such as R&amp;D, including early discovery, medicinal chemistry, translational medicine, formulation development, and clinical trials operations capabilities; IP prosecution, enforcement and defense; medical affairs; manufacturing operations; U.S. federal and state government affairs; sales and marketing; and market access, among others. Competition for such personnel in our industry and the geographic regions in which we operate is intense, with numerous companies also developing, manufacturing or marketing products, including products against which our products directly compete. We are committed to supporting our employees’ well-being in a transparent, inclusive and collaborative environment and to providing our employees with access to training, support and resources intended to help them succeed professionally while appropriately balancing their professional and personal lives.</w:t>
      </w:r>
    </w:p>
    <w:p>
      <w:pPr>
        <w:spacing w:after="0" w:line="97" w:lineRule="exact"/>
        <w:rPr>
          <w:sz w:val="20"/>
          <w:szCs w:val="20"/>
          <w:color w:val="auto"/>
        </w:rPr>
      </w:pPr>
    </w:p>
    <w:p>
      <w:pPr>
        <w:jc w:val="both"/>
        <w:ind w:left="640" w:right="719" w:firstLine="258"/>
        <w:spacing w:after="0" w:line="274" w:lineRule="auto"/>
        <w:rPr>
          <w:sz w:val="20"/>
          <w:szCs w:val="20"/>
          <w:color w:val="auto"/>
        </w:rPr>
      </w:pPr>
      <w:r>
        <w:rPr>
          <w:rFonts w:ascii="Times New Roman" w:cs="Times New Roman" w:eastAsia="Times New Roman" w:hAnsi="Times New Roman"/>
          <w:sz w:val="14"/>
          <w:szCs w:val="14"/>
          <w:color w:val="auto"/>
        </w:rPr>
        <w:t>As of February 20, 2026, we had approximately 2,050 full time employees, of which approximately 1,950 were based in the U.S. and approximately 100 were based in Ireland. Our 2025 global voluntary attrition rate of 7.0% was below industry benchmarks. None of our employees are covered by a collective bargaining agreement, and we consider our relations with our employees to be good.</w:t>
      </w:r>
    </w:p>
    <w:p>
      <w:pPr>
        <w:spacing w:after="0" w:line="71" w:lineRule="exact"/>
        <w:rPr>
          <w:sz w:val="20"/>
          <w:szCs w:val="20"/>
          <w:color w:val="auto"/>
        </w:rPr>
      </w:pPr>
    </w:p>
    <w:p>
      <w:pPr>
        <w:ind w:left="640" w:right="679" w:firstLine="258"/>
        <w:spacing w:after="0" w:line="263" w:lineRule="auto"/>
        <w:rPr>
          <w:sz w:val="20"/>
          <w:szCs w:val="20"/>
          <w:color w:val="auto"/>
        </w:rPr>
      </w:pPr>
      <w:r>
        <w:rPr>
          <w:rFonts w:ascii="Times New Roman" w:cs="Times New Roman" w:eastAsia="Times New Roman" w:hAnsi="Times New Roman"/>
          <w:sz w:val="14"/>
          <w:szCs w:val="14"/>
          <w:color w:val="auto"/>
        </w:rPr>
        <w:t>We are an equal opportunity employer and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principles of equal employment opportunity and other legitimate criteria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laws.</w:t>
      </w:r>
    </w:p>
    <w:p>
      <w:pPr>
        <w:spacing w:after="0" w:line="91" w:lineRule="exact"/>
        <w:rPr>
          <w:sz w:val="20"/>
          <w:szCs w:val="20"/>
          <w:color w:val="auto"/>
        </w:rPr>
      </w:pPr>
    </w:p>
    <w:p>
      <w:pPr>
        <w:ind w:left="640" w:right="779" w:firstLine="258"/>
        <w:spacing w:after="0" w:line="261" w:lineRule="auto"/>
        <w:rPr>
          <w:sz w:val="20"/>
          <w:szCs w:val="20"/>
          <w:color w:val="auto"/>
        </w:rPr>
      </w:pPr>
      <w:r>
        <w:rPr>
          <w:rFonts w:ascii="Times New Roman" w:cs="Times New Roman" w:eastAsia="Times New Roman" w:hAnsi="Times New Roman"/>
          <w:sz w:val="14"/>
          <w:szCs w:val="14"/>
          <w:color w:val="auto"/>
        </w:rPr>
        <w:t>In recognition of the value of our employees and their important contributions to the achievement of our business objectives, we offer market-competitive comprehensive total rewards packages, including bonus opportunities at all levels tied to individual and company performance, and for employees at certain levels, company equity opportunities. We are committed to designing and managing our pay programs and decisions to support equitable pay for all employees. We have established our compensation programs based on market and benchmark data and strive to pay all employees equitably, taking into consideration factors such as their role, skills, abilities and relevant experience. We routinely monitor our pay programs in order to respond to market trends and maintain equity within our workforce. We offer our employees healthcare and retirement savings plan benefits, paid time off, tuition reimbursement and other benefits designed to support healthy lifestyle choices, financial well-being and work-life balance.</w:t>
      </w:r>
    </w:p>
    <w:p>
      <w:pPr>
        <w:spacing w:after="0" w:line="92" w:lineRule="exact"/>
        <w:rPr>
          <w:sz w:val="20"/>
          <w:szCs w:val="20"/>
          <w:color w:val="auto"/>
        </w:rPr>
      </w:pPr>
    </w:p>
    <w:p>
      <w:pPr>
        <w:ind w:left="640" w:right="679" w:firstLine="258"/>
        <w:spacing w:after="0" w:line="260" w:lineRule="auto"/>
        <w:rPr>
          <w:sz w:val="20"/>
          <w:szCs w:val="20"/>
          <w:color w:val="auto"/>
        </w:rPr>
      </w:pPr>
      <w:r>
        <w:rPr>
          <w:rFonts w:ascii="Times New Roman" w:cs="Times New Roman" w:eastAsia="Times New Roman" w:hAnsi="Times New Roman"/>
          <w:sz w:val="14"/>
          <w:szCs w:val="14"/>
          <w:color w:val="auto"/>
        </w:rPr>
        <w:t>In support of our business, we seek to cultivate a work environment that reflects collaboration, respect for each voice, and unwavering commitment, and strengthens the sense of belonging among our employees. Reflecting the needs of our employees, we have established a global steering committee, comprised of representatives from all of our locations (including field-based employees), focused on employee engagement, creating connections, fostering conversations, promoting a culture of understanding and inclusion, and helping to support alignment of our efforts across the range of perspectives within our organization. In recent years, we have collaborated with our employees to create five employee resource groups, or ERGs: Limitless, a network to support people impacted by disability or illness; MOSAIC, a multicultural network; Operation Salute, a network to support active duty military members, veterans and their families; Pride@Work, an LGBTQ+ and allies network; and Women Inspired Network (WIN), a women’s network. These ERGs,which are employee-led, voluntary and open to all employees, share a common purpose of building community, providing opportunities for professional development and networking, and having a positive impact on our culture and our business.</w:t>
      </w:r>
    </w:p>
    <w:p>
      <w:pPr>
        <w:spacing w:after="0" w:line="253" w:lineRule="exact"/>
        <w:rPr>
          <w:sz w:val="20"/>
          <w:szCs w:val="20"/>
          <w:color w:val="auto"/>
        </w:rPr>
      </w:pPr>
    </w:p>
    <w:p>
      <w:pPr>
        <w:ind w:left="640" w:right="719" w:firstLine="258"/>
        <w:spacing w:after="0" w:line="262" w:lineRule="auto"/>
        <w:rPr>
          <w:sz w:val="20"/>
          <w:szCs w:val="20"/>
          <w:color w:val="auto"/>
        </w:rPr>
      </w:pPr>
      <w:r>
        <w:rPr>
          <w:rFonts w:ascii="Times New Roman" w:cs="Times New Roman" w:eastAsia="Times New Roman" w:hAnsi="Times New Roman"/>
          <w:sz w:val="14"/>
          <w:szCs w:val="14"/>
          <w:color w:val="auto"/>
        </w:rPr>
        <w:t>We encourage active employee engagement to help ensure that employees feel part of our mission and that they have a voice in the Alkermes community. We conduct periodic employee engagement surveys to understand employee sentiment regarding, and satisfaction with, their work and experience at Alkermes, and have used, and plan to continue to use, the data collected to help inform and evolve our human capital management strategy and initiatives. We survey employees at least annually, which allows our employees to share their insights on a regular basis and provides us with opportunities to regularly assess and address employee feedback. As many of our office-based employees have adapted to a hybrid work model, we have continued to utilize expanded employee communications strategies to keep our employees connected and informed.</w:t>
      </w:r>
    </w:p>
    <w:p>
      <w:pPr>
        <w:spacing w:after="0" w:line="91" w:lineRule="exact"/>
        <w:rPr>
          <w:sz w:val="20"/>
          <w:szCs w:val="20"/>
          <w:color w:val="auto"/>
        </w:rPr>
      </w:pPr>
    </w:p>
    <w:p>
      <w:pPr>
        <w:ind w:left="640" w:right="699" w:firstLine="258"/>
        <w:spacing w:after="0" w:line="263" w:lineRule="auto"/>
        <w:rPr>
          <w:sz w:val="20"/>
          <w:szCs w:val="20"/>
          <w:color w:val="auto"/>
        </w:rPr>
      </w:pPr>
      <w:r>
        <w:rPr>
          <w:rFonts w:ascii="Times New Roman" w:cs="Times New Roman" w:eastAsia="Times New Roman" w:hAnsi="Times New Roman"/>
          <w:sz w:val="14"/>
          <w:szCs w:val="14"/>
          <w:color w:val="auto"/>
        </w:rPr>
        <w:t>We are committed to the professional growth and development of our employees. We conduct a comprehensive on-boarding experience that connects newly hired employees to our business, values, culture, and people. We encourage and support our employees in their adoption of Individual Development Plans designed to identify professional development and growth opportunities to help support their career aspirations. We encourage our employees to seek out professional learning opportunities both within Alkermes and externally, through part-time education and tuition reimbursement programs, and frequent offerings of voluntary Company-hosted trainings that cover topics including performance management, problem-solving, leadership development, diversity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32" w:name="page33"/>
    <w:bookmarkEnd w:id="32"/>
    <w:p>
      <w:pPr>
        <w:ind w:left="640" w:right="1099"/>
        <w:spacing w:after="0" w:line="292" w:lineRule="auto"/>
        <w:rPr>
          <w:sz w:val="20"/>
          <w:szCs w:val="20"/>
          <w:color w:val="auto"/>
        </w:rPr>
      </w:pPr>
      <w:r>
        <w:rPr>
          <w:rFonts w:ascii="Times New Roman" w:cs="Times New Roman" w:eastAsia="Times New Roman" w:hAnsi="Times New Roman"/>
          <w:sz w:val="14"/>
          <w:szCs w:val="14"/>
          <w:color w:val="auto"/>
        </w:rPr>
        <w:t>education and awareness, communication and mentorship, and as appropriate, more specialized skills-based programs. We also provide all employees access to our LinkedIn Learning platform, which provides on-demand learning opportunities.</w:t>
      </w:r>
    </w:p>
    <w:p>
      <w:pPr>
        <w:spacing w:after="0" w:line="70" w:lineRule="exact"/>
        <w:rPr>
          <w:sz w:val="20"/>
          <w:szCs w:val="20"/>
          <w:color w:val="auto"/>
        </w:rPr>
      </w:pPr>
    </w:p>
    <w:p>
      <w:pPr>
        <w:ind w:left="640" w:right="719" w:firstLine="258"/>
        <w:spacing w:after="0" w:line="265" w:lineRule="auto"/>
        <w:rPr>
          <w:sz w:val="20"/>
          <w:szCs w:val="20"/>
          <w:color w:val="auto"/>
        </w:rPr>
      </w:pPr>
      <w:r>
        <w:rPr>
          <w:rFonts w:ascii="Times New Roman" w:cs="Times New Roman" w:eastAsia="Times New Roman" w:hAnsi="Times New Roman"/>
          <w:sz w:val="14"/>
          <w:szCs w:val="14"/>
          <w:color w:val="auto"/>
        </w:rPr>
        <w:t>We ask our employees to help us promote and sustain workplace environments that are safe, productive and protective of the health and well-being of our people and in compliance with applicable laws, rules and regulations. We maintain extensive corporate environmental, health, safety and security policies, adhere to all health and safety standards set by regulators in the locations in which we operate, and routinely assess workplace risks, conduct employee trainings and monitor our sites to reduce the risk of workplace accidents. In 2025, employee health, safety and wellness continued to be of particular focus and importance for the Company.</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Available Information and Website Disclosure</w:t>
      </w:r>
    </w:p>
    <w:p>
      <w:pPr>
        <w:spacing w:after="0" w:line="120" w:lineRule="exact"/>
        <w:rPr>
          <w:sz w:val="20"/>
          <w:szCs w:val="20"/>
          <w:color w:val="auto"/>
        </w:rPr>
      </w:pPr>
    </w:p>
    <w:p>
      <w:pPr>
        <w:ind w:left="640" w:right="679" w:firstLine="258"/>
        <w:spacing w:after="0" w:line="260" w:lineRule="auto"/>
        <w:rPr>
          <w:sz w:val="20"/>
          <w:szCs w:val="20"/>
          <w:color w:val="auto"/>
        </w:rPr>
      </w:pPr>
      <w:r>
        <w:rPr>
          <w:rFonts w:ascii="Times New Roman" w:cs="Times New Roman" w:eastAsia="Times New Roman" w:hAnsi="Times New Roman"/>
          <w:sz w:val="14"/>
          <w:szCs w:val="14"/>
          <w:color w:val="auto"/>
        </w:rPr>
        <w:t>Our principal executive offices are located at Connaught House, 1 Burlington Road, Dublin 4, Ireland D04 C5Y6. Our telephone number is +353-1-772-8000 and our website address is www.alkermes.com. Information found on, or accessible through, our website is not incorporated into, and does not form a part of, this Annual Report. We make available free of charge through the Investors section of our website our Annual Reports on Form 10-K, Quarterly Reports on Form 10-Q, Current Reports on Form 8-K and all amendments to those reports as soon as reasonably practicable after such material is electronically filed with, or furnished to, the SEC. We also make available on the Corporate Governance page of the Investors section of our website at www.alkermes.com (i) the charters for the standing committees of our board of directors, including the audit and risk committee, compensation committee, and nominating and corporate governance committee, and (ii) our Code of Business Conduct and Ethics governing our directors, officers and employees. We intend to disclose on our website any amendments to, or waivers from, our Code of Business Conduct and Ethics that are required to be disclosed pursuant to the rules of the SEC.</w:t>
      </w:r>
    </w:p>
    <w:p>
      <w:pPr>
        <w:spacing w:after="0" w:line="92" w:lineRule="exact"/>
        <w:rPr>
          <w:sz w:val="20"/>
          <w:szCs w:val="20"/>
          <w:color w:val="auto"/>
        </w:rPr>
      </w:pPr>
    </w:p>
    <w:p>
      <w:pPr>
        <w:ind w:left="640" w:right="679" w:firstLine="258"/>
        <w:spacing w:after="0" w:line="268" w:lineRule="auto"/>
        <w:rPr>
          <w:sz w:val="20"/>
          <w:szCs w:val="20"/>
          <w:color w:val="auto"/>
        </w:rPr>
      </w:pPr>
      <w:r>
        <w:rPr>
          <w:rFonts w:ascii="Times New Roman" w:cs="Times New Roman" w:eastAsia="Times New Roman" w:hAnsi="Times New Roman"/>
          <w:sz w:val="14"/>
          <w:szCs w:val="14"/>
          <w:color w:val="auto"/>
        </w:rPr>
        <w:t>From time to time, we may use our website to distribute material information. Our financial and other material information is routinely posted to and accessible on the Investors section of our website, available at www.alkermes.com. Investors are encouraged to review the Investors section of our website because we may post material information on that site that is not otherwise disseminated by us.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b w:val="1"/>
          <w:bCs w:val="1"/>
          <w:color w:val="0070C0"/>
        </w:rPr>
        <w:t>Item 1A. Risk Factors</w:t>
      </w:r>
    </w:p>
    <w:p>
      <w:pPr>
        <w:spacing w:after="0" w:line="161"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You should consider carefully the risks described below in addition to the financial and other information contained in this Annual Report, including our financial statements and related notes thereto and the matters addressed under the caption “Cautionary Note Concerning Forward-Looking Statements,” and in our other public filings with the SEC. If any events described by the following risks actually occur, such events could materially adversely affect our business, financial condition, cash flows or results of operations. This could cause the market price of our ordinary shares to materially decline. </w:t>
      </w:r>
      <w:r>
        <w:rPr>
          <w:rFonts w:ascii="Times New Roman" w:cs="Times New Roman" w:eastAsia="Times New Roman" w:hAnsi="Times New Roman"/>
          <w:sz w:val="14"/>
          <w:szCs w:val="14"/>
          <w:i w:val="1"/>
          <w:iCs w:val="1"/>
          <w:color w:val="212529"/>
        </w:rPr>
        <w:t>The risks described below are not intended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212529"/>
        </w:rPr>
        <w:t>exhaustive and are not the only risks that we face. New risk factors can emerge from time to time, and it is not possible to predict the impact that any factor or combination of factors may have on our business, prospects, financial condition and results of operations.</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212529"/>
        </w:rPr>
        <w:t>Risks Related to Our Business and Our Industry</w:t>
      </w:r>
    </w:p>
    <w:p>
      <w:pPr>
        <w:spacing w:after="0" w:line="148" w:lineRule="exact"/>
        <w:rPr>
          <w:sz w:val="20"/>
          <w:szCs w:val="20"/>
          <w:color w:val="auto"/>
        </w:rPr>
      </w:pPr>
    </w:p>
    <w:p>
      <w:pPr>
        <w:ind w:left="64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We receive substantial revenue from our key proprietary products and our success depends on our ability to successfully manufacture and commercialize such products.</w:t>
      </w:r>
    </w:p>
    <w:p>
      <w:pPr>
        <w:spacing w:after="0" w:line="66"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Sales of our proprietary products comprise a significant portion of our revenues. We developed and exclusively manufacture VIVITROL for the treatment of adults with alcohol dependence and opioid dependence, ARISTADA for the treatment of adults with schizophrenia, ARISTADA INITIO for initiation onto ARISTADA for the treatment of adults with schizophrenia, and LYBALVI for the treatment of adults with schizophrenia and for the treatment of adults with bipolar I disorder. We exclusively commercialize these products, and LUMRYZ for the treatment of cataplexy or EDS in patients seven years and older with narcolepsy, in the U.S. Our success depends in large part on our ability to continue to successfully manufacture and/or commercialize such products in the complex markets into which they are sold. Any significant negative developments relating to these products could have a material adverse effect on our revenues from these products and, in turn, on our business, financial condition, cash flows and results of operations and the market price of our ordinary shares.</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We face competition in the biopharmaceutical industry.</w:t>
      </w:r>
    </w:p>
    <w:p>
      <w:pPr>
        <w:spacing w:after="0" w:line="133"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face intense competition in the development, manufacture, marketing and commercialization of our products from many and varied sources, such as research institutions and other biopharmaceutical companies, including companies with similar technologies or medicines, and manufacturers of generic drugs. Some of these competitors are also our licensees, who control the commercialization of products from which we receive manufacturing and/or royalty revenues. For example, our proprietary products ARISTADA and LYBALVI compete with the long-acting INVEGA products and RISPERDAL CONSTA, products from which we receive manufacturing and/or royalty revenues.</w:t>
      </w:r>
    </w:p>
    <w:p>
      <w:pPr>
        <w:spacing w:after="0" w:line="9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with which we and our licensees compete that are developing generic versions of our products, or products with similar technologies to ours or for use in similar indications, and many of these competitors are larger and have significantly greater financial, operational and other resources than we do. Smaller or earlier stage companies may also prove to be significant competitors, whether through focused or more abbreviated development programs or collaborative arrangements with large, established companies. Some of the products being developed by our competitors are being designed to work differently than our products and may prove to be safer or more effective than our products or achieve regulatory approval and be commercialized earlier than our products, which may render our products or technologies obsolete or noncompetitive or make it more challenging for us to successfully commercialize our products. For a detailed discussion of the competition that we face with respect to our current marketed products, technologies and product indications, please see the section entitled “</w:t>
      </w:r>
      <w:r>
        <w:rPr>
          <w:rFonts w:ascii="Times New Roman" w:cs="Times New Roman" w:eastAsia="Times New Roman" w:hAnsi="Times New Roman"/>
          <w:sz w:val="14"/>
          <w:szCs w:val="14"/>
          <w:i w:val="1"/>
          <w:iCs w:val="1"/>
          <w:color w:val="auto"/>
        </w:rPr>
        <w:t>Competition</w:t>
      </w:r>
      <w:r>
        <w:rPr>
          <w:rFonts w:ascii="Times New Roman" w:cs="Times New Roman" w:eastAsia="Times New Roman" w:hAnsi="Times New Roman"/>
          <w:sz w:val="14"/>
          <w:szCs w:val="14"/>
          <w:color w:val="auto"/>
        </w:rPr>
        <w:t>” in “Item 1—Business” in this Annual Report. If we are unable to compete successfully in the highly competitive biopharmaceutical industry, our business, financial condition, cash flows and results of operations could be materially adversely affected.</w:t>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Our revenues from sales of our products may decrease or grow at a slower than expected rate due to many factors.</w:t>
      </w:r>
    </w:p>
    <w:p>
      <w:pPr>
        <w:spacing w:after="0" w:line="133" w:lineRule="exact"/>
        <w:rPr>
          <w:sz w:val="20"/>
          <w:szCs w:val="20"/>
          <w:color w:val="auto"/>
        </w:rPr>
      </w:pPr>
    </w:p>
    <w:p>
      <w:pPr>
        <w:jc w:val="both"/>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We cannot be assured that our products will be, or will continue to be, accepted in the U.S. or markets outside the U.S. or that we will be able to maintain or increase sales of our products. Factors that may cause revenues from our products to grow at a slower than expected rate, decrease or cease all together, include, among others:</w:t>
      </w:r>
    </w:p>
    <w:p>
      <w:pPr>
        <w:spacing w:after="0" w:line="61" w:lineRule="exact"/>
        <w:rPr>
          <w:sz w:val="20"/>
          <w:szCs w:val="20"/>
          <w:color w:val="auto"/>
        </w:rPr>
      </w:pPr>
    </w:p>
    <w:p>
      <w:pPr>
        <w:ind w:left="1100" w:right="679" w:hanging="256"/>
        <w:spacing w:after="0" w:line="268" w:lineRule="auto"/>
        <w:tabs>
          <w:tab w:leader="none" w:pos="1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perception of physicians and other members of the healthcare community as to our products’ safety and efficacy relative to that of current or future competing products and the willingness or ability of physicians and other members of the healthcare community to prescribe, dispense and/or administer, and patients to use, our products, including those that are scheduled by the DEA;</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34" w:name="page35"/>
    <w:bookmarkEnd w:id="34"/>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concerning us, our licensees, our products, similar classes of drugs or our industry generally;</w:t>
      </w:r>
    </w:p>
    <w:p>
      <w:pPr>
        <w:spacing w:after="0" w:line="118" w:lineRule="exact"/>
        <w:rPr>
          <w:rFonts w:ascii="Times New Roman" w:cs="Times New Roman" w:eastAsia="Times New Roman" w:hAnsi="Times New Roman"/>
          <w:sz w:val="14"/>
          <w:szCs w:val="14"/>
          <w:color w:val="auto"/>
        </w:rPr>
      </w:pPr>
    </w:p>
    <w:p>
      <w:pPr>
        <w:ind w:left="1100" w:right="659" w:hanging="256"/>
        <w:spacing w:after="0" w:line="292"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cost-effectiveness of our products and reimbursement policies of government and third-party payers that may impact use of our products;</w:t>
      </w:r>
    </w:p>
    <w:p>
      <w:pPr>
        <w:spacing w:after="0" w:line="48" w:lineRule="exact"/>
        <w:rPr>
          <w:rFonts w:ascii="Times New Roman" w:cs="Times New Roman" w:eastAsia="Times New Roman" w:hAnsi="Times New Roman"/>
          <w:sz w:val="14"/>
          <w:szCs w:val="14"/>
          <w:color w:val="auto"/>
        </w:rPr>
      </w:pPr>
    </w:p>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and/or maintain regulatory exclusivities, including orphan drug exclusivity for LUMRYZ;</w:t>
      </w:r>
    </w:p>
    <w:p>
      <w:pPr>
        <w:spacing w:after="0" w:line="107" w:lineRule="exact"/>
        <w:rPr>
          <w:rFonts w:ascii="Times New Roman" w:cs="Times New Roman" w:eastAsia="Times New Roman" w:hAnsi="Times New Roman"/>
          <w:sz w:val="14"/>
          <w:szCs w:val="14"/>
          <w:color w:val="auto"/>
        </w:rPr>
      </w:pPr>
    </w:p>
    <w:p>
      <w:pPr>
        <w:ind w:left="1100" w:right="759" w:hanging="256"/>
        <w:spacing w:after="0" w:line="274"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LUMRYZ, our ability and the ability of our certified pharmacies, physicians and patients to meet the requirements under the REMS, and physician and patient perception and assessment of the burdens associated with obtaining LUMRYZ in compliance with the REMS;</w:t>
      </w:r>
    </w:p>
    <w:p>
      <w:pPr>
        <w:spacing w:after="0" w:line="71" w:lineRule="exact"/>
        <w:rPr>
          <w:rFonts w:ascii="Times New Roman" w:cs="Times New Roman" w:eastAsia="Times New Roman" w:hAnsi="Times New Roman"/>
          <w:sz w:val="14"/>
          <w:szCs w:val="14"/>
          <w:color w:val="auto"/>
        </w:rPr>
      </w:pPr>
    </w:p>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availability of raw materials necessary for the manufacture of our products;</w:t>
      </w:r>
    </w:p>
    <w:p>
      <w:pPr>
        <w:spacing w:after="0" w:line="107" w:lineRule="exact"/>
        <w:rPr>
          <w:rFonts w:ascii="Times New Roman" w:cs="Times New Roman" w:eastAsia="Times New Roman" w:hAnsi="Times New Roman"/>
          <w:sz w:val="14"/>
          <w:szCs w:val="14"/>
          <w:color w:val="auto"/>
        </w:rPr>
      </w:pPr>
    </w:p>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manufacture of our products on a timely and cost-effective basis;</w:t>
      </w:r>
    </w:p>
    <w:p>
      <w:pPr>
        <w:spacing w:after="0" w:line="107" w:lineRule="exact"/>
        <w:rPr>
          <w:rFonts w:ascii="Times New Roman" w:cs="Times New Roman" w:eastAsia="Times New Roman" w:hAnsi="Times New Roman"/>
          <w:sz w:val="14"/>
          <w:szCs w:val="14"/>
          <w:color w:val="auto"/>
        </w:rPr>
      </w:pPr>
    </w:p>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engage third parties to manufacture, package and/or distribute our products on acceptable terms, or at all;</w:t>
      </w:r>
    </w:p>
    <w:p>
      <w:pPr>
        <w:spacing w:after="0" w:line="118" w:lineRule="exact"/>
        <w:rPr>
          <w:rFonts w:ascii="Times New Roman" w:cs="Times New Roman" w:eastAsia="Times New Roman" w:hAnsi="Times New Roman"/>
          <w:sz w:val="14"/>
          <w:szCs w:val="14"/>
          <w:color w:val="auto"/>
        </w:rPr>
      </w:pPr>
    </w:p>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markets for our products, and patient and physician satisfaction with our products;</w:t>
      </w:r>
    </w:p>
    <w:p>
      <w:pPr>
        <w:spacing w:after="0" w:line="107" w:lineRule="exact"/>
        <w:rPr>
          <w:rFonts w:ascii="Times New Roman" w:cs="Times New Roman" w:eastAsia="Times New Roman" w:hAnsi="Times New Roman"/>
          <w:sz w:val="14"/>
          <w:szCs w:val="14"/>
          <w:color w:val="auto"/>
        </w:rPr>
      </w:pPr>
    </w:p>
    <w:p>
      <w:pPr>
        <w:ind w:left="1100" w:right="719" w:hanging="256"/>
        <w:spacing w:after="0" w:line="292"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the competitive landscape for our products, including any approvals of generic versions of our products or other branded products that may compete with our products;</w:t>
      </w:r>
    </w:p>
    <w:p>
      <w:pPr>
        <w:spacing w:after="0" w:line="48" w:lineRule="exact"/>
        <w:rPr>
          <w:rFonts w:ascii="Times New Roman" w:cs="Times New Roman" w:eastAsia="Times New Roman" w:hAnsi="Times New Roman"/>
          <w:sz w:val="14"/>
          <w:szCs w:val="14"/>
          <w:color w:val="auto"/>
        </w:rPr>
      </w:pPr>
    </w:p>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event information relating to our products or to similar classes of drugs;</w:t>
      </w:r>
    </w:p>
    <w:p>
      <w:pPr>
        <w:spacing w:after="0" w:line="118" w:lineRule="exact"/>
        <w:rPr>
          <w:rFonts w:ascii="Times New Roman" w:cs="Times New Roman" w:eastAsia="Times New Roman" w:hAnsi="Times New Roman"/>
          <w:sz w:val="14"/>
          <w:szCs w:val="14"/>
          <w:color w:val="auto"/>
        </w:rPr>
      </w:pPr>
    </w:p>
    <w:p>
      <w:pPr>
        <w:ind w:left="1100" w:right="759" w:hanging="256"/>
        <w:spacing w:after="0" w:line="292"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product labels of our products, or of products within the same drug classes, to add new significant warnings or restrictions on use;</w:t>
      </w:r>
    </w:p>
    <w:p>
      <w:pPr>
        <w:spacing w:after="0" w:line="48" w:lineRule="exact"/>
        <w:rPr>
          <w:rFonts w:ascii="Times New Roman" w:cs="Times New Roman" w:eastAsia="Times New Roman" w:hAnsi="Times New Roman"/>
          <w:sz w:val="14"/>
          <w:szCs w:val="14"/>
          <w:color w:val="auto"/>
        </w:rPr>
      </w:pPr>
    </w:p>
    <w:p>
      <w:pPr>
        <w:ind w:left="1100" w:right="819" w:hanging="256"/>
        <w:spacing w:after="0" w:line="265"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unfavorable outcome of investigations, arbitrations, litigation or other legal proceedings, including government requests for information related to one or more of our products, securities litigation, IP litigation, including so-called “Paragraph IV” litigation relating to products from which we receive revenue, litigation or other proceedings before the USPTO Patent Trial and Appeal Board (the “PTAB”) or its equivalent in other jurisdictions outside of the U.S., and any other litigation or arbitration related to any of our products;</w:t>
      </w:r>
    </w:p>
    <w:p>
      <w:pPr>
        <w:spacing w:after="0" w:line="67" w:lineRule="exact"/>
        <w:rPr>
          <w:rFonts w:ascii="Times New Roman" w:cs="Times New Roman" w:eastAsia="Times New Roman" w:hAnsi="Times New Roman"/>
          <w:sz w:val="14"/>
          <w:szCs w:val="14"/>
          <w:color w:val="auto"/>
        </w:rPr>
      </w:pPr>
    </w:p>
    <w:p>
      <w:pPr>
        <w:ind w:left="1100" w:right="659" w:hanging="256"/>
        <w:spacing w:after="0" w:line="274"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and actions related to the manufacture, commercialization or continued use of our products, including FDA actions such as the issuance or modification of a REMS or issuance of an untitled or warning letter, or conduct of an audit by the FDA, the DEA, or another regulatory authority in which a manufacturing or quality deficiency is identified;</w:t>
      </w:r>
    </w:p>
    <w:p>
      <w:pPr>
        <w:spacing w:after="0" w:line="71" w:lineRule="exact"/>
        <w:rPr>
          <w:rFonts w:ascii="Times New Roman" w:cs="Times New Roman" w:eastAsia="Times New Roman" w:hAnsi="Times New Roman"/>
          <w:sz w:val="14"/>
          <w:szCs w:val="14"/>
          <w:color w:val="auto"/>
        </w:rPr>
      </w:pPr>
    </w:p>
    <w:p>
      <w:pPr>
        <w:ind w:left="1100" w:right="719" w:hanging="256"/>
        <w:spacing w:after="0" w:line="274"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the sales, marketing and distribution support for our products, including the size of our and our licensees’ sales forces and investments in marketing strategies, and our and our licensees’ decisions as to the timing and volume of product orders and shipments, the timing of product launches, and product pricing and discounting;</w:t>
      </w:r>
    </w:p>
    <w:p>
      <w:pPr>
        <w:spacing w:after="0" w:line="60" w:lineRule="exact"/>
        <w:rPr>
          <w:rFonts w:ascii="Times New Roman" w:cs="Times New Roman" w:eastAsia="Times New Roman" w:hAnsi="Times New Roman"/>
          <w:sz w:val="14"/>
          <w:szCs w:val="14"/>
          <w:color w:val="auto"/>
        </w:rPr>
      </w:pPr>
    </w:p>
    <w:p>
      <w:pPr>
        <w:ind w:left="1100" w:right="879" w:hanging="256"/>
        <w:spacing w:after="0" w:line="274"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with our licensees relating to the use of our technology in, and marketing and sale of, products from which we received, or currently receive, manufacturing and/or royalty revenue and the amounts and duration of payments to be made with respect to such products;</w:t>
      </w:r>
    </w:p>
    <w:p>
      <w:pPr>
        <w:spacing w:after="0" w:line="60" w:lineRule="exact"/>
        <w:rPr>
          <w:rFonts w:ascii="Times New Roman" w:cs="Times New Roman" w:eastAsia="Times New Roman" w:hAnsi="Times New Roman"/>
          <w:sz w:val="14"/>
          <w:szCs w:val="14"/>
          <w:color w:val="auto"/>
        </w:rPr>
      </w:pPr>
    </w:p>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rate valuations and fluctuations;</w:t>
      </w:r>
    </w:p>
    <w:p>
      <w:pPr>
        <w:spacing w:after="0" w:line="118" w:lineRule="exact"/>
        <w:rPr>
          <w:rFonts w:ascii="Times New Roman" w:cs="Times New Roman" w:eastAsia="Times New Roman" w:hAnsi="Times New Roman"/>
          <w:sz w:val="14"/>
          <w:szCs w:val="14"/>
          <w:color w:val="auto"/>
        </w:rPr>
      </w:pPr>
    </w:p>
    <w:p>
      <w:pPr>
        <w:ind w:left="1100" w:right="679" w:hanging="256"/>
        <w:spacing w:after="0" w:line="292"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and/or implementation of rules by CMS or other federal agencies that lessen the net revenue we receive on the sale of our products or that serve to alter the prices of competitors’ products with which we compete;</w:t>
      </w:r>
    </w:p>
    <w:p>
      <w:pPr>
        <w:spacing w:after="0" w:line="48" w:lineRule="exact"/>
        <w:rPr>
          <w:rFonts w:ascii="Times New Roman" w:cs="Times New Roman" w:eastAsia="Times New Roman" w:hAnsi="Times New Roman"/>
          <w:sz w:val="14"/>
          <w:szCs w:val="14"/>
          <w:color w:val="auto"/>
        </w:rPr>
      </w:pPr>
    </w:p>
    <w:p>
      <w:pPr>
        <w:ind w:left="1100" w:right="799" w:hanging="256"/>
        <w:spacing w:after="0" w:line="292"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participation in the MDRP and 340B programs on the sales of our products, including the net revenue received from such sales;</w:t>
      </w:r>
    </w:p>
    <w:p>
      <w:pPr>
        <w:spacing w:after="0" w:line="48" w:lineRule="exact"/>
        <w:rPr>
          <w:rFonts w:ascii="Times New Roman" w:cs="Times New Roman" w:eastAsia="Times New Roman" w:hAnsi="Times New Roman"/>
          <w:sz w:val="14"/>
          <w:szCs w:val="14"/>
          <w:color w:val="auto"/>
        </w:rPr>
      </w:pPr>
    </w:p>
    <w:p>
      <w:pPr>
        <w:ind w:left="1100" w:right="679" w:hanging="256"/>
        <w:spacing w:after="0" w:line="274"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political and administrative changes, conflicts and/or instability, public health matters, economic conditions and/or any related changes in applicable laws and regulations or federal and state policy efforts, that may impact resources and markets for our products or the systems and environments in which we operate; and</w:t>
      </w:r>
    </w:p>
    <w:p>
      <w:pPr>
        <w:spacing w:after="0" w:line="71" w:lineRule="exact"/>
        <w:rPr>
          <w:rFonts w:ascii="Times New Roman" w:cs="Times New Roman" w:eastAsia="Times New Roman" w:hAnsi="Times New Roman"/>
          <w:sz w:val="14"/>
          <w:szCs w:val="14"/>
          <w:color w:val="auto"/>
        </w:rPr>
      </w:pPr>
    </w:p>
    <w:p>
      <w:pPr>
        <w:ind w:left="1100" w:hanging="256"/>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adverse developments with respect to the commercialization of our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35" w:name="page36"/>
    <w:bookmarkEnd w:id="35"/>
    <w:p>
      <w:pPr>
        <w:ind w:left="640" w:right="759"/>
        <w:spacing w:after="0" w:line="270" w:lineRule="auto"/>
        <w:rPr>
          <w:sz w:val="20"/>
          <w:szCs w:val="20"/>
          <w:color w:val="auto"/>
        </w:rPr>
      </w:pPr>
      <w:r>
        <w:rPr>
          <w:rFonts w:ascii="Times New Roman" w:cs="Times New Roman" w:eastAsia="Times New Roman" w:hAnsi="Times New Roman"/>
          <w:sz w:val="14"/>
          <w:szCs w:val="14"/>
          <w:b w:val="1"/>
          <w:bCs w:val="1"/>
          <w:i w:val="1"/>
          <w:iCs w:val="1"/>
          <w:color w:val="2E74B5"/>
        </w:rPr>
        <w:t>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85"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both U.S. and non-U.S. markets, sales of our products depend, in part, on adequate coverage, pricing and reimbursement from third-party payers such as state and federal governments, including Medicare and Medicaid in the U.S. and similar programs in other countries, managed care providers and private insurance plans. Deterioration in the timeliness, certainty and amount of reimbursement for our products, the existence of barriers to coverage of our products (such as prior authorization, criteria for use or other requirements), increases in our financial obligation to payers, including government payers, limitations by healthcare providers on how much, or under what circumstances, they will prescribe or administer our products or unwillingness by patients to pay any required co-payments, or deductible amounts, could reduce the use of, and revenues generated from, our products and could have a material adverse effect on our business, financial condition, cash flows and results of operations.</w:t>
      </w:r>
    </w:p>
    <w:p>
      <w:pPr>
        <w:spacing w:after="0" w:line="92"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The availability of government and private reimbursement for our products and coverage restrictions that may be imposed for our products are uncertain, as is the amount for which our products will be reimbursed. Pricing and reimbursement for our products may be adversely affected by a number of factors, including: changes in, and implementation of, federal or state government regulations, legislation or private third-party payors’ reimbursement policies; pressure by employers on private health insurance plans to reduce costs; and consolidation and increasing assertiveness of payors and pharmacy benefit managers (“PBMs”) seeking price discounts or rebates in connection with the placement of our products on their formularies and, in some cases, the imposition of restrictions on access or coverage of particular drugs or pricing determined based on perceived value. We cannot predict the availability, amount, or consistency of reimbursement for, or the prevalence and extent of other access barriers to, our products.</w:t>
      </w:r>
    </w:p>
    <w:p>
      <w:pPr>
        <w:spacing w:after="0" w:line="81"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In the U.S., federal and state legislatures, health agencies and third-party payers continue to focus on containing the cost of healthcare. The Inflation Reduction Act includes several provisions that will impact our business to varying degrees, including the Drug Price Negotiation Program applicable to Medicare Parts D and B and those provisions that imposed new manufacturer financial liability on all drugs in Medicare Part D beginning in 2025, and require companies to pay rebates to Medicare for drug prices that increase faster than inflation. The negotiated prices for the first ten Part D drugs took effect January 1, 2026. CMS has also identified an additional fifteen Part D drugs for negotiation for 2027, including VRAYLAR, an oral antipsychotic that competes with LYBALVI and ARISTADA. We cannot predict how the negotiated price for products in Medicare Part D, including VRAYLAR, may ultimately affect our products. In addition, the Drug Price Negotiation Program is subject to ongoing litigation, the outcome of which is difficult to predict.</w:t>
      </w:r>
    </w:p>
    <w:p>
      <w:pPr>
        <w:spacing w:after="0" w:line="95"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Additionally, the OBBBA, which was enacted in July 2025, imposes significant reductions in the funding of the Medicaid program and the enhanced PPACA subsidies expired as of December 31, 2025. Such reductions and loss of subsidies are expected to decrease the number of individuals enrolled in Medicaid over time and reduce the services covered by Medicaid, which could adversely affect our business, financial condition, cash flows and results of operations. We also face uncertainties related to the government’s MFN pricing initiatives, including the GLOBE, GUARD, and GENEROUS models described above, which are intended to reduce Medicare and Medicaid drug expenditures by tying U.S. prices to those paid in certain other developed countries. Given the complexity of these models and the likelihood of legal or operational challenges, the potential impact on our business is difficult to predict.</w:t>
      </w:r>
    </w:p>
    <w:p>
      <w:pPr>
        <w:spacing w:after="0" w:line="267"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economic pressure on state budgets may result in states increasingly seeking to achieve budget savings through mechanisms that limit coverage or payment for drugs, including but not limited to price control initiatives, discounts and other pricing-related actions. State Medicaid programs are increasingly requesting that manufacturers pay supplemental rebates and are requiring prior authorization by the state program for use of any drug. Managed care organizations continue to seek price discounts and, in some cases, to impose restrictions on the coverage of particular drugs. U.S.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257"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Furthermore, we may face uncertainties as a result of efforts to repeal, substantially modify or invalidate some or all of the provisions of the PPACA, the Inflation Reduction Act and other legislation that impacts us, whether by legislative means or through litigation, and further potential reforms to government negotiation or regulation of drug pricing. The PPACA significantly expanded coverage of mental health and substance use disorders and provided federal parity protections to such coverage benefits. If efforts to reform or repeal PPACA, or to implement differently certain of its provisions, are successful, such efforts and proposed legislation or other future federal or state legislative or administrative changes relating to healthcare reform and drug pricing could adversely affect our business and financial results. Additional discounts, rebates, coverage or plan changes, restrictions or exclusions as described above could have a material adverse effect on sales of our affected products. Any failure to obtain or maintain adequate coverage, pricing or reimbursement for our products could have an adverse effect on our business, reputation, revenue, results of operations, financial condition and cash flows.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36" w:name="page37"/>
    <w:bookmarkEnd w:id="36"/>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In addition, pharmacy benefit managers have merged with or acquired specialty and mail order pharmacies and provider groups. This consolidation, and any further consolidation, among insurers, pharmacy benefit managers, other entities in the pharmaceutical supply chain and other payors has increased and will increase, respectively, the negotiating leverage such entities have over us and other drug manufacturers.</w:t>
      </w:r>
    </w:p>
    <w:p>
      <w:pPr>
        <w:spacing w:after="0" w:line="95"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the U.S., to help patients afford our approved products, we may utilize programs to assist them, including patient assistance programs and co-pay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Our patient support programs could become the target of similar actions. In addition, in November 2013, CMS issued guidance to the issuers of qualified health plans sold through the PPACA’s marketplaces encouraging such plans to reject patient cost-sharing support from third parties and indicating that CMS intends to monitor the provision of such support and may take regulatory action to limit it in the future. CMS subsequently issued a rule requiring individual market qualified health plans to accept third-party premium and cost-sharing payments from certain government-related entities. In September 2014, the Office of Inspector General of the U.S. Department of Health and Human Services issued a Special Advisory Bulletin warning manufacturers that they may be subject to sanctions under the federal anti-kickback statute and/or civil monetary penalty laws if they do not take appropriate steps to exclude Part D beneficiaries from using co-pay programs. It is possible that changes in insurer policies regarding co-pay programs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118"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We may fail to realize some or all of the anticipated benefits and synergies of the Avadel Acquisition or to successfully integrate Avadel’s business, which could adversely affect our business and financial condition and the price of our ordinary shares.</w:t>
      </w:r>
    </w:p>
    <w:p>
      <w:pPr>
        <w:spacing w:after="0" w:line="66"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We completed the Avadel Acquisition successfully in February 2026. We are in the process of integrating Avadel’s business into ours, including integration of a number of complex operational and administrative systems, to form a unified combined company, including with respect to human resources, intellectual property management, research and development activities, finance, accounting and internal control processes and systems, sales operations, product distribution, commercialization efforts, government price reporting, information and information security systems, compliance programs and policies and supply chain systems and third party relationships (including vendors and third party manufacturers). While our teams are working to ensure an effective and efficient integration, our and Avadel’s businesses may not be effectively integrated and the anticipated operational, financial, strategic and other benefits and synergies of the acquisition may not be achieved. These anticipated benefits and synergies are based on a number of assumptions and uncertainties, which may prove to be incorrect or incomplete. If we are not able to successfully integrate our and Avadel’s operations, difficulties may arise relating to employee morale, such as the potential loss of key employees that may be difficult to replace, diversion of management’s attention from operation of the business, failure to harmonize both companies’ corporate cultures, any disruption to each company’s ongoing businesses or inconsistencies in standards, controls, procedures and policies that may adversely affect our ability to maintain third-party relationships. In addition, we may identify, or regulatory authorities may assert, instances of non-compliance that occurred prior to the acquisition or that arise following the acquisition as a result of integration challenges, differences in compliance policies or procedures, or changes in operational requirements or controls, which may have a negative impact on our business, our interactions with regulatory authorities and our reputation. There may also be general economic, political, market and business conditions, or future exchange and interest rate changes, or changes in tax laws, regulations, rates and policies, that could have a negative impact on the combined organization. In addition, LUMRYZ, the marketed product acquired in the Avadel Acquisition, could be shown to be ineffective or unsafe, may prove difficult to have manufactured, be precluded from commercialization by the proprietary rights of third parties, or have unintended side effects, adverse reactions or incidents of misuse and we may not be able to continue to successfully commercialize LUMRYZ or support its revenue growth. Any of the foregoing or other unanticipated events may result in our not achieving the operational, financial, strategic and other benefits and synergies we anticipate realizing as a result of the acquisition within the expected timeframe or at all, or they may take longer to realize or cost more than expected, and in each case, our business, results of operations and financial condition and/or the market price for our ordinary shares could be adversely affected.</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37" w:name="page38"/>
    <w:bookmarkEnd w:id="37"/>
    <w:p>
      <w:pPr>
        <w:ind w:left="64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If there are changes in, or we fail to comply with, the extensive legal and regulatory requirements affecting the healthcare industry, we could be subject to investigations, litigation, costs, penalties and business losses.</w:t>
      </w:r>
    </w:p>
    <w:p>
      <w:pPr>
        <w:spacing w:after="0" w:line="66"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activities, and the activities of our licensees and third-party providers, are subject to extensive government regulation. Government regulation by various national, state and local agencies includes detailed inspections of, and controls over, research and laboratory procedures, clinical investigations, product approvals and manufacturing, marketing and promotion, adverse event reporting, sampling, distribution, recordkeeping, storage, and disposal practices, among others. Achieving and maintaining compliance with these regulations substantially increases the time, difficulty and costs incurred in obtaining and maintaining approvals to market newly developed and existing products. Government regulatory actions, including audits, records requests and inspections of manufacturing facilities, can result in delay in the release of products, seizure or recall of products, suspension or revocation of the authority necessary for the manufacture and sale of products, and other regulatory enforcement actions, including the levying of civil fines or criminal penalties, the issuance of a warning letter, or the imposition of an injunction.</w:t>
      </w:r>
    </w:p>
    <w:p>
      <w:pPr>
        <w:spacing w:after="0" w:line="95" w:lineRule="exact"/>
        <w:rPr>
          <w:sz w:val="20"/>
          <w:szCs w:val="20"/>
          <w:color w:val="auto"/>
        </w:rPr>
      </w:pPr>
    </w:p>
    <w:p>
      <w:pPr>
        <w:ind w:left="640" w:right="739" w:firstLine="351"/>
        <w:spacing w:after="0" w:line="257" w:lineRule="auto"/>
        <w:rPr>
          <w:sz w:val="20"/>
          <w:szCs w:val="20"/>
          <w:color w:val="auto"/>
        </w:rPr>
      </w:pPr>
      <w:r>
        <w:rPr>
          <w:rFonts w:ascii="Times New Roman" w:cs="Times New Roman" w:eastAsia="Times New Roman" w:hAnsi="Times New Roman"/>
          <w:sz w:val="14"/>
          <w:szCs w:val="14"/>
          <w:color w:val="auto"/>
        </w:rPr>
        <w:t>Biopharmaceutical companies have also been the target of government lawsuits and investigations alleging violations of government regulation, including claims asserting submission of incorrect pricing information, impermissible promotion of pharmaceutical products, improper payments intended to influence the referral of healthcare business, submission of false claims for government reimbursement, antitrust violations, violations related to anti-corruption and anti-bribery laws, and violations related to environmental matters. We have been, and may continue to be, the subject of certain government inquiries or requests for documentation. For example, we have received civil investigative demands from U.S. federal and state authorities and have cooperated, or are cooperating, with the government in each instance. If, as a result of government requests, proceedings are initiated, including under the U.S. federal Anti-Kickback Statute or False Claims Act, or under state False Claims Acts or other laws, and we are found to have violated one or more applicable laws, we may be subject to significant liability, including without limitation, civil fines, criminal fines and penalties, civil damages and exclusion from U.S. federal funded healthcare programs such as Medicare and Medicaid, any of which could materially affect our reputation, business, financial condition, cash flows and results of operations. Conduct giving rise to such liability could also form the basis for private civil litigation by third-party payers or other persons allegedly harmed by such conduct. Additionally, regardless of whether or not there is merit to claims underlying any investigation or legal proceedings to which we are subject, or whether or not we are found as a result of such investigations or lawsuits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 While we have implemented numerous risk mitigation measures, we cannot guarantee that we, our employees, our licensees, our consultants or our contractors are, or will be, in compliance with all applicable laws or regulations. If we or our agents fail to comply with any of those laws or regulations, a range of actions could result, including the suspension or termination of clinical trials, the failure to approve a product, restrictions on sales of our products or our manufacturing processes, withdrawal of our products from the market, significant fines, exclusion from government healthcare programs or other sanctions or litigation.</w:t>
      </w:r>
    </w:p>
    <w:p>
      <w:pPr>
        <w:spacing w:after="0" w:line="267"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 xml:space="preserve">Changes affecting the healthcare industry, including new laws, regulations or judicial decisions, or new interpretations of existing laws, regulations or decisions, related to patent protection and enforcement, access to healthcare, environmental issues or product pricing and marketing, could also adversely affect our revenues, our public reputation or our potential to be profitable. For example, and as discussed above, the Inflation Reduction Act includes several provisions that will impact our business to varying degrees, including those that imposed new manufacturer financial liability on all drugs in Medicare Part D beginning in 2025, allow the U.S. government to negotiate prices for some drugs covered under Medicare Part B and Part D, and require companies to pay rebates to Medicare for drug prices that increase faster than inflation. Additionally, in its 2024 decision in </w:t>
      </w:r>
      <w:r>
        <w:rPr>
          <w:rFonts w:ascii="Times New Roman" w:cs="Times New Roman" w:eastAsia="Times New Roman" w:hAnsi="Times New Roman"/>
          <w:sz w:val="14"/>
          <w:szCs w:val="14"/>
          <w:i w:val="1"/>
          <w:iCs w:val="1"/>
          <w:color w:val="auto"/>
        </w:rPr>
        <w:t>Loper Bright Enterprises 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Raimondo</w:t>
      </w:r>
      <w:r>
        <w:rPr>
          <w:rFonts w:ascii="Times New Roman" w:cs="Times New Roman" w:eastAsia="Times New Roman" w:hAnsi="Times New Roman"/>
          <w:sz w:val="14"/>
          <w:szCs w:val="14"/>
          <w:color w:val="auto"/>
        </w:rPr>
        <w:t>, the U.S. Supreme Court overruled the “Chevron doctrine,” which gave deference to regulatory agencies’ statutory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interpretations in litigation against federal government agencies, such as the FDA, where the law was ambiguous. This U.S. Supreme Court decision may lead to challenges of longstanding decisions and policies of the FDA, and other federal agencies, which could lead to uncertainties in the industry and disrupt or alter such federal agencies’ operations. Any further changes in laws, regulations or decisions or in the interpretation of existing laws, regulations and decisions, could have a material adverse effect on our business, financial condition, cash flows and results of operations.</w:t>
      </w:r>
    </w:p>
    <w:p>
      <w:pPr>
        <w:spacing w:after="0" w:line="89" w:lineRule="exact"/>
        <w:rPr>
          <w:sz w:val="20"/>
          <w:szCs w:val="20"/>
          <w:color w:val="auto"/>
        </w:rPr>
      </w:pPr>
    </w:p>
    <w:p>
      <w:pPr>
        <w:ind w:left="640" w:right="799"/>
        <w:spacing w:after="0" w:line="277" w:lineRule="auto"/>
        <w:rPr>
          <w:sz w:val="20"/>
          <w:szCs w:val="20"/>
          <w:color w:val="auto"/>
        </w:rPr>
      </w:pPr>
      <w:r>
        <w:rPr>
          <w:rFonts w:ascii="Times New Roman" w:cs="Times New Roman" w:eastAsia="Times New Roman" w:hAnsi="Times New Roman"/>
          <w:sz w:val="14"/>
          <w:szCs w:val="14"/>
          <w:b w:val="1"/>
          <w:bCs w:val="1"/>
          <w:i w:val="1"/>
          <w:iCs w:val="1"/>
          <w:color w:val="2E74B5"/>
        </w:rPr>
        <w:t>We rely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80" w:lineRule="exact"/>
        <w:rPr>
          <w:sz w:val="20"/>
          <w:szCs w:val="20"/>
          <w:color w:val="auto"/>
        </w:rPr>
      </w:pPr>
    </w:p>
    <w:p>
      <w:pPr>
        <w:ind w:left="640" w:right="999" w:firstLine="351"/>
        <w:spacing w:after="0" w:line="268" w:lineRule="auto"/>
        <w:rPr>
          <w:sz w:val="20"/>
          <w:szCs w:val="20"/>
          <w:color w:val="auto"/>
        </w:rPr>
      </w:pPr>
      <w:r>
        <w:rPr>
          <w:rFonts w:ascii="Times New Roman" w:cs="Times New Roman" w:eastAsia="Times New Roman" w:hAnsi="Times New Roman"/>
          <w:sz w:val="14"/>
          <w:szCs w:val="14"/>
          <w:color w:val="auto"/>
        </w:rPr>
        <w:t>Our arrangements with licensees are critical to successfully commercializing and/or bringing to market products using our proprietary technologies and from which we receive manufacturing and/or royalty revenue. We rely on these licensees in various respects, including commercializing such products, conducting development activities with respect to new formulations or new indications for such products, and/or managing the regulatory approval process for such products.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38" w:name="page39"/>
    <w:bookmarkEnd w:id="38"/>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We earn significant royalty revenue from sales by our licensees of our licensed products and third-party products incorporating our proprietary technologies. We also earn manufacturing revenues for the manufacture of RISPERDAL CONSTA on behalf of Janssen. The revenues we receive from such products depend primarily upon the success of our licensees in commercializing such products. For example, we receive substantial revenue from Janssen’s sales of XEPLION, INVEGA TRINZA/TREVICTA, INVEGA HAFYERA/BYANNLI, and from Biogen’s sales of VUMERITY. We have no involvement in the commercialization efforts for these and other products sold by third parties from which we receive revenue and cannot control the extent or effectiveness of such commercialization efforts. In addition, generic versions of certain of these products have been launched, and others could be launched in the future, and there has been, and may in the future be, adverse impacts on the commercialization of these products and therefore on the revenue that we receive from sales of these products.</w:t>
      </w:r>
    </w:p>
    <w:p>
      <w:pPr>
        <w:spacing w:after="0" w:line="95"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Disputes may also arise between us and a licensee involving the ownership of technology developed under a license, the use of our technology, including know-how, in third-party products, the terms and amounts of royalty payments to be paid under a license, or other issues arising out of any licenses or other collaborative agreements. Such disputes may delay related development programs, impact commercialization or manufacturing activities for the related products, impact the timing or amount of revenue that we receive in respect of such products, or result in expensive arbitration, litigation or other dispute resolution, which may not be resolved in our favor and may adversely impact our financial condition.</w:t>
      </w:r>
    </w:p>
    <w:p>
      <w:pPr>
        <w:spacing w:after="0" w:line="9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Further, certain of our license agreements may be terminated, with or without cause, or assigned in connection with a change in control or other event, and we cannot guarantee that any of these licensing relationships will continue or that our licensees will be able or willing to continue to perform their obligations, including development, commercialization or payment obligations, under such agreements. Any significant negative developments relating to our relationships with our licensees could have a material adverse effect on our business, financial condition, cash flows and results of operations and on the market price of our ordinary shares.</w:t>
      </w:r>
    </w:p>
    <w:p>
      <w:pPr>
        <w:spacing w:after="0" w:line="78"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For example, in November 2021 we received notice of partial termination of an exclusive license agreement with Janssen. Under this license agreement, we provided Janssen with rights to, and know-how, training and technical assistance in respect of, our small particle pharmaceutical compound technology, known as NANOCRYSTAL technology, which was used to develop INVEGA SUSTENNA/XEPLION, INVEGA TRINZA/TREVICTA, INVEGA HAFYERA/BYANNLI, and CABENUVA. While we ultimately prevailed in arbitration proceedings related to, among other things, this partial termination and Janssen’s royalty and other obligations under the license agreement, the announcement of the partial termination, expectations regarding the loss of royalty revenues, actual delays in receipt of royalty revenues that resulted from such termination, and the ultimate announcement of the resumption of payment of such royalty revenues, caused the market price of our ordinary shares to fluctuate significantly.</w:t>
      </w:r>
    </w:p>
    <w:p>
      <w:pPr>
        <w:spacing w:after="0" w:line="92"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For these and other reasons that may be outside of our control, our revenues from products sold by our licensees, and any related commercial milestone payments, may fall below our expectations, the expectations of our licensees or those of our shareholders, which could have a material adverse effect on our results of operations and the market price of our ordinary shares.</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Clinical trials for our products are expensive, may take several years to complete, and their outcomes are uncertain.</w:t>
      </w:r>
    </w:p>
    <w:p>
      <w:pPr>
        <w:spacing w:after="0" w:line="133"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order to obtain regulatory approvals for the commercial sale of any product, we or our licensees must demonstrate, through preclinical testing and clinical trials, that such product is safe and effective for use in humans. Designing, conducting and completing a clinical development program is often a lengthy, time-consuming and expensive process and the risk of a product not successfully completing full clinical development and receiving marketing approval is high. We have incurred, and we will continue to incur, substantial expenses for preclinical testing, clinical trials and other activities related to our clinical development programs.</w:t>
      </w:r>
    </w:p>
    <w:p>
      <w:pPr>
        <w:spacing w:after="0" w:line="88"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Our preclinical and clinical development efforts may take several years or more, varying substantially with the type, complexity, novelty and intended use of the product and the clinical study designs and methodologies employed, and may not be successfully completed in a timely manner or at all. Timelines for the initiation, conduct and completion of clinical trials may be delayed by many factors, including:</w:t>
      </w:r>
    </w:p>
    <w:p>
      <w:pPr>
        <w:spacing w:after="0" w:line="33" w:lineRule="exact"/>
        <w:rPr>
          <w:sz w:val="20"/>
          <w:szCs w:val="20"/>
          <w:color w:val="auto"/>
        </w:rPr>
      </w:pPr>
    </w:p>
    <w:p>
      <w:pPr>
        <w:ind w:left="1340" w:right="819" w:hanging="249"/>
        <w:spacing w:after="0" w:line="292"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with the opening, operation or inspection of a new or ongoing clinical trial site, including those located in or near geographic areas of conflict or areas impacted by political, environmental, public health or economic events;</w:t>
      </w:r>
    </w:p>
    <w:p>
      <w:pPr>
        <w:spacing w:after="0" w:line="27" w:lineRule="exact"/>
        <w:rPr>
          <w:rFonts w:ascii="Times New Roman" w:cs="Times New Roman" w:eastAsia="Times New Roman" w:hAnsi="Times New Roman"/>
          <w:sz w:val="14"/>
          <w:szCs w:val="14"/>
          <w:color w:val="auto"/>
        </w:rPr>
      </w:pPr>
    </w:p>
    <w:p>
      <w:pPr>
        <w:jc w:val="both"/>
        <w:ind w:left="1340" w:right="899" w:hanging="249"/>
        <w:spacing w:after="0" w:line="274"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failures of third-party CROs and other third-party service providers and clinical investigators to manage and conduct the trials, perform oversight of the trials, including data audit and verification procedures, or to meet expected timelines;</w:t>
      </w:r>
    </w:p>
    <w:p>
      <w:pPr>
        <w:spacing w:after="0" w:line="39" w:lineRule="exact"/>
        <w:rPr>
          <w:rFonts w:ascii="Times New Roman" w:cs="Times New Roman" w:eastAsia="Times New Roman" w:hAnsi="Times New Roman"/>
          <w:sz w:val="14"/>
          <w:szCs w:val="14"/>
          <w:color w:val="auto"/>
        </w:rPr>
      </w:pPr>
    </w:p>
    <w:p>
      <w:pPr>
        <w:ind w:left="1340" w:right="1019" w:hanging="249"/>
        <w:spacing w:after="0" w:line="292"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recruit, enroll and retain clinical trial participants at the expected rate or at all, or to adequately follow participants after treatment;</w:t>
      </w:r>
    </w:p>
    <w:p>
      <w:pPr>
        <w:spacing w:after="0" w:line="1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or tolerability issues that may arise during clinical trials;</w:t>
      </w:r>
    </w:p>
    <w:p>
      <w:pPr>
        <w:spacing w:after="0" w:line="8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manufacture or obtain sufficient quantities of materials used for clinical trials; and</w:t>
      </w:r>
    </w:p>
    <w:p>
      <w:pPr>
        <w:spacing w:after="0" w:line="8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governmental or regulatory issues or concerns, including those of the FDA, the DEA and other regulatory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39" w:name="page40"/>
    <w:bookmarkEnd w:id="39"/>
    <w:p>
      <w:pPr>
        <w:ind w:left="1340"/>
        <w:spacing w:after="0"/>
        <w:rPr>
          <w:sz w:val="20"/>
          <w:szCs w:val="20"/>
          <w:color w:val="auto"/>
        </w:rPr>
      </w:pPr>
      <w:r>
        <w:rPr>
          <w:rFonts w:ascii="Times New Roman" w:cs="Times New Roman" w:eastAsia="Times New Roman" w:hAnsi="Times New Roman"/>
          <w:sz w:val="14"/>
          <w:szCs w:val="14"/>
          <w:color w:val="auto"/>
        </w:rPr>
        <w:t>agencies, that may impact the strategies for, and design, timelines or feasibility of, our clinical development programs.</w:t>
      </w:r>
    </w:p>
    <w:p>
      <w:pPr>
        <w:spacing w:after="0" w:line="129"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we are currently conducting and enrolling patients in clinical studies in a number of countries where our experience is more limited and in disease areas which are newer to us. In these instances, we must depend on third parties, including independent clinical investigators, CROs and other third-party service providers, to successfully conduct our clinical trials and to audit, verify and accurately report results from such trials. Though we do not have much control over many aspects of such third-party activities, we are responsible for ensuring that each of our clinical trials is conducted in accordance with the general investigational plan and protocols for the trial. Third parties may not complete planned activities on schedule or conduct our trials in accordance with regulatory requirements or our stated protocols.</w:t>
      </w:r>
    </w:p>
    <w:p>
      <w:pPr>
        <w:spacing w:after="0" w:line="91" w:lineRule="exact"/>
        <w:rPr>
          <w:sz w:val="20"/>
          <w:szCs w:val="20"/>
          <w:color w:val="auto"/>
        </w:rPr>
      </w:pPr>
    </w:p>
    <w:p>
      <w:pPr>
        <w:ind w:left="640" w:right="899" w:firstLine="351"/>
        <w:spacing w:after="0" w:line="274" w:lineRule="auto"/>
        <w:rPr>
          <w:sz w:val="20"/>
          <w:szCs w:val="20"/>
          <w:color w:val="auto"/>
        </w:rPr>
      </w:pPr>
      <w:r>
        <w:rPr>
          <w:rFonts w:ascii="Times New Roman" w:cs="Times New Roman" w:eastAsia="Times New Roman" w:hAnsi="Times New Roman"/>
          <w:sz w:val="14"/>
          <w:szCs w:val="14"/>
          <w:color w:val="auto"/>
        </w:rPr>
        <w:t>The outcome of our clinical trials is uncertain. The results from preclinical testing and early clinical trials often have not predicted results of later clinical trials. A number of products have shown promising results in early clinical trials but subsequently failed to establish sufficient safety and/or efficacy data in later clinical trials to obtain necessary regulatory approvals.</w:t>
      </w:r>
    </w:p>
    <w:p>
      <w:pPr>
        <w:spacing w:after="0" w:line="71"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If we and/or third parties fail to manage or conduct clinical trials in a timely manner or in accordance with study protocols or obligations or if a product fails to demonstrate clinical safety and efficacy or to possess features that may give such product a competitive commercial advantage over other products for the same indication, the development, approval and/or commercialization of our products may be delayed or prevented or less successful than anticipated, and such events could materially adversely affect our business, financial condition, cash flows and results of operations.</w:t>
      </w:r>
    </w:p>
    <w:p>
      <w:pPr>
        <w:spacing w:after="0" w:line="117" w:lineRule="exact"/>
        <w:rPr>
          <w:sz w:val="20"/>
          <w:szCs w:val="20"/>
          <w:color w:val="auto"/>
        </w:rPr>
      </w:pPr>
    </w:p>
    <w:p>
      <w:pPr>
        <w:jc w:val="both"/>
        <w:ind w:left="640" w:right="679"/>
        <w:spacing w:after="0" w:line="277" w:lineRule="auto"/>
        <w:rPr>
          <w:sz w:val="20"/>
          <w:szCs w:val="20"/>
          <w:color w:val="auto"/>
        </w:rPr>
      </w:pPr>
      <w:r>
        <w:rPr>
          <w:rFonts w:ascii="Times New Roman" w:cs="Times New Roman" w:eastAsia="Times New Roman" w:hAnsi="Times New Roman"/>
          <w:sz w:val="14"/>
          <w:szCs w:val="14"/>
          <w:b w:val="1"/>
          <w:bCs w:val="1"/>
          <w:i w:val="1"/>
          <w:iCs w:val="1"/>
          <w:color w:val="2E74B5"/>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69" w:lineRule="exact"/>
        <w:rPr>
          <w:sz w:val="20"/>
          <w:szCs w:val="20"/>
          <w:color w:val="auto"/>
        </w:rPr>
      </w:pPr>
    </w:p>
    <w:p>
      <w:pPr>
        <w:ind w:left="640" w:right="679" w:firstLine="319"/>
        <w:spacing w:after="0" w:line="260" w:lineRule="auto"/>
        <w:rPr>
          <w:sz w:val="20"/>
          <w:szCs w:val="20"/>
          <w:color w:val="auto"/>
        </w:rPr>
      </w:pPr>
      <w:r>
        <w:rPr>
          <w:rFonts w:ascii="Times New Roman" w:cs="Times New Roman" w:eastAsia="Times New Roman" w:hAnsi="Times New Roman"/>
          <w:sz w:val="14"/>
          <w:szCs w:val="14"/>
          <w:color w:val="auto"/>
        </w:rPr>
        <w:t>From time to time, we may announce, publish or report preliminary, topline or interim data from our clinical trials. Such data are subject to the risk that one or more of the clinical outcomes may materially change as patients continue progressing through the study, as patient enrollment continues and/or as more patient data become available, and such data may not be indicative of final data from such trials, data from future trials or real-world results. In addition, such data may remain subject to audit confirmation and verification procedures that may result in the final data being materially different from the preliminary, topline or interim data disclosed. As a result, all preliminary, topline and interim data, and data from early clinical trials with a small number of participants, should be viewed with caution until the final data or more extensive datasets are available, as applicable. Material adverse differences between preliminary, topline or interim data and final data, or initial proof-of-concept data and data from later or larger trials, could significantly harm our business, financial condition, cash flows and results of operations.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Our success depends, in part, on our ability to successfully obtain and maintain regulatory approval for our products.</w:t>
      </w:r>
    </w:p>
    <w:p>
      <w:pPr>
        <w:spacing w:after="0" w:line="122"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must obtain government approvals before marketing or selling our products. The FDA and DEA (to the extent a product is a controlled substance) in the U.S., and comparable regulatory agencies in other jurisdictions, impose substantial and rigorous requirements for the development, manufacture and commercialization of medicines, the satisfaction of which can take a significant number of years and can vary substantially based upon the type, complexity and novelty of the product.</w:t>
      </w:r>
    </w:p>
    <w:p>
      <w:pPr>
        <w:spacing w:after="0" w:line="86" w:lineRule="exact"/>
        <w:rPr>
          <w:sz w:val="20"/>
          <w:szCs w:val="20"/>
          <w:color w:val="auto"/>
        </w:rPr>
      </w:pPr>
    </w:p>
    <w:p>
      <w:pPr>
        <w:ind w:left="640" w:right="799" w:firstLine="351"/>
        <w:spacing w:after="0" w:line="260" w:lineRule="auto"/>
        <w:rPr>
          <w:sz w:val="20"/>
          <w:szCs w:val="20"/>
          <w:color w:val="auto"/>
        </w:rPr>
      </w:pPr>
      <w:r>
        <w:rPr>
          <w:rFonts w:ascii="Times New Roman" w:cs="Times New Roman" w:eastAsia="Times New Roman" w:hAnsi="Times New Roman"/>
          <w:sz w:val="14"/>
          <w:szCs w:val="14"/>
          <w:color w:val="auto"/>
        </w:rPr>
        <w:t>In addition, regulation is not static, and regulatory agencies, including the FDA, evolve in their staff, interpretations and practices, including as a result of changes in government, and may impose different or more stringent requirements than currently in effect, which may adversely affect our plans for product development, manufacture and/or commercialization. The approval procedures and the time and requirements necessary to obtain and maintain approvals may also vary among countries. Regulatory agencies may have varying interpretations of the same data, and approval by one regulatory agency does not ensure approval by regulatory agencies in other jurisdictions. In addition, the FDA or other regulatory agencies may choose not to communicate with or update us during clinical testing and regulatory review periods and the ultimate decision by the FDA or other regulatory agencies regarding drug approval or post-approval requirements may not be consistent with prior discussions with or communications from such agencies.</w:t>
      </w:r>
    </w:p>
    <w:p>
      <w:pPr>
        <w:spacing w:after="0" w:line="95"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The product approval process can last many years, be very costly and still be unsuccessful. Regulatory approval by the FDA or other regulatory agencies can be delayed, limited or not granted at all for many reasons, including:</w:t>
      </w:r>
    </w:p>
    <w:p>
      <w:pPr>
        <w:spacing w:after="0" w:line="38" w:lineRule="exact"/>
        <w:rPr>
          <w:sz w:val="20"/>
          <w:szCs w:val="20"/>
          <w:color w:val="auto"/>
        </w:rPr>
      </w:pPr>
    </w:p>
    <w:p>
      <w:pPr>
        <w:ind w:left="1340" w:right="739" w:hanging="249"/>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may not demonstrate sufficient safety and efficacy or a sufficiently favorable benefit/risk profile for each target indication in accordance with applicable regulatory agencies’ standards;</w:t>
      </w:r>
    </w:p>
    <w:p>
      <w:pPr>
        <w:spacing w:after="0" w:line="37" w:lineRule="exact"/>
        <w:rPr>
          <w:rFonts w:ascii="Times New Roman" w:cs="Times New Roman" w:eastAsia="Times New Roman" w:hAnsi="Times New Roman"/>
          <w:sz w:val="14"/>
          <w:szCs w:val="14"/>
          <w:color w:val="auto"/>
        </w:rPr>
      </w:pPr>
    </w:p>
    <w:p>
      <w:pPr>
        <w:ind w:left="1340" w:right="699" w:hanging="249"/>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from preclinical testing and clinical trials may be interpreted by applicable regulatory agencies in different ways than we or our licensees interpret it;</w:t>
      </w:r>
    </w:p>
    <w:p>
      <w:pPr>
        <w:spacing w:after="0" w:line="37" w:lineRule="exact"/>
        <w:rPr>
          <w:rFonts w:ascii="Times New Roman" w:cs="Times New Roman" w:eastAsia="Times New Roman" w:hAnsi="Times New Roman"/>
          <w:sz w:val="14"/>
          <w:szCs w:val="14"/>
          <w:color w:val="auto"/>
        </w:rPr>
      </w:pPr>
    </w:p>
    <w:p>
      <w:pPr>
        <w:ind w:left="1340" w:right="1219" w:hanging="249"/>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agencies may not agree with our or our licensees’ regulatory approval strategies, plans for accelerated development timelines, components of our or our licensees’ filings such as clinical trial designs, conduct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40" w:name="page41"/>
    <w:bookmarkEnd w:id="40"/>
    <w:p>
      <w:pPr>
        <w:ind w:left="1340"/>
        <w:spacing w:after="0"/>
        <w:rPr>
          <w:sz w:val="20"/>
          <w:szCs w:val="20"/>
          <w:color w:val="auto"/>
        </w:rPr>
      </w:pPr>
      <w:r>
        <w:rPr>
          <w:rFonts w:ascii="Times New Roman" w:cs="Times New Roman" w:eastAsia="Times New Roman" w:hAnsi="Times New Roman"/>
          <w:sz w:val="14"/>
          <w:szCs w:val="14"/>
          <w:color w:val="auto"/>
        </w:rPr>
        <w:t>methodologies, or the sufficiency of our or our licensees’ submitted data to meet their requirements for product approval;</w:t>
      </w:r>
    </w:p>
    <w:p>
      <w:pPr>
        <w:spacing w:after="0" w:line="97" w:lineRule="exact"/>
        <w:rPr>
          <w:sz w:val="20"/>
          <w:szCs w:val="20"/>
          <w:color w:val="auto"/>
        </w:rPr>
      </w:pPr>
    </w:p>
    <w:p>
      <w:pPr>
        <w:ind w:left="1340" w:right="859" w:hanging="249"/>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agencies might not approve our or our licensees’ manufacturing processes or facilities, or those of the CROs and third-party contract manufacturers who conduct research or manufacturing work on our or our licensees’ behalf;</w:t>
      </w:r>
    </w:p>
    <w:p>
      <w:pPr>
        <w:spacing w:after="0" w:line="37" w:lineRule="exact"/>
        <w:rPr>
          <w:rFonts w:ascii="Times New Roman" w:cs="Times New Roman" w:eastAsia="Times New Roman" w:hAnsi="Times New Roman"/>
          <w:sz w:val="14"/>
          <w:szCs w:val="14"/>
          <w:color w:val="auto"/>
        </w:rPr>
      </w:pPr>
    </w:p>
    <w:p>
      <w:pPr>
        <w:ind w:left="1340" w:right="999" w:hanging="249"/>
        <w:spacing w:after="0" w:line="274"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clinical investigational sites and the records kept at such sites, including any clinical trial data, to be in compliance with the FDA’s GCP, or EU legislation governing GCP, or to pass FDA, EMA or EU member state inspections of clinical trials;</w:t>
      </w:r>
    </w:p>
    <w:p>
      <w:pPr>
        <w:spacing w:after="0" w:line="50" w:lineRule="exact"/>
        <w:rPr>
          <w:rFonts w:ascii="Times New Roman" w:cs="Times New Roman" w:eastAsia="Times New Roman" w:hAnsi="Times New Roman"/>
          <w:sz w:val="14"/>
          <w:szCs w:val="14"/>
          <w:color w:val="auto"/>
        </w:rPr>
      </w:pPr>
    </w:p>
    <w:p>
      <w:pPr>
        <w:ind w:left="1340" w:right="1279" w:hanging="249"/>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agencies may change their requirements for approval or post-approval marketing, including potential imposition or modification of a REMS; and</w:t>
      </w:r>
    </w:p>
    <w:p>
      <w:pPr>
        <w:spacing w:after="0" w:line="37" w:lineRule="exact"/>
        <w:rPr>
          <w:rFonts w:ascii="Times New Roman" w:cs="Times New Roman" w:eastAsia="Times New Roman" w:hAnsi="Times New Roman"/>
          <w:sz w:val="14"/>
          <w:szCs w:val="14"/>
          <w:color w:val="auto"/>
        </w:rPr>
      </w:pPr>
    </w:p>
    <w:p>
      <w:pPr>
        <w:ind w:left="1340" w:right="779" w:hanging="249"/>
        <w:spacing w:after="0" w:line="274"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medical events during our clinical trials or during clinical trials of other product candidates in the same class could lead to requirements that trials be repeated or extended, or that a development program be terminated or placed on clinical hold, even if other studies or trials relating to the program are successful.</w:t>
      </w:r>
    </w:p>
    <w:p>
      <w:pPr>
        <w:spacing w:after="0" w:line="82"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 addition, disruptions at the FDA and other regulatory agencies that are unrelated to our company or our products, including those relating to a prolonged U.S. government shutdown, such as the one that occurred in the fall of 2025, significant changes in FDA leadership or personnel, or other global, political or economic conditions or circumstances, could cause delays to the regulatory approval process for our products.</w:t>
      </w:r>
    </w:p>
    <w:p>
      <w:pPr>
        <w:spacing w:after="0" w:line="86"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Any failure to obtain, or delay in obtaining, regulatory approval for our products will prevent or delay their commercialization and could have a material adverse effect on our business, financial condition, cash flows and results of operations. In addition, any failure to obtain, or delay in obtaining, approval for our products could have a material impact on our shareholders’ confidence in the strength of our development capabilities and/or our ability to generate significant revenue from our development programs and could result in a significant decline in our share price.</w:t>
      </w:r>
    </w:p>
    <w:p>
      <w:pPr>
        <w:spacing w:after="0" w:line="78" w:lineRule="exact"/>
        <w:rPr>
          <w:sz w:val="20"/>
          <w:szCs w:val="20"/>
          <w:color w:val="auto"/>
        </w:rPr>
      </w:pPr>
    </w:p>
    <w:p>
      <w:pPr>
        <w:ind w:left="640" w:right="779" w:firstLine="351"/>
        <w:spacing w:after="0" w:line="258" w:lineRule="auto"/>
        <w:rPr>
          <w:sz w:val="20"/>
          <w:szCs w:val="20"/>
          <w:color w:val="auto"/>
        </w:rPr>
      </w:pPr>
      <w:r>
        <w:rPr>
          <w:rFonts w:ascii="Times New Roman" w:cs="Times New Roman" w:eastAsia="Times New Roman" w:hAnsi="Times New Roman"/>
          <w:sz w:val="14"/>
          <w:szCs w:val="14"/>
          <w:color w:val="auto"/>
        </w:rPr>
        <w:t>Even if regulatory approval to market a product is granted by the FDA or other regulatory agencies, the approved label for the product may not be consistent with our initial expectations or commercial plans. For example, the FDA or other regulatory agencies may impose limitations on the clinical data that may be included in the label for the product or the indicated uses for which, or the manner in which, the product may be marketed, or may impose additional post-approval requirements, such as a REMS, with which we would need to comply in order to maintain the approval of such product. Our business could be seriously harmed if we do not complete these post-approval requirements or if the FDA or other regulatory agencies require us to change the label for any product, or if such post-approval requirements significantly restrict the marketing, sale or use of any product. For example, we are required to maintain a REMS for LUMRYZ because its API consists of sodium oxybate, a central nervous system depressant known to be associated with serious potential side effects. The REMS imposes, among other requirements, controls and restrictions on the distribution of the product in the U.S. Any failure to demonstrate our substantial compliance with such REMS obligations, including as a result of business or other interruptions, or a determination by the FDA that the REMS is not meeting its goals, could result in enforcement action by the FDA , including potential withdrawal of the product from the market or required changes to our REMS obligations, any of which could negatively affect sales of LUMRYZ, result in additional costs and expenses for us or require us to invest a significant amount of resources, any of which could significantly affect our business, financial condition, cash flows and results of operations.</w:t>
      </w:r>
    </w:p>
    <w:p>
      <w:pPr>
        <w:spacing w:after="0" w:line="273"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In addition, legislation and regulatory policies relating to post-approval requirements and restrictions on promotional activities for pharmaceutical products, or FDA or other regulatory agency regulations, guidance or interpretations with respect to such legislation or regulatory policy may change, which may impact the development and commercialization of our products.</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Disruptions at the FDA, the SEC and other government agencies could negatively impact our business.</w:t>
      </w:r>
    </w:p>
    <w:p>
      <w:pPr>
        <w:spacing w:after="0" w:line="133"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Disruptions at the FDA and other regulatory agencies that are unrelated to our company or our products, including due to changes in government or significant changes in leadership or personnel, could increase the time required for new drugs to be reviewed and approved, or otherwise cause delays to the regulatory approval or post-approval processes for our products, which could adversely affect our business. The ability of the FDA or other regulatory agencies to review and approve new products or manage post-approval requirements for marketed products can be affected by a variety of factors, including government budget and funding levels, ability to hire and retain key personnel and accept the payment of user fees, and statutory, regulatory, political and policy changes. Average review times for product submissions have fluctuated in recent years as a result. In addition, government funding of the SEC and other government agencies on which our operations may rely is subject to the impacts of political events, which are inherently fluid and unpredictable.</w:t>
      </w:r>
    </w:p>
    <w:p>
      <w:pPr>
        <w:spacing w:after="0" w:line="95"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For example, over the last several years, the U.S. government has shut down several times, including in the fall of 2025, and certain regulatory agencies, such as the FDA and the SEC, have had to furlough critical FDA, SEC and other government employees and stop critical activities. If a prolonged government shutdown occurs, or if other global, political or economic conditions impact the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41" w:name="page42"/>
    <w:bookmarkEnd w:id="41"/>
    <w:p>
      <w:pPr>
        <w:ind w:left="640" w:right="1019"/>
        <w:spacing w:after="0" w:line="292" w:lineRule="auto"/>
        <w:rPr>
          <w:sz w:val="20"/>
          <w:szCs w:val="20"/>
          <w:color w:val="auto"/>
        </w:rPr>
      </w:pPr>
      <w:r>
        <w:rPr>
          <w:rFonts w:ascii="Times New Roman" w:cs="Times New Roman" w:eastAsia="Times New Roman" w:hAnsi="Times New Roman"/>
          <w:sz w:val="14"/>
          <w:szCs w:val="14"/>
          <w:color w:val="auto"/>
        </w:rPr>
        <w:t>regulatory agencies with which we interact, it could significantly impact the ability of the FDA and the SEC or other agencies to timely review and process our submissions, which could have a material adverse effect on our business.</w:t>
      </w:r>
    </w:p>
    <w:p>
      <w:pPr>
        <w:spacing w:after="0" w:line="98" w:lineRule="exact"/>
        <w:rPr>
          <w:sz w:val="20"/>
          <w:szCs w:val="20"/>
          <w:color w:val="auto"/>
        </w:rPr>
      </w:pPr>
    </w:p>
    <w:p>
      <w:pPr>
        <w:ind w:left="64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We may not be able to successfully expand our R&amp;D pipeline or our commercial product portfolio, which could limit our growth potential.</w:t>
      </w:r>
    </w:p>
    <w:p>
      <w:pPr>
        <w:spacing w:after="0" w:line="55"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Our business is focused on the development and commercialization of medicines in the field of neuroscience, and we invest substantial resources toward the research and development of new potential product candidates to advance into clinical trials. Notwithstanding this investment, our development programs may not yield viable product candidates in a timely manner or at all, and our product candidates may not obtain regulatory approval, which could limit our growth potential.</w:t>
      </w:r>
    </w:p>
    <w:p>
      <w:pPr>
        <w:spacing w:after="0" w:line="86"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In addition to our internal development programs, our strategy for pipeline and commercial portfolio expansion includes identifying and evaluating potential transactional opportunities, including mergers and acquisitions, licenses and collaborations, and development and supply, commercialization or co-promotion arrangements, among others, to acquire or license additional products, product candidates, or technologies that could be additive to our business and to our strategy to create value for our shareholders. For example, we recently completed the Avadel Acquisition, which added LUMRYZ to our commercial portfolio and added valiloxybate to our portfolio of development candidates. However, we may not be able to successfully complete any additional transactions in the future, as such transactions are often highly competitive, and many other companies may pursue the same or similar assets to those that we may consider attractive. In particular, larger companies with greater financial resources or development or commercialization capabilities may have a competitive advantage over us. Furthermore, companies that perceive us to be a competitor may be unwilling to assign or license rights to us. We may also be unable to enter into transactions on acceptable terms that would allow us to realize an appropriate return on our investment. Even if we succeed in our efforts to obtain rights to suitable products, product candidates, or technologies, the competitive business environment may result in high transaction costs, and our investment in these potential assets remain, or would remain, subject to the inherent risks associated with the development and commercialization of new medicines and may not yield the growth or success that we anticipate, which could have a material adverse effect on our business and financial results and the market price of our ordinary shares.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We are subject to risks related to the manufacture of our products.</w:t>
      </w:r>
    </w:p>
    <w:p>
      <w:pPr>
        <w:spacing w:after="0" w:line="133"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The manufacture of pharmaceutical products is a highly complex process in which a variety of difficulties may arise from time to time. We have in the past, and may in the future, face unanticipated interruptions or delays in manufacturing through our internal or external supply chain and resources. Such disruptions can occur for many reasons, including, but not limited to, the supply and quality of API, drug product and other product components and any potential shortages of such materials; regulatory actions; failures relating to materials, manufacturing equipment or processes, quality deviations or safety issues, vendor error, operator error, labor shortages or disputes, utility or transportation disruptions, or physical or electronic security breaches; site-specific incidents (such as fires), environmental incidents, natural disasters and other severe weather events, including those that may occur as a result of climate change; global disruptions such as the COVID-19 pandemic and ongoing conflicts in various regions of the world; and many other factors.</w:t>
      </w:r>
    </w:p>
    <w:p>
      <w:pPr>
        <w:spacing w:after="0" w:line="26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Any such problems with manufacturing processes, whether at our facilities or those of our licensees or other third parties that manufacture or package products or components of products on our behalf, could result in product defects or shortages, manufacturing failures or products not being manufactured to their applicable specifications, which could require us to delay shipment of products or recall products previously shipped, or could impair our or our licensees’ ability to receive regulatory approval for a product, commercially launch a product, expand into new markets or supply products in existing markets. We may not be able to resolve any such issues in a timely manner, or at all, which could result in declines in sales and reputational damage as well as significant remediation costs to address any issues that arise.</w:t>
      </w:r>
    </w:p>
    <w:p>
      <w:pPr>
        <w:spacing w:after="0" w:line="80"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We rely solely on our manufacturing facility in Wilmington, Ohio for the manufacture of ARISTADA, ARISTADA INITIO, LYBALVI, RISPERDAL CONSTA and VIVITROL. Due to regulatory and technical requirements, we have limited ability to shift production within our facility or to outsource any portions of our manufacturing to third parties in the event of an interruption in manufacturing or demand for manufacturing that exceeds our capacity. Any need to transition our manufacturing processes, or portions thereof, to a third party, whether due to an interruption in our manufacturing or due to demand for a product that exceeds our manufacturing capacity or otherwise, could take a significant amount of time and resources, may not be successful, and could cause significant interruption or delay in our ability to supply products.</w:t>
      </w:r>
    </w:p>
    <w:p>
      <w:pPr>
        <w:spacing w:after="0" w:line="9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Manufacturing facilities also require specialized personnel and are expensive to operate and maintain. Any interruption in manufacturing, delay in a regulatory approval or commercial launch, or recall or suspension of sales of products manufactured in our facilities, may cause operating losses as we continue to operate our facilities and retain the required specialized personnel. In addition, any significant personnel shortages at our manufacturing facility, whether temporary or prolonged, including shortages related to the labor market, may cause significant interruptions to our supply of products.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42" w:name="page43"/>
    <w:bookmarkEnd w:id="42"/>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are also dependent in certain cases on third parties who manufacture or distribute certain products that we commercialize or from which we receive revenue. Supply or manufacturing issues related to products using our proprietary technologies or licensed products could materially adversely affect sales of such products, and in turn our revenue from such products. For example, LUMRYZ is manufactured by a number of third-party contract manufacturers on which we rely and, due to regulatory and technical requirements, we have limited ability to shift production to alternative contract manufacturers in the event of an interruption in manufacturing or demand for manufacturing that exceeds such contract manufacturers’ capacity. Any need to transition manufacturing could take a significant amount of time and resources, may not be successful, and could cause significant interruption or delay in our ability to supply LUMRYZ. In addition, VUMERITY, a licensed product for which we receive royalties, was previously manufactured by us and is now manufactured exclusively by Biogen and its designees, and we no longer have any control over its manufacturing. Supply or manufacturing issues related to our proprietary products, products using our proprietary technologies, or our licensed products could materially and adversely affect sales of such products, and in turn our revenue from such products.</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We rely on third parties to provide goods and services in connection with the manufacture and distribution of our products.</w:t>
      </w:r>
    </w:p>
    <w:p>
      <w:pPr>
        <w:spacing w:after="0" w:line="122"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rely on third parties for the timely supply of goods and services that play a role in the manufacture and distribution of our products, including, among others, specified raw materials, equipment, contract manufacturing, formulation and packaging services, operation of the LUMRYZ REMS, storage and product distribution services, customer service activities and product returns processing, and some of these goods and services for our products are currently only available from a single source or a limited number of qualified sources. These third parties must comply with U.S. federal, state and local regulations applicable to their business, including FDA and, as applicable, DEA regulations. Although we actively manage these third-party relationships to support continuity, quality and compliance with applicable regulations, events beyond our control, including natural disasters and other severe weather events, including those that may occur as a result of climate change, or global disruptions such as the COVID-19 pandemic and ongoing conflicts in various regions in the world, could negatively impact the continuity of supply of such materials and/or services, their quality and their compliance with applicable standards. Any such failure could materially adversely affect our business, financial condition, cash flows and results of operations.</w:t>
      </w:r>
    </w:p>
    <w:p>
      <w:pPr>
        <w:spacing w:after="0" w:line="97"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The manufacture of products and product components, including the procurement of bulk drug product and other materials used in the manufacture, packaging, storage and distribution of our products, requires successful coordination among us and multiple third-party providers. Lack of capacity available at such third-party providers or any other issues with the quality or operations of these third-party providers, including any issues related to regulatory permits, audits or requirements, could require us to delay shipment of saleable products, recall products previously shipped or impair our ability to supply products at all.</w:t>
      </w:r>
    </w:p>
    <w:p>
      <w:pPr>
        <w:spacing w:after="0" w:line="88"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endeavor to qualify and register new vendors and to develop contingency plans so that production is not materially impacted by third-party provider issues. Nonetheless, any such third-party provider issues could increase our costs, cause us to lose revenue or market share and damage our reputation, and may have a material adverse effect on our business, financial condition, cash flows and results of operations.</w:t>
      </w:r>
    </w:p>
    <w:p>
      <w:pPr>
        <w:spacing w:after="0" w:line="76"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In addition, we rely heavily on the three largest pharmaceutical wholesalers in the U.S. market—Cardinal Health Inc., Cencora, and McKesson Corp—in the distribution of ARISTADA and ARISTADA INITIO, LYBALVI and VIVITROL. If we are unable to maintain our business relationships with these wholesalers on commercially acceptable terms, if these wholesalers experience prolonged business disruptions, if the buying patterns of these wholesalers fluctuate due to seasonality or any other reason or if wholesaler buying decisions or other factors outside of our control change, our business, financial condition, cash flows and results of operations could be materially adversely affected.</w:t>
      </w:r>
    </w:p>
    <w:p>
      <w:pPr>
        <w:spacing w:after="0" w:line="119" w:lineRule="exact"/>
        <w:rPr>
          <w:sz w:val="20"/>
          <w:szCs w:val="20"/>
          <w:color w:val="auto"/>
        </w:rPr>
      </w:pPr>
    </w:p>
    <w:p>
      <w:pPr>
        <w:ind w:left="64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If we or our third-party providers fail to meet the stringent requirements of governmental regulation in the manufacture of our products, we could incur substantial remedial costs and experience a reduction in sales and/or revenues.</w:t>
      </w:r>
    </w:p>
    <w:p>
      <w:pPr>
        <w:spacing w:after="0" w:line="55"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and the third-party providers involved in our manufacturing activities are generally required to comply with cGMP regulations and other applicable non-U.S. standards in the manufacture of our products or components of our products. Additionally, in the U.S., the DEA and state-level agencies heavily regulate the manufacturing, holding, processing, security, recordkeeping and distribution of substances, including controlled substances. Our products that are scheduled by the DEA as controlled substances make us subject to the DEA’s regulations. We and our third-party providers are subject to unannounced inspections by the FDA, the DEA and other governmental agencies to confirm compliance with all applicable laws. Any changes to our suppliers or modifications of methods of manufacturing require submission of amendments to our marketing applications to the FDA or other applicable regulatory agencies, and ultimate acceptance by such agencies of such amendments, prior to release of product to the applicable marketplace. Our inability, or the inability of our third-party providers, to demonstrate ongoing compliance with cGMP or other regulatory requirements could require us to withdraw or recall products and interrupt clinical and commercial supply of our products. Any delay, interruption or other issues that may arise in the manufacture, formulation, packaging or storage of our products as a result of a failure of our facilities or operations or the facilities or operations of third-party providers to pass any regulatory agency inspection could significantly impair our ability to develop, obtain and maintain regulatory approval of, and commercialize or supply, products. This interruption could increase our costs, cause us to lose revenue or market share and damage our reputation with our collaboration partners or in the market generally.</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43" w:name="page44"/>
    <w:bookmarkEnd w:id="43"/>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March 2020, in response to the COVID-19 pandemic, the Coronavirus Aid, Relief, and Economic Security Act (the “CARES Act”) was signed into law in the U.S., and served to increase the FDA’s existing authority with respect to drug shortage measures. Under the CARES Act, for each facility where marketed products for certain serious diseases or conditions are manufactured, or where components of such products are manufactured, we are required to have a risk management plan in place that identifies and evaluates risks to the supply of such products or product components, which plans may be subject to review during any FDA inspection. Each of our facilities operates in accordance with a comprehensive quality management system, which includes risk assessment, preventive actions and regular review of inventory levels for each of the marketed products that we manufacture; however, the FDA may not consider our risk management program to be sufficient upon inspection and we may still experience shortages in the supply of marketed products that we manufacture or that are manufactured on our behalf by third parties, which could materially adversely affect the patients who rely on such marketed products and our business, financial condition, cash flows and results of operations. The FDA and various regulatory agencies outside the U.S. have inspected and approved our commercial manufacturing facility. However, the FDA and any other regulatory agencies may not approve any other facility that we or our third-party providers may operate and, once approved, any of these facilities may not remain in compliance with cGMP and other regulations. Any third party we use to manufacture bulk drug product for use in the U.S. must be licensed by the FDA. Failure by us or our third-party providers to gain or maintain regulatory compliance with and approvals from the FDA or other regulatory agencies could materially adversely affect our business, financial condition, cash flows and results of operations.</w:t>
      </w:r>
    </w:p>
    <w:p>
      <w:pPr>
        <w:spacing w:after="0" w:line="127" w:lineRule="exact"/>
        <w:rPr>
          <w:sz w:val="20"/>
          <w:szCs w:val="20"/>
          <w:color w:val="auto"/>
        </w:rPr>
      </w:pPr>
    </w:p>
    <w:p>
      <w:pPr>
        <w:ind w:left="640" w:right="759"/>
        <w:spacing w:after="0" w:line="277" w:lineRule="auto"/>
        <w:rPr>
          <w:sz w:val="20"/>
          <w:szCs w:val="20"/>
          <w:color w:val="auto"/>
        </w:rPr>
      </w:pPr>
      <w:r>
        <w:rPr>
          <w:rFonts w:ascii="Times New Roman" w:cs="Times New Roman" w:eastAsia="Times New Roman" w:hAnsi="Times New Roman"/>
          <w:sz w:val="14"/>
          <w:szCs w:val="14"/>
          <w:b w:val="1"/>
          <w:bCs w:val="1"/>
          <w:i w:val="1"/>
          <w:iCs w:val="1"/>
          <w:color w:val="2E74B5"/>
        </w:rPr>
        <w:t>LUMRYZ is a controlled substance subject to U.S. federal and state-controlled substance laws and regulations, and any failure to comply with these laws and regulations, or the cost of compliance with these laws and regulations, could materially adversely affect our business, financial condition, cash flows and results of operations.</w:t>
      </w:r>
    </w:p>
    <w:p>
      <w:pPr>
        <w:spacing w:after="0" w:line="69"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Controlled substances as defined in the CSA are subject to a number of requirements and restrictions under the CSA and implementing regulations, including certain registration, security, recordkeeping, reporting, import, export, prescription, distribution and other requirements administered by the DEA. Individual states have also established controlled substance laws and regulations. FDA-approved products such as LUMRYZ, which contain sodium oxybate (a Schedule I controlled substance) as their API, are deemed to be Schedule III controlled substances under the CSA. Although state-controlled substances laws often mirror federal law, various states may also separately schedule LUMRYZ. We or the third-parties with which we work to develop, manufacture and/or commercialize controlled substances such as LUMRYZ may be required to obtain separate state registrations, permits or licenses in order to be able to manufacture, research, distribute, import, export, administer or prescribe such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92"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U.S. facilities conducting research, manufacturing, distributing, importing or exporting, or dispensing of controlled substances such as LUMRYZ must be registered and/or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necessary registrations and quotas and complying with the regulatory obligations may result in delays in the development, manufacture and commercialization of LUMRYZ and future product candidates or products that may contain controlled substances. Furthermore, failure to maintain compliance with the CSA and DEA and state regulations by us or any of contractors, distributors or pharmacies with which we work can result in regulatory action that could materially adversely effect our business, financial condition, cash flows and results of operations. In addition, if we change any third-party upon whom we rely to conduct our research, manufacturing, distributing, importing, exporting, or dispensing activities, doing so will result in additional costs and expenses and may take a significant amount of time, and we may be unsuccessful in identifying a new, satisfactory third-party, any of which could materially and adversely affect our business, financial condition, and results of operations. DEA and state regulatory bodies may seek civil penalties, refuse to renew necessary registrations or licenses, or initiate proceedings to restrict, suspend or revoke those registrations or licenses. In certain circumstances, violations could lead to criminal penalties.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and the third parties that manufacture LUMRYZ in the U.S. are subject to the DEA’s annual manufacturing and procurement quota requirements. The annual quota allocated to us or our U.S. manufacturing partners for sodium oxybate may not be sufficient to meet commercial demand of LUMRYZ. Consequently, any delay or refusal by the DEA in establishing our, or U.S. manufacturing partners’, procurement and/or production quotas for controlled substances could delay or stop our commercial activities and future development/clinical activities, which could materially adversely effect our business, financial condition, cash flows and results of operations.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Our success largely depends upon our ability to attract, recognize and retain key personnel.</w:t>
      </w:r>
    </w:p>
    <w:p>
      <w:pPr>
        <w:spacing w:after="0" w:line="133"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Our ability to compete and succeed in the highly competitive biopharmaceutical industry and in the disease states in which we market and sell products depends largely upon our ability to attract, recognize and retain highly skilled technical, scientific, manufacturing, management, regulatory, legal, compliance and selling and marketing personnel. Each of our executive officers and all of our employees are employed “at will,” meaning we or each officer or employee may terminate the employment relationship at any time. We face intense competition for employees due to, among many factors, the geographic locations in which we operate and the competitive benefits and compensation practices in our industry, and in recent years, new competition as employees are increasingly able to work remotely. The loss of key personnel due to any of these or other factors or our inability to hire and retain personnel who have technical, scientific, manufacturing, management, regulatory, legal, compliance or commercial backgrounds could materially adversely impact our business, including the achievement of our manufacturing, research and development, commercial, financial and other operational and strategic business objectives.</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Intellectual Property</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Patent and other IP protection for our products is key to our business and our competitive position but is uncertain.</w:t>
      </w:r>
    </w:p>
    <w:p>
      <w:pPr>
        <w:spacing w:after="0" w:line="12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Receiving and maintaining patent and/or trademark protection for our products and technologies, including those that are subject to our licensing arrangements, maintaining our trade secrets, not infringing the proprietary rights of others, and preventing others from infringing our proprietary rights are each key to our success and our competitive position.</w:t>
      </w:r>
    </w:p>
    <w:p>
      <w:pPr>
        <w:spacing w:after="0" w:line="82"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Patent protection provides rights of exclusivity for the term of the patent. We are able to protect our proprietary rights from unauthorized use by third parties only to the extent that our proprietary rights are covered by valid and enforceable patents or are effectively maintained as trade secrets. In this regard, we try to protect our proprietary position by filing patent applications in the U.S. and elsewhere related to our proprietary product inventions and improvements that are important to our business and products. Our pending patent applications, together with those we may file in the future, or those we may license to or from third parties, may not result in patents being issued. Even if issued, such patents may not provide us with sufficient proprietary protection or competitive advantages against competitors with similar products or technology. Because the patent positions of biopharmaceutical companies involve complex legal and factual questions, enforceability of patents cannot be predicted with certainty. The ultimate degree of patent protection that will be afforded to products and processes, including ours and those of our licensees, in the U.S. and in other important markets, remains uncertain and is dependent upon the scope of protection decided upon by the patent offices, courts and lawmakers in these countries. The development of new technologies or products may take a number of years, and there can be no assurance that any patents which may be granted in respect of such technologies or products will not have expired or be due to expire by the time such products are commercialized, or that such patents will successfully withstand any challenges during their respective terms.</w:t>
      </w:r>
    </w:p>
    <w:p>
      <w:pPr>
        <w:spacing w:after="0" w:line="93"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Although we make reasonable efforts to protect our IP rights and to ensure that our proprietary products and technologies do not infringe the IP rights of third parties, we cannot ascertain the existence of all potentially conflicting IP claims. Therefore, there is a risk that third parties may make claims of infringement against our products or technologies. If patents exist or are issued that cover our products or technologies, we may not be able to manufacture, use, offer for sale, sell or import such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 Claims of IP infringement may also require that we redesign affected products, enter into costly settlement or license agreements, pay costly damage awards, or face a temporary or permanent injunction prohibiting us from marketing or selling certain of our products. Even if we have an agreement that may serve to indemnify us against such costs, the indemnifying party may be unable to uphold its contractual obligations. If we cannot, or do not, license the infringed IP on reasonable terms or at all, or substitute similar IP from another source, our business, financial condition, cash flows and results of operations could be materially adversely affected.</w:t>
      </w:r>
    </w:p>
    <w:p>
      <w:pPr>
        <w:spacing w:after="0" w:line="258"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The laws of certain countries may not protect our IP rights to the same extent as the laws of the U.S., and any patents that we own or license from others may not provide any protection against competitors. In addition, in the case of certain of our licensed products or products incorporating our licensed technology, our licensees are responsible for prosecuting, maintaining, enforcing and defending the IP related to the product(s) from which we derive revenue. Their failure to secure, maintain, enforce and defend this IP could materially and adversely affect our business, financial condition, cash flows, and results of operations.</w:t>
      </w:r>
    </w:p>
    <w:p>
      <w:pPr>
        <w:spacing w:after="0" w:line="88"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We also rely on trade secrets, know-how and inventions, which are not protected by patents, to maintain our competitive position. We try to protect this information by entering into confidentiality agreements with parties that have access to it, such as our licensees, licensors, contract manufacturers, potential business partners, employees and consultants. However, any of these parties may breach such agreements and may disclose our confidential information, or our competitors might learn of the information in some other way. To the extent that our employees, consultants or contractors use IP owned by others in their work for us, disputes may arise as to the rights in related or resulting know-how and inventions. If any trade secret, know-how or other invention not protected by a patent were to be disclosed to, or independently developed by, a competitor, such event could materially and adversely affect our business, financial condition, cash flows and results of operations.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45" w:name="page46"/>
    <w:bookmarkEnd w:id="45"/>
    <w:p>
      <w:pPr>
        <w:ind w:left="640" w:right="839"/>
        <w:spacing w:after="0" w:line="277" w:lineRule="auto"/>
        <w:rPr>
          <w:sz w:val="20"/>
          <w:szCs w:val="20"/>
          <w:color w:val="auto"/>
        </w:rPr>
      </w:pPr>
      <w:r>
        <w:rPr>
          <w:rFonts w:ascii="Times New Roman" w:cs="Times New Roman" w:eastAsia="Times New Roman" w:hAnsi="Times New Roman"/>
          <w:sz w:val="14"/>
          <w:szCs w:val="14"/>
          <w:b w:val="1"/>
          <w:bCs w:val="1"/>
          <w:i w:val="1"/>
          <w:iCs w:val="1"/>
          <w:color w:val="2E74B5"/>
        </w:rPr>
        <w:t>Uncertainty over IP in the biopharmaceutical industry has been the source of litigation and other legal proceedings, and we and our licensees have previously and may in the future face claims against IP rights covering our products and competition from generic drug manufacturers.</w:t>
      </w:r>
    </w:p>
    <w:p>
      <w:pPr>
        <w:spacing w:after="0" w:line="80"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There is considerable uncertainty within the biopharmaceutical industry about the validity, scope and enforceability of many issued patents in the U.S. and elsewhere in the world. We cannot currently determine the ultimate scope, validity and enforceability of patents which may be granted to third parties in the future or which patents third parties may assert are infringed by the manufacture, use or sale of our products.</w:t>
      </w:r>
    </w:p>
    <w:p>
      <w:pPr>
        <w:spacing w:after="0" w:line="86"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Patents, if issued, may be challenged, invalidated or circumvented. As our products achieve greater commercial sales, potential competitors are more likely to seek to challenge our patents. In the biopharmaceutical industry, there has been, and we expect that there may continue to be, significant litigation,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reviews (“IPRs”), post-grant reviews (“PGRs”) and administrative proceedings regarding patents and other IP rights. A third party may file an IPR, PGR, interference and/or infringement action against us, including in response to patent certifications required under the Hatch-Waxman Act, claiming that certain claims of one or more of our issued patents are invalid or that the manufacture, use, offer for sale, sale or import of our products infringed one or more of such party’s patents. For example, in December 2024, Argentum Pharmaceuticals LLC filed a request with the USPTO for </w:t>
      </w:r>
      <w:r>
        <w:rPr>
          <w:rFonts w:ascii="Times New Roman" w:cs="Times New Roman" w:eastAsia="Times New Roman" w:hAnsi="Times New Roman"/>
          <w:sz w:val="14"/>
          <w:szCs w:val="14"/>
          <w:i w:val="1"/>
          <w:iCs w:val="1"/>
          <w:color w:val="auto"/>
        </w:rPr>
        <w:t>ex parte</w:t>
      </w:r>
      <w:r>
        <w:rPr>
          <w:rFonts w:ascii="Times New Roman" w:cs="Times New Roman" w:eastAsia="Times New Roman" w:hAnsi="Times New Roman"/>
          <w:sz w:val="14"/>
          <w:szCs w:val="14"/>
          <w:color w:val="auto"/>
        </w:rPr>
        <w:t xml:space="preserve"> reexamination (“EPR”) of the validity of certain claims of our U.S. Patent No. 7,919,499 that covers VIVITROL, and in January 2025, Apotex Inc. filed with the USPTO a petition for IPR of certain claims of the same patent. In July 2025, the USPTO discretionarily denied institution of the IPR and in October 2025, confirmed the validity of the claims challenged under the EPR and found that several additional claims we filed were patentable. While both of these challenges were ultimately resolved in our favor, they required expenditure of time, effort and resources and there can be no assurance that we would achieve similar outcomes if our patents continue to be challenged in the future.</w:t>
      </w:r>
    </w:p>
    <w:p>
      <w:pPr>
        <w:spacing w:after="0" w:line="256"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In addition, we may need to enforce our IP rights against third parties who infringe on our patents and other IP or challenge our patents, patent applications or trademark applications. In the U.S., generic manufacturers of innovator drug products may file ANDAs and, in connection with such filings, certify that their products do not infringe the innovator’s patents or that the innovator’s patents are invalid. This often results in litigation between the innovator and the ANDA applicant, commonly known in the U.S. as “Paragraph IV” litigation, which can be expensive, protracted and distracting to management, with no certainty of success. For example, Teva entities filed an ANDA seeking approval to engage in the commercial manufacture, use or sale of a generic version of VIVITROL and alleged that one of our Orange-Book patents related to VIVITROL was invalid, unenforceable and/or would not be infringed by Teva’s proposed product. In response, we initiated a Paragraph IV lawsuit against Teva in September 2020 to dispute such claims.</w:t>
      </w:r>
    </w:p>
    <w:p>
      <w:pPr>
        <w:spacing w:after="0" w:line="26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may have to expend considerable time, effort and resources to defend such actions, and litigation may be necessary in some instances to determine the validity and scope of certain of our proprietary rights. In order to avoid or resolve timely and costly IP litigation or IPR, PGR or other administrative proceedings, we may enter into settlement agreements in which we grant an adverse party certain rights with respect to our IP. For example, in August 2023, following a trial in the Teva patent infringement lawsuit discussed above, we entered into a confidential settlement and license agreement (the “Settlement Agreement”) with Teva to resolve the proceedings between the parties. Pursuant to the terms of the Settlement Agreement, we granted Teva a non-exclusive, royalty-free, non-transferable, non-sublicensable limited license to market and sell a generic version of VIVITROL in the U.S. beginning on January 15, 2027, or earlier under certain circumstances. And in July 2019, in order to resolve an IPR instituted by Amneal with the PTAB, we entered into a settlement and license agreement with Amneal, pursuant to which we granted Amneal a non-exclusive license under certain patents covering VIVITROL, including the latest to expire patent covering VIVITROL in the U.S., to market and sell a generic formulation of VIVITROL in the U.S. beginning sometime in 2028 or earlier under certain circumstances, and later entered into the AG Agreement with Amneal, pursuant to which we granted Amneal certain rights to distribute and sell in the U.S. an authorized generic version of VIVITROL for a one-year term beginning on the date of a Third Party ANDA Product Launch (as defined in the AG Agreement), subject to certain conditions set forth in the AG Agreement.</w:t>
      </w:r>
    </w:p>
    <w:p>
      <w:pPr>
        <w:spacing w:after="0" w:line="10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There can be no assurance that we or our licensees will prevail or settle any IP legal proceedings or disputes on favorable terms. Our and our licensees’ existing patents could be invalidated, found unenforceable or found not to cover generic forms of our or our licensees’ products. If any ANDA filers were to receive FDA approval to sell generic versions of our products or the products from which we receive revenue and/or prevail in any patent litigation with respect to such products, our business, financial condition, cash flows and results of operations could be materially adversely affected.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Regulatory or Legal Matters</w:t>
      </w:r>
    </w:p>
    <w:p>
      <w:pPr>
        <w:spacing w:after="0" w:line="127" w:lineRule="exact"/>
        <w:rPr>
          <w:sz w:val="20"/>
          <w:szCs w:val="20"/>
          <w:color w:val="auto"/>
        </w:rPr>
      </w:pPr>
    </w:p>
    <w:p>
      <w:pPr>
        <w:jc w:val="both"/>
        <w:ind w:left="640" w:right="759"/>
        <w:spacing w:after="0" w:line="277" w:lineRule="auto"/>
        <w:rPr>
          <w:sz w:val="20"/>
          <w:szCs w:val="20"/>
          <w:color w:val="auto"/>
        </w:rPr>
      </w:pPr>
      <w:r>
        <w:rPr>
          <w:rFonts w:ascii="Times New Roman" w:cs="Times New Roman" w:eastAsia="Times New Roman" w:hAnsi="Times New Roman"/>
          <w:sz w:val="14"/>
          <w:szCs w:val="14"/>
          <w:b w:val="1"/>
          <w:bCs w:val="1"/>
          <w:i w:val="1"/>
          <w:iCs w:val="1"/>
          <w:color w:val="2E74B5"/>
        </w:rPr>
        <w:t>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80"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are, and may in the future become, involved in various legal proceedings, including those asserting violations of securities and/or fraud and abuse laws and those asserting claims related to product liability, class actions or antitrust claims, IP and/or contractual arrangements. Such proceedings may include claims for, or the possibility of, damages or fines and penalties involving substantial amounts of money or other relief, including but not limited to civil or criminal fines and penalties. Such legal proceedings and the preparation therefor may result in substantial costs to us and diversion of management’s attention and resources, which in turn could harm our business. Moreover, if any of such legal proceedings were to result in an adverse outcome, such outcome could have a material adverse effect on our business, financial condition, cash flows and results of operations.</w:t>
      </w:r>
    </w:p>
    <w:p>
      <w:pPr>
        <w:spacing w:after="0" w:line="80"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Further, our liability insurance coverage may not be sufficient to satisfy, or may not cover, any expenses or liabilities that may arise. Additionally, regardless of whether or not there is merit to the claims underlying any legal proceedings to which we are subject, or whether or not we are found as a result of such lawsuits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w:t>
      </w:r>
    </w:p>
    <w:p>
      <w:pPr>
        <w:spacing w:after="0" w:line="88"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We have been, and may again be, the subject of citizen petitions or litigation that request that the FDA refuse to approve, delay or withdraw approval of, or impose additional approval requirements on our marketing applications. If successful, such petitions can significantly delay, or even prevent, the approval of the marketing application in question or cause such marketing application approval to be withdrawn. Even if the FDA ultimately denies such a petition, the FDA may substantially delay approval while it considers and responds to the petition, or may impose additional approval or post-approval requirements as a result of such petition. These outcomes and others could adversely affect our share price as well as our ability to generate revenues from the commercialization and sale of our products and products using our proprietary technologies.</w:t>
      </w:r>
    </w:p>
    <w:p>
      <w:pPr>
        <w:spacing w:after="0" w:line="87" w:lineRule="exact"/>
        <w:rPr>
          <w:sz w:val="20"/>
          <w:szCs w:val="20"/>
          <w:color w:val="auto"/>
        </w:rPr>
      </w:pPr>
    </w:p>
    <w:p>
      <w:pPr>
        <w:ind w:left="64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The clinical study or commercial use of our products may cause unintended side effects or adverse reactions, or incidents of misuse may occur, which could adversely affect our products, business and share price.</w:t>
      </w:r>
    </w:p>
    <w:p>
      <w:pPr>
        <w:spacing w:after="0" w:line="55"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We cannot predict whether the clinical or commercial use of our products will produce undesirable or unintended side effects that have not been evident in the use of, or in clinical trials conducted for, such products to date. The administration of drugs in humans carries the inherent risk of product liability claims whether or not the drugs are actually the cause of an injury. Our products may cause, may appear to have caused or may be claimed to have caused, injury or dangerous drug interactions, and we may not learn about or understand those claims or effects until the products have been administered to patients for a prolonged period of time. Additionally, incidents of product misuse may occur.</w:t>
      </w:r>
    </w:p>
    <w:p>
      <w:pPr>
        <w:spacing w:after="0" w:line="9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These events, among others, could result in product recalls or additional regulatory controls (including additional regulatory scrutiny, REMS programs, and/or requirements for additional labeling) or product liability actions. As our development activities progress and we continue to have commercial sales, our product liability insurance coverage may be inadequate to satisfy liabilities that arise, we may be unable to obtain adequate coverage at an acceptable cost or at all, or our insurer may disclaim coverage as to a future claim. This could prevent or limit the development or commercialization of our products. In addition, the reporting of adverse safety events involving our products, including instances of product misuse, and public perceptions about such events, could cause our product sales or share price to decline or experience periods of volatility. These types of events could have a material adverse effect on our business, financial condition, cash flows and results of operations.</w:t>
      </w:r>
    </w:p>
    <w:p>
      <w:pPr>
        <w:spacing w:after="0" w:line="88" w:lineRule="exact"/>
        <w:rPr>
          <w:sz w:val="20"/>
          <w:szCs w:val="20"/>
          <w:color w:val="auto"/>
        </w:rPr>
      </w:pPr>
    </w:p>
    <w:p>
      <w:pPr>
        <w:jc w:val="both"/>
        <w:ind w:left="640" w:right="719"/>
        <w:spacing w:after="0" w:line="277" w:lineRule="auto"/>
        <w:rPr>
          <w:sz w:val="20"/>
          <w:szCs w:val="20"/>
          <w:color w:val="auto"/>
        </w:rPr>
      </w:pPr>
      <w:r>
        <w:rPr>
          <w:rFonts w:ascii="Times New Roman" w:cs="Times New Roman" w:eastAsia="Times New Roman" w:hAnsi="Times New Roman"/>
          <w:sz w:val="14"/>
          <w:szCs w:val="14"/>
          <w:b w:val="1"/>
          <w:bCs w:val="1"/>
          <w:i w:val="1"/>
          <w:iCs w:val="1"/>
          <w:color w:val="2E74B5"/>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We participate in the Medicaid Drug Rebate Program, the 340B program, the U.S. Department of Veterans Affairs’ FSS pricing program, and the Tricare program, and have obligations to report the average sales price for certain of our drugs to the Medicare program.</w:t>
      </w:r>
    </w:p>
    <w:p>
      <w:pPr>
        <w:spacing w:after="0" w:line="82"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47" w:name="page48"/>
    <w:bookmarkEnd w:id="47"/>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91"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Our failure to comply with our reporting and payment obligations under the Medicaid Drug Rebate Program and other governmental programs could negatively impact our financial results. CMS issued a final regulation, which became effective in April 2016, to implement the changes to the Medicaid Drug Rebate Program under the Affordable Care Act. Since that time, CMS has issued multiple proposed and final rules that change the Medicaid Drug Rebate Program. Regulatory and legislative changes, and judicial rulings relating to the Medicaid Drug Rebate Program and related policies,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w:t>
      </w:r>
    </w:p>
    <w:p>
      <w:pPr>
        <w:spacing w:after="0" w:line="267"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HRSA issued a final regulation regarding the calculation of the 340B ceiling price and the imposition of civil monetary penalties on manufacturers that knowingly and intentionally overcharge covered entities, which became effective in January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has established an administrative dispute resolution (“ADR”) process, which is governed by a final regulation effective June 2024,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An ADR proceeding could potentially subject us to discovery by covered entities and other onerous procedural requirements and could result in additional liability. HRSA could also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9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our 340B ceiling price calculations and negatively impact our results of operations. Additionally, we have implemented a policy governing the eligibility of covered entities to purchase our products at the 340B price for shipment to a contract pharmacy. We implemented this policy out of concern that contract pharmacy arrangements are diverting the benefits of the 340B program from patients to contract pharmacies and contributing to the pervasive lack of transparency within the 340B program, rendering it difficult to identify inappropriate duplicate discounts and product diversion. Certain pharmaceutical manufacturers and the industry group, Pharmaceutical Research and Manufacturers of America (“PhRMA”) are involved in ongoing litigation with the HRSA regarding manufacturer initiatives that restrict covered entities’ ability to purchase products at the 340B program price for shipment through an unlimited number of contract pharmacies. Additionally, several states have enacted, and many other states are considering, laws that prohibit manufacturer restrictions on contract pharmacies. Certain pharmaceutical manufacturers and PhRMA have initiated litigation challenging these state laws. The outcome of pending judicial proceedings and the potential impact on the way in which manufacturers extend discounts to covered entities through contract pharmacies remain uncertain and negative legal rulings, or the passage of legislation in respect of this topic, may materially adversely impact our results of operations.</w:t>
      </w:r>
    </w:p>
    <w:p>
      <w:pPr>
        <w:spacing w:after="0" w:line="100"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obligations to report the average sales price for certain of our drugs to the Medicare program. In addition, we are required to report the best price for our drugs, as defined under the Medicaid Drug Rebate Program, to CMS. Statutory or regulatory changes or changes in CMS guidance could affect the average sales price or best price calculations for our products and the resulting Medicare payment rate or rebates we owe to state Medicaid programs. Such changes could negatively impact our results of operations.</w:t>
      </w:r>
    </w:p>
    <w:p>
      <w:pPr>
        <w:spacing w:after="0" w:line="86"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Pursuant to applicable law, knowing provision of false information in connection with price reporting under the U.S. Department of Veterans Affairs, FSS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Our business involves environmental, health and safety risks.</w:t>
      </w:r>
    </w:p>
    <w:p>
      <w:pPr>
        <w:spacing w:after="0" w:line="133"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Our business involves the use of hazardous materials and chemicals and is subject to numerous environmental, health and safety laws and regulations and to periodic inspections for possible violations of these laws and regulations. Under certain of these laws and regulations, we could be liable for any contamination at our current or former properties or third-party waste disposal sites. In addition to significant remediation costs, contamination can give rise to third-party claims for fines, penalties, natural resource damages, personal injury and damage (including property damage). The costs of compliance with environmental, health and safety laws and regulations are significant. We have developed and implemented a proprietary risk mitigation program to preemptively identify and address environmental, health, safety and security risks; however, there can be no assurance that a violation of current or future environmental, health or safety laws or regulations will not occur. Any violations, even if inadvertent or accidental, or the cost of compliance with any resulting order, fine or liability that may be imposed, could materially adversely affect our business, financial condition, cash flows and results of operations.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Financial Condition and Tax Matters</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We may not be able to maintain profitability on a sustained basis.</w:t>
      </w:r>
    </w:p>
    <w:p>
      <w:pPr>
        <w:spacing w:after="0" w:line="133"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At December 31, 2025, our accumulated deficit was $0.7 billion, which was primarily the result of net losses incurred from continuing operations from 1987, the year Alkermes, Inc. was founded, through December 31, 2022, partially offset by net income from continuing operations over certain fiscal periods, including net income earned during the years ended December 31, 2025, 2024 and 2023.</w:t>
      </w:r>
    </w:p>
    <w:p>
      <w:pPr>
        <w:spacing w:after="0" w:line="86"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Our ability to maintain profitability on a sustained basis will depend on our ability to continue to grow and diversify our revenue and to effectively and efficiently manage our costs. Factors that may impact our future revenue, and in turn our future profitability, include, among others, our, our third-party contract manufacturers or our licensees’ (as applicable) ability to:</w:t>
      </w:r>
    </w:p>
    <w:p>
      <w:pPr>
        <w:spacing w:after="0" w:line="50" w:lineRule="exact"/>
        <w:rPr>
          <w:sz w:val="20"/>
          <w:szCs w:val="20"/>
          <w:color w:val="auto"/>
        </w:rPr>
      </w:pPr>
    </w:p>
    <w:p>
      <w:pPr>
        <w:ind w:left="1340" w:right="699" w:hanging="249"/>
        <w:spacing w:after="0" w:line="274"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commercialize VIVITROL, the ARISTADA product family, LYBALVI, LUMRYZ, VUMERITY, XEPLION, INVEGA TRINZA/TREVICTA and INVEGA HAFYERA/BYANNLI and any other marketed products from which we earn revenue in the countries in which such products are approved;</w:t>
      </w:r>
    </w:p>
    <w:p>
      <w:pPr>
        <w:spacing w:after="0" w:line="50"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develop, and obtain and maintain regulatory approval for, products in the U.S. and/or in other countries;</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manufacture our products and third-party products efficiently and in a cost-effective manner;</w:t>
      </w:r>
    </w:p>
    <w:p>
      <w:pPr>
        <w:spacing w:after="0" w:line="96" w:lineRule="exact"/>
        <w:rPr>
          <w:rFonts w:ascii="Times New Roman" w:cs="Times New Roman" w:eastAsia="Times New Roman" w:hAnsi="Times New Roman"/>
          <w:sz w:val="14"/>
          <w:szCs w:val="14"/>
          <w:color w:val="auto"/>
        </w:rPr>
      </w:pPr>
    </w:p>
    <w:p>
      <w:pPr>
        <w:ind w:left="1340" w:right="659" w:hanging="249"/>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adequate reimbursement coverage for our products and third-party products from insurance companies, government programs and other third-party payers;</w:t>
      </w:r>
    </w:p>
    <w:p>
      <w:pPr>
        <w:spacing w:after="0" w:line="37"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protect and defend our confidential information and IP rights related to our technologies and our products;</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regulatory exclusivities or the benefits of such exclusivities;</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product development or sales milestones under our collaborative arrangements; and</w:t>
      </w:r>
    </w:p>
    <w:p>
      <w:pPr>
        <w:spacing w:after="0" w:line="96" w:lineRule="exact"/>
        <w:rPr>
          <w:rFonts w:ascii="Times New Roman" w:cs="Times New Roman" w:eastAsia="Times New Roman" w:hAnsi="Times New Roman"/>
          <w:sz w:val="14"/>
          <w:szCs w:val="14"/>
          <w:color w:val="auto"/>
        </w:rPr>
      </w:pPr>
    </w:p>
    <w:p>
      <w:pPr>
        <w:ind w:left="1340" w:right="699" w:hanging="249"/>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resolve favorably any commercial disputes that may arise in respect of collaborative arrangements from which we receive revenues.</w:t>
      </w:r>
    </w:p>
    <w:p>
      <w:pPr>
        <w:spacing w:after="0" w:line="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Factors that may impact our future spend, and in turn our future profitability, include, among others:</w:t>
      </w:r>
    </w:p>
    <w:p>
      <w:pPr>
        <w:spacing w:after="0" w:line="97" w:lineRule="exact"/>
        <w:rPr>
          <w:sz w:val="20"/>
          <w:szCs w:val="20"/>
          <w:color w:val="auto"/>
        </w:rPr>
      </w:pPr>
    </w:p>
    <w:p>
      <w:pPr>
        <w:ind w:left="1340" w:right="799" w:hanging="249"/>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our research and development activities, including the number of programs, products, indications or new technologies that we may pursue, and our ability, if sought, to share development costs through potential collaborations;</w:t>
      </w:r>
    </w:p>
    <w:p>
      <w:pPr>
        <w:spacing w:after="0" w:line="37"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and expense required to pursue FDA and/or other regulatory approvals for our products;</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and expense required to prosecute, enforce, defend and/or challenge patent and other IP rights;</w:t>
      </w:r>
    </w:p>
    <w:p>
      <w:pPr>
        <w:spacing w:after="0" w:line="96" w:lineRule="exact"/>
        <w:rPr>
          <w:rFonts w:ascii="Times New Roman" w:cs="Times New Roman" w:eastAsia="Times New Roman" w:hAnsi="Times New Roman"/>
          <w:sz w:val="14"/>
          <w:szCs w:val="14"/>
          <w:color w:val="auto"/>
        </w:rPr>
      </w:pPr>
    </w:p>
    <w:p>
      <w:pPr>
        <w:ind w:left="1340" w:right="879" w:hanging="249"/>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and maintaining our manufacturing and research facilities, including the costs and availability of raw materials or components of our products;</w:t>
      </w:r>
    </w:p>
    <w:p>
      <w:pPr>
        <w:spacing w:after="0" w:line="37" w:lineRule="exact"/>
        <w:rPr>
          <w:rFonts w:ascii="Times New Roman" w:cs="Times New Roman" w:eastAsia="Times New Roman" w:hAnsi="Times New Roman"/>
          <w:sz w:val="14"/>
          <w:szCs w:val="14"/>
          <w:color w:val="auto"/>
        </w:rPr>
      </w:pPr>
    </w:p>
    <w:p>
      <w:pPr>
        <w:ind w:left="1340" w:right="839" w:hanging="249"/>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doing business with third-party vendors, including suppliers, manufacturers, packagers and distributors and CROs;</w:t>
      </w:r>
    </w:p>
    <w:p>
      <w:pPr>
        <w:spacing w:after="0" w:line="37" w:lineRule="exact"/>
        <w:rPr>
          <w:rFonts w:ascii="Times New Roman" w:cs="Times New Roman" w:eastAsia="Times New Roman" w:hAnsi="Times New Roman"/>
          <w:sz w:val="14"/>
          <w:szCs w:val="14"/>
          <w:color w:val="auto"/>
        </w:rPr>
      </w:pPr>
    </w:p>
    <w:p>
      <w:pPr>
        <w:ind w:left="1340" w:right="839" w:hanging="249"/>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and costs of our commercial activities, including expansion of our sales force and our investment in direct-to-consumer campaigns and other initiatives;</w:t>
      </w:r>
    </w:p>
    <w:p>
      <w:pPr>
        <w:spacing w:after="0" w:line="37" w:lineRule="exact"/>
        <w:rPr>
          <w:rFonts w:ascii="Times New Roman" w:cs="Times New Roman" w:eastAsia="Times New Roman" w:hAnsi="Times New Roman"/>
          <w:sz w:val="14"/>
          <w:szCs w:val="14"/>
          <w:color w:val="auto"/>
        </w:rPr>
      </w:pPr>
    </w:p>
    <w:p>
      <w:pPr>
        <w:ind w:left="1340" w:right="959" w:hanging="249"/>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possible business development activities, including licenses or acquisitions of technologies, compounds or product rights or the potential acquisition of other assets, including equipment, facilities or businesses;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49" w:name="page50"/>
    <w:bookmarkEnd w:id="49"/>
    <w:p>
      <w:pPr>
        <w:ind w:left="1340" w:hanging="249"/>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related to potential litigation, arbitration or other legal proceedings or government requests for information;</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defending against potential or actual proxy contests or other activist shareholder actions;</w:t>
      </w:r>
    </w:p>
    <w:p>
      <w:pPr>
        <w:spacing w:after="0" w:line="96" w:lineRule="exact"/>
        <w:rPr>
          <w:rFonts w:ascii="Times New Roman" w:cs="Times New Roman" w:eastAsia="Times New Roman" w:hAnsi="Times New Roman"/>
          <w:sz w:val="14"/>
          <w:szCs w:val="14"/>
          <w:color w:val="auto"/>
        </w:rPr>
      </w:pPr>
    </w:p>
    <w:p>
      <w:pPr>
        <w:ind w:left="1340" w:right="799" w:hanging="249"/>
        <w:spacing w:after="0" w:line="292"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compliance with new regulations applicable to us, including those related to the measurement, reporting and assurance of environmental performance data and other sustainability matters; and</w:t>
      </w:r>
    </w:p>
    <w:p>
      <w:pPr>
        <w:spacing w:after="0" w:line="37" w:lineRule="exact"/>
        <w:rPr>
          <w:rFonts w:ascii="Times New Roman" w:cs="Times New Roman" w:eastAsia="Times New Roman" w:hAnsi="Times New Roman"/>
          <w:sz w:val="14"/>
          <w:szCs w:val="14"/>
          <w:color w:val="auto"/>
        </w:rPr>
      </w:pPr>
    </w:p>
    <w:p>
      <w:pPr>
        <w:ind w:left="1340" w:right="999" w:hanging="249"/>
        <w:spacing w:after="0" w:line="292"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recruiting, compensating and retaining a highly-skilled workforce in an environment where competition for highly-skilled employees is intense.</w:t>
      </w:r>
    </w:p>
    <w:p>
      <w:pPr>
        <w:spacing w:after="0" w:line="98" w:lineRule="exact"/>
        <w:rPr>
          <w:sz w:val="20"/>
          <w:szCs w:val="20"/>
          <w:color w:val="auto"/>
        </w:rPr>
      </w:pPr>
    </w:p>
    <w:p>
      <w:pPr>
        <w:ind w:left="640" w:right="67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We have broad discretion regarding use of our cash and cash equivalents and we may not allocate our cash in ways that ultimately increase the value of our ordinary shares.</w:t>
      </w:r>
    </w:p>
    <w:p>
      <w:pPr>
        <w:spacing w:after="0" w:line="55"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We have broad discretion in the allocation of our cash and cash equivalents and we may not allocate our cash in ways that ultimately increase the value of our ordinary shares. We could make capital allocation decisions to utilize such funds in a way that our shareholders do not agree with or that do not ultimately generate shareholder value in the manner they, or we, anticipate or at all. If our cash and cash equivalents are not deployed effectively or do not generate shareholder value, we may fail to achieve expected financial results or other business objectives, which could have a material negative impact on our financial condition, results of operations or the market price of our ordinary shares.</w:t>
      </w:r>
    </w:p>
    <w:p>
      <w:pPr>
        <w:spacing w:after="0" w:line="119" w:lineRule="exact"/>
        <w:rPr>
          <w:sz w:val="20"/>
          <w:szCs w:val="20"/>
          <w:color w:val="auto"/>
        </w:rPr>
      </w:pPr>
    </w:p>
    <w:p>
      <w:pPr>
        <w:ind w:left="64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Certain U.S. holders of our ordinary shares may suffer adverse tax consequences if any of our non-U.S. subsidiaries are characterized as a “controlled foreign corporation”.</w:t>
      </w:r>
    </w:p>
    <w:p>
      <w:pPr>
        <w:spacing w:after="0" w:line="55"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color w:val="auto"/>
        </w:rPr>
        <w:t>In December 2017, the Tax Cuts and Jobs Act of 2017 (the “Tax Cuts and Jobs Act”) was signed into law. This legislation significantly changed U.S. tax law by, among other things, changing the rules which determine whether a foreign corporation is treated for U.S. tax purposes as a controlled foreign corporation (“CFC”) for taxable years ended December 31, 2017 and onwards. The impact of this change on certain holders of our ordinary shares is uncertain and could be adverse, including potential income inclusions and reporting requirements for U.S. persons (as defined in the U.S. Internal Revenue Code of 1986, as amended (the “Code”)) who are treated as owning (directly or indirectly) at least 10% of the value or voting power of our shares. The determination of CFC status is complex and includes attribution rules, the application of which are not entirely certain. These changes to the attribution rules relating to the determination of CFC status make it possible that one or more of our non-U.S. subsidiaries will be classified as a CFC. The OBBBA reinstated the prohibition on downward attribution of stock from a foreign person to a U.S. person and therefore we do not expect any of our non-U.S. subsidiaries to be classified as CFCs in 2026. Existing and prospective investors should consult their tax advisers regarding the potential application of these rules to their investments in our securities.</w:t>
      </w:r>
    </w:p>
    <w:p>
      <w:pPr>
        <w:spacing w:after="0" w:line="97"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See “Certain Irish and United States Federal Income Tax Considerations – United States Federal Income Tax Considerations” in our Form S-1/A, filed with the SEC on February 29, 2012, for additional discussion with respect to other potential U.S. federal income tax consequences of investments in us.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If goodwill becomes impaired, we may have to take significant charges against earnings.</w:t>
      </w:r>
    </w:p>
    <w:p>
      <w:pPr>
        <w:spacing w:after="0" w:line="122"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At December 31, 2025, we had $83.0 million of goodwill. Under accounting principles generally accepted in the U.S. (“GAAP”), we must assess, at least annually and potentially more frequently, whether the value of goodwill has been impaired. Any reduction or impairment of the value of goodwill will result in a charge against earnings, which could materially adversely affect our results of operations and shareholders’ equity in future periods.</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Our effective tax rate may increase.</w:t>
      </w:r>
    </w:p>
    <w:p>
      <w:pPr>
        <w:spacing w:after="0" w:line="133"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As a global biopharmaceutical company, we are subject to taxation in a number of different jurisdictions. As a result, our effective tax rate is derived from a combination of applicable tax rates in the various places that we operate. In preparing our financial statements, we estimate the amount of tax that will become payable in each of these places. Our effective tax rate may fluctuate depending on a number of factors, including, but not limited to, the distribution of our profits or losses between the jurisdictions where we operate and differences in interpretation of tax laws. In addition, the tax laws of any jurisdiction in which we operate may change in the future, which could impact our effective tax rate. Tax authorities in the jurisdictions in which we operate may audit us. If we are unsuccessful in defending any tax positions adopted in our submitted tax returns, we may be required to pay taxes for prior periods, interest, fines or penalties, and may be obligated to pay increased taxes in the future, any of which could have a material adverse effect on our business, financial condition, cash flows and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Changes in tax rules and regulations, or interpretations thereof, may adversely affect our financial condition.</w:t>
      </w:r>
    </w:p>
    <w:p>
      <w:pPr>
        <w:spacing w:after="0" w:line="133"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The U.S. Congress, the EU, the Organization for Economic Co-operation and Development (“OECD”), and other government agencies in jurisdictions where we and our affiliates do business are focused on the taxation of multinational corporations. As a result of this focus, the tax laws in Ireland and the U.S. could change on a prospective or retroactive basis, and any such changes could adversely affect us.</w:t>
      </w:r>
    </w:p>
    <w:p>
      <w:pPr>
        <w:spacing w:after="0" w:line="86"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In December 2022, the EU implemented a new corporate minimum tax rate of 15% on companies with combined annual revenue of at least €750.0 million, which was transposed into Irish law effective as of January 1, 2024. We do not expect such rules to have a material effect on our business in 2026; however, such minimum tax rate rules or other similar rules could have a material adverse effect on our business, financial condition, cash flows and results of operations in future years.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Our deferred tax assets may not be realized.</w:t>
      </w:r>
    </w:p>
    <w:p>
      <w:pPr>
        <w:spacing w:after="0" w:line="122"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As of December 31, 2025, we had $121.4 million of net deferred tax assets in the U.S. It is possible that some or all of the deferred tax assets will not be realized, especially if we incur losses in the U.S. in the future. Losses may arise from operating events (including clinical program progression), or the occurrence of significant excess tax benefits arising from the exercise of stock options and/or the vesting of restricted stock unit awards. Unless we are able to generate sufficient taxable income in the future, a substantial valuation allowance to reduce the carrying value of our U.S. deferred tax assets may be required, which would materially increase our expenses in the period the valuation allowance is recognized and materially adversely affect our financial condition and results of operations.</w:t>
      </w:r>
    </w:p>
    <w:p>
      <w:pPr>
        <w:spacing w:after="0" w:line="91"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Furthermore, we have included within our U.S. net deferred tax assets of $121.4 million an amount of $29.3 million relating to employee share-based compensation expense. It is possible that a significant portion of this deferred tax asset will not be realized, especially if the price of our ordinary shares remains at its current level (see “Item 5—Market for Registrant’s Common Equity, Related Stockholder Matters and Issuer Purchases of Equity Securities” in this Annual Report for details of the price of our ordinary shares). Unless the price of our ordinary shares increases, we will incur a deferred tax expense as our U.S.-based employees exercise or forfeit their stock options and their restricted stock unit awards vest. This could significantly increase our tax expense and may adversely affect our financial condition and results of operations.</w:t>
      </w:r>
    </w:p>
    <w:p>
      <w:pPr>
        <w:spacing w:after="0" w:line="108" w:lineRule="exact"/>
        <w:rPr>
          <w:sz w:val="20"/>
          <w:szCs w:val="20"/>
          <w:color w:val="auto"/>
        </w:rPr>
      </w:pPr>
    </w:p>
    <w:p>
      <w:pPr>
        <w:ind w:left="64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The disposition of the Athlone Facility may limit our ability to use our net operating losses and result in unanticipated tax liabilities.</w:t>
      </w:r>
    </w:p>
    <w:p>
      <w:pPr>
        <w:spacing w:after="0" w:line="66"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As of December 31, 2023, we had $94.7 million of net deferred tax assets in Ireland, including $87.5 million relating to net operating losses (“NOLs”). These NOLs can be carried forward, without time limit, against trading income of the same trade in future accounting periods. In May 2024, we completed the sale of the Athlone Facility to Novo. The disposition of the Athlone Facility may be deemed to result in (i) a significant change to the existing trade such that the same trade is no longer continued, and (ii) a complete discontinuance of the existing trade and the commencement of a new trade. We do not believe that the disposition of the Athlone Facility would amount to a significant change or a discontinuance of our existing trade; however, the Irish Tax Authority could assert a contrary position, in which case we could become involved in tax controversy with the Irish Tax Authority regarding possible additional tax liabilities. If we were to be unsuccessful in resolving any such tax controversy in our favor, we could be liable for significant additional tax liabilities than that which we anticipate, which would materially adversely affect our financial condition, cash flows and results of operations.</w:t>
      </w:r>
    </w:p>
    <w:p>
      <w:pPr>
        <w:spacing w:after="0" w:line="110" w:lineRule="exact"/>
        <w:rPr>
          <w:sz w:val="20"/>
          <w:szCs w:val="20"/>
          <w:color w:val="auto"/>
        </w:rPr>
      </w:pPr>
    </w:p>
    <w:p>
      <w:pPr>
        <w:ind w:left="64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The IRS may not agree with our conclusion that we should be treated as a foreign corporation for U.S. federal income tax purposes.</w:t>
      </w:r>
    </w:p>
    <w:p>
      <w:pPr>
        <w:spacing w:after="0" w:line="66" w:lineRule="exact"/>
        <w:rPr>
          <w:sz w:val="20"/>
          <w:szCs w:val="20"/>
          <w:color w:val="auto"/>
        </w:rPr>
      </w:pPr>
    </w:p>
    <w:p>
      <w:pPr>
        <w:jc w:val="both"/>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In September 2011, the business of Alkermes, Inc., a U.S. corporation, and the drug technology business of Elan Corporation, plc, an Irish-incorporated public limited company, were combined under Alkermes plc, an Irish-incorporated public limited company (the “Business Combination”). For U.S. federal income tax purposes, a corporation is generally considered tax resident in the place of its incorporation. Because we are incorporated in Ireland, we should be classified as an Irish corporation under these general rules.</w:t>
      </w:r>
    </w:p>
    <w:p>
      <w:pPr>
        <w:spacing w:after="0" w:line="1" w:lineRule="exact"/>
        <w:rPr>
          <w:sz w:val="20"/>
          <w:szCs w:val="20"/>
          <w:color w:val="auto"/>
        </w:rPr>
      </w:pPr>
    </w:p>
    <w:p>
      <w:pPr>
        <w:ind w:left="640" w:right="659"/>
        <w:spacing w:after="0" w:line="259" w:lineRule="auto"/>
        <w:rPr>
          <w:sz w:val="20"/>
          <w:szCs w:val="20"/>
          <w:color w:val="auto"/>
        </w:rPr>
      </w:pPr>
      <w:r>
        <w:rPr>
          <w:rFonts w:ascii="Times New Roman" w:cs="Times New Roman" w:eastAsia="Times New Roman" w:hAnsi="Times New Roman"/>
          <w:sz w:val="14"/>
          <w:szCs w:val="14"/>
          <w:color w:val="auto"/>
        </w:rPr>
        <w:t>However, Section 7874 of the Code generally provides that a corporation organized outside the U.S. that acquires substantially all of the assets of a corporation organized in the U.S. will be treated as a U.S. corporation (and, therefore, a U.S. tax resident) for U.S. federal income tax purposes if shareholders of the acquired U.S. corporation own at least 80% (of either the voting power or the value) of the stock of the acquiring foreign corporation after the acquisition by reason of holding stock in the domestic corporation, and the “expanded affiliated group” (as defined in Section 7874) that includes the acquiring corporation does not have substantial business activities in the country in which it is organized.</w:t>
      </w:r>
    </w:p>
    <w:p>
      <w:pPr>
        <w:spacing w:after="0" w:line="93"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We believe that Alkermes plc should be classified as an Irish tax resident corporation and should not be treated as a U.S. corporation for U.S. federal income tax purposes. However, the IRS could assert a contrary position, in which case we could become involved in tax controversy with the IRS regarding possible additional U.S. tax liability. If we were to be unsuccessful in resolving any such tax controversy in our favor, we could be liable for significant additional U.S. federal and state income tax than those we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4"/>
          <w:szCs w:val="14"/>
          <w:color w:val="auto"/>
        </w:rPr>
        <w:t>anticipate, which would materially adversely affect our financial condition, cash flows and results of operations.</w:t>
      </w:r>
    </w:p>
    <w:p>
      <w:pPr>
        <w:spacing w:after="0" w:line="157" w:lineRule="exact"/>
        <w:rPr>
          <w:sz w:val="20"/>
          <w:szCs w:val="20"/>
          <w:color w:val="auto"/>
        </w:rPr>
      </w:pPr>
    </w:p>
    <w:p>
      <w:pPr>
        <w:jc w:val="both"/>
        <w:ind w:left="64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2E74B5"/>
        </w:rPr>
        <w:t>If the separation of our oncology business completed in November 2023 does not ultimately qualify as a transaction that is generally tax-free for U.S. federal and Irish tax purposes as we anticipate, we and/or our shareholders could be subject to significant tax liabilities.</w:t>
      </w:r>
    </w:p>
    <w:p>
      <w:pPr>
        <w:spacing w:after="0" w:line="69"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In connection with the separation of our oncology business into Mural Oncology plc (“Mural”) completed in November 2023, we sought and received a private letter ruling from the IRS (the “IRS Ruling”) and an opinion from our U.S. tax advisor (the “U.S. Tax Opinion”) regarding U.S. federal income tax consequences of the separation, including that, among other things, the separation would be expected to generally qualify as tax-free for U.S. federal income tax purposes under Sections 368(a)(1)(D) and 355 of the Code. The IRS Ruling and/or the U.S. Tax Opinion were based on and relied on, among other things, certain facts, assumptions, representations, and undertakings from us and Mural, including those relating to past and future conduct of the companies’ respective business operations and other matters. If any of these facts, assumptions, representations, statements or undertakings are, or become, inaccurate or incomplete, or if we or Mural breach any of our respective covenants in the separation documents, the IRS Ruling and/or the U.S. Tax Opinion may be invalid and the conclusions reached therein could be jeopardized. Notwithstanding the U.S. Tax Opinion or IRS Ruling, the IRS could determine that a distribution or any related transaction is taxable for U.S. federal income tax purposes if it determines that any of these facts, assumptions, representations or undertakings are not correct or have been violated, or that the distribution should be taxable for other reasons, including if the IRS were to disagree with the conclusions in the U.S. Tax Opinion. The U.S. Tax Opinion will not be binding on the IRS or the courts. Accordingly, the IRS or the courts may challenge the conclusions stated in the U.S. Tax Opinion and such challenge could prevail. If the separation transaction is ultimately determined to be taxable, we and/or our shareholders that are subject to U.S. federal income tax could incur significant tax liabilities.</w:t>
      </w:r>
    </w:p>
    <w:p>
      <w:pPr>
        <w:spacing w:after="0" w:line="100"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Furthermore, in connection with the separation, we sought and received an opinion from our Irish tax advisor (the “Irish Tax Opinion”) regarding the Irish tax consequences of the separation. The Irish Tax Opinion was based on and relied on, among other things, certain facts, assumptions, representations, and undertakings from us, including those relating to past and future conduct of our business operations and other matters. If any of these facts, assumptions, representations, statements or undertakings are, or become, inaccurate or incomplete the Irish Tax Opinion may be invalid and the conclusions reached therein could be jeopardized. The Irish Tax Opinion will not be binding on the Irish Tax Authority or the Irish courts. Accordingly, the Irish Tax Authority or the Irish courts may challenge the conclusions stated in the Irish Tax Opinion and such challenge could prevail. In such an event, we and/or our shareholders could incur significant tax liabilities.</w:t>
      </w:r>
    </w:p>
    <w:p>
      <w:pPr>
        <w:spacing w:after="0" w:line="92"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In April 2025, Mural announced its intent to discontinue all clinical development of nemvaleukin alfa following a review of clinical trial data, reduce its workforce by approximately 90% and commence the exploration of strategic alternatives focused on maximizing shareholder value. In August 2025, Mural and XOMA Royalty Corporation announced a definitive agreement for XOMA Royalty’s wholly owned subsidiary to acquire all issued and to be issued share capital of Mural, which was completed in December 2025. We do not believe that these events will adversely affect the tax treatment of the separation; however, the IRS or the courts may challenge this position and should any such challenge prevail, we and/or our shareholders that are subject to U.S. federal income tax could incur significant tax liabilities.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Our debt obligations could adversely affect our business and limit our ability to plan for or respond to changes in our business.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connection with the Avadel Acquisition, we entered into the Credit Agreement (as defined below) pursuant to which we</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incurred indebtedness of approximately $1.525 billion. The degree of our indebtedness could have important consequences, including:</w:t>
      </w:r>
    </w:p>
    <w:p>
      <w:pPr>
        <w:spacing w:after="0" w:line="83" w:lineRule="exact"/>
        <w:rPr>
          <w:sz w:val="20"/>
          <w:szCs w:val="20"/>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industry or competitive developments;</w:t>
      </w:r>
    </w:p>
    <w:p>
      <w:pPr>
        <w:spacing w:after="0" w:line="96" w:lineRule="exact"/>
        <w:rPr>
          <w:rFonts w:ascii="Times New Roman" w:cs="Times New Roman" w:eastAsia="Times New Roman" w:hAnsi="Times New Roman"/>
          <w:sz w:val="14"/>
          <w:szCs w:val="14"/>
          <w:color w:val="auto"/>
        </w:rPr>
      </w:pPr>
    </w:p>
    <w:p>
      <w:pPr>
        <w:ind w:left="1340" w:right="679" w:hanging="352"/>
        <w:spacing w:after="0" w:line="274"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our cash flow from operations to be dedicated to the payment of principal and interest on our indebtedness, thereby reducing our ability to use our cash flow to fund our operations, capital expenditures and other business opportunities;</w:t>
      </w:r>
    </w:p>
    <w:p>
      <w:pPr>
        <w:spacing w:after="0" w:line="50"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to plan for, or react to, changes in our business and industry, or our ability to take specified actions to take advantage of certain business opportunities that may be presented to us;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us to variability in interest rates;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return capital to our shareholders, including through share repurchases;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less leveraged competitors.</w:t>
      </w:r>
    </w:p>
    <w:p>
      <w:pPr>
        <w:spacing w:after="0" w:line="118"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 addition, the Credit Agreement requires the maintenance of certain leverage and coverage ratios, in each case with the levels set forth in the Credit Agreement, as of the last day of any fiscal quarter. In addition, the Credit Agreement contains customary affirmative and negative covenants, including limitations on indebtedness, liens, mergers, consolidations, sales of assets, investments, transactions with affiliates, restricted payments and sales and leasebacks. The Credit Agreement is guaranteed by certain of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52" w:name="page53"/>
    <w:bookmarkEnd w:id="52"/>
    <w:p>
      <w:pPr>
        <w:ind w:left="640" w:right="719"/>
        <w:spacing w:after="0" w:line="265" w:lineRule="auto"/>
        <w:rPr>
          <w:sz w:val="20"/>
          <w:szCs w:val="20"/>
          <w:color w:val="auto"/>
        </w:rPr>
      </w:pPr>
      <w:r>
        <w:rPr>
          <w:rFonts w:ascii="Times New Roman" w:cs="Times New Roman" w:eastAsia="Times New Roman" w:hAnsi="Times New Roman"/>
          <w:sz w:val="14"/>
          <w:szCs w:val="14"/>
          <w:color w:val="auto"/>
        </w:rPr>
        <w:t>Company’s subsidiaries and secured by a lien on substantially all of the assets of Alkermes plc, Alkermes, Inc. and the subsidiary guarantors. Any failure to comply with these restrictions or to make payments could lead to an event of default that could result in an acceleration of the indebtedness. Our future operating results may not be sufficient to ensure our ability to make our debt payments or to remedy any such default. See “Item 7—Management’s Discussion and Analysis of Financial Condition and Results of Operations” in this Annual Report for additional information relating to our indebtedness.</w:t>
      </w:r>
    </w:p>
    <w:p>
      <w:pPr>
        <w:spacing w:after="0" w:line="117" w:lineRule="exact"/>
        <w:rPr>
          <w:sz w:val="20"/>
          <w:szCs w:val="20"/>
          <w:color w:val="auto"/>
        </w:rPr>
      </w:pPr>
    </w:p>
    <w:p>
      <w:pPr>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2E74B5"/>
        </w:rPr>
        <w:t>Our business strategy may involve future transactions which may harm the market price of our ordinary shares or require us to seek additional funds, and such funding may not be available on commercially favorable terms or at all and may cause dilution to our existing shareholders.</w:t>
      </w:r>
    </w:p>
    <w:p>
      <w:pPr>
        <w:spacing w:after="0" w:line="69"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In order to achieve our business strategy, we regularly review potential transactions related to technologies, products or product rights or other assets, and businesses that are complementary to our business, including mergers and acquisitions, licenses and collaborations, and development and supply, commercialization or co-promotion arrangements, among others. We may choose to enter into one or more of these or other transactions at any time, which may cause substantial fluctuations in the market price of our ordinary shares. Moreover, depending upon the nature of any transaction, we may experience a charge to earnings, which could also materially adversely affect our results of operations and could harm the market price of our ordinary shares.</w:t>
      </w:r>
    </w:p>
    <w:p>
      <w:pPr>
        <w:spacing w:after="0" w:line="91" w:lineRule="exact"/>
        <w:rPr>
          <w:sz w:val="20"/>
          <w:szCs w:val="20"/>
          <w:color w:val="auto"/>
        </w:rPr>
      </w:pPr>
    </w:p>
    <w:p>
      <w:pPr>
        <w:ind w:left="640" w:right="719" w:firstLine="351"/>
        <w:spacing w:after="0" w:line="258" w:lineRule="auto"/>
        <w:rPr>
          <w:sz w:val="20"/>
          <w:szCs w:val="20"/>
          <w:color w:val="auto"/>
        </w:rPr>
      </w:pPr>
      <w:r>
        <w:rPr>
          <w:rFonts w:ascii="Times New Roman" w:cs="Times New Roman" w:eastAsia="Times New Roman" w:hAnsi="Times New Roman"/>
          <w:sz w:val="14"/>
          <w:szCs w:val="14"/>
          <w:color w:val="auto"/>
        </w:rPr>
        <w:t>In order to finance such transactions, we may require additional funds, and we may seek such funds through various sources, including debt and equity offerings, corporate collaborations, bank borrowings, arrangements relating to assets, monetization of royalty streams or other financing methods or structures. For example, as described above, we entered into the Credit Agreement in connection with the Avadel Acquisition. The source, timing and availability of any future additional financing will depend on global economic conditions, credit and financial market conditions, interest rates and other factors. If we issue additional equity securities or securities convertible into equity securities, our shareholders would suffer dilution of their investment, and it may adversely affect the market price of our ordinary shares. In addition, under Irish law, the directors of an Irish public limited company must have specific authority, as approved by the company’s shareholders, to allot and issue any ordinary shares (other than pursuant to employee equity plans) and, if such directors desire to allot and issue ordinary shares for cash, such shares must first be offered on the same or more favorable terms to the Company’s existing shareholders on a pro-rata basis, unless this statutory pre-emption right is disapplied by approval of the company’s shareholders. In May 2025, our shareholders renewed our board of directors’ general authority to allot and issue ordinary shares in an amount equal to approximately 20% of our issued ordinary share capital (as of April 1, 2025), and to issue ordinary shares for cash on a non-pre-emptive basis in an amount equal to approximately 20% of our issued share capital (as of April 1, 2025); however, these share issuance authorities were granted for eighteen months only, at which point they will lapse unless renewed by our shareholders. If we are unable to obtain renewal of share issuance authorities from our shareholders, or are otherwise limited by the terms of new share issuance authorities approved by our shareholders, our ability to use our authorized but unissued share capital to effect or to fund acquisition or other transaction opportunities, or to otherwise raise capital, could be adversely affected.</w:t>
      </w:r>
    </w:p>
    <w:p>
      <w:pPr>
        <w:spacing w:after="0" w:line="248"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 addition, future investors or lenders may demand, and may be granted, rights superior to those of existing shareholders. If we issue debt securities, we would likely be subject to restrictive covenants and debt service obligations that may impact our operations and financial condition. We cannot be certain that additional financing will be available from any of these sources when needed or, if available, will be on acceptable terms. If we fail to obtain additional capital if needed, we may not be able to execute our business strategy successfully.</w:t>
      </w:r>
    </w:p>
    <w:p>
      <w:pPr>
        <w:spacing w:after="0" w:line="78" w:lineRule="exact"/>
        <w:rPr>
          <w:sz w:val="20"/>
          <w:szCs w:val="20"/>
          <w:color w:val="auto"/>
        </w:rPr>
      </w:pPr>
    </w:p>
    <w:p>
      <w:pPr>
        <w:ind w:left="640" w:right="699" w:firstLine="351"/>
        <w:spacing w:after="0" w:line="267" w:lineRule="auto"/>
        <w:rPr>
          <w:sz w:val="20"/>
          <w:szCs w:val="20"/>
          <w:color w:val="auto"/>
        </w:rPr>
      </w:pPr>
      <w:r>
        <w:rPr>
          <w:rFonts w:ascii="Times New Roman" w:cs="Times New Roman" w:eastAsia="Times New Roman" w:hAnsi="Times New Roman"/>
          <w:sz w:val="14"/>
          <w:szCs w:val="14"/>
          <w:color w:val="auto"/>
        </w:rPr>
        <w:t>Even if we are able to finance potential transactions without seeking any external financing, expenditure of a significant amount of cash on such transactions may require difficult capital allocation decisions and may limit our ability to pursue other important business and strategic objectives, may significantly impact our financial condition and profitability and limit our potential to return capital to shareholders. As a result of these and other potential impacts, the market price of our ordinary shares may fluctuate significantly.</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Currency exchange rates may affect revenues and expenses.</w:t>
      </w:r>
    </w:p>
    <w:p>
      <w:pPr>
        <w:spacing w:after="0" w:line="122"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conduct a large portion of our business in international markets. For example, we derive all of our XEPLION, TREVICTA and BYANNLI revenues from sales in countries other than the U.S., and these sales are denominated in non-U.S. dollar (“USD”) currencies. We also incur substantial operating costs in Ireland and face exposure to changes in the exchange ratio of the USD and the euro arising from expenses and payables at our Irish operations that are settled in euro. Our efforts to mitigate the impact of fluctuating currency exchange rates may not be successful. As a result, currency fluctuations among our reporting currency, USD, and the currencies in which we do business will affect our results of operations, often in unpredictable ways. See “Item 7A—Quantitative and Qualitative Disclosures about Market Risk” in this Annual Report for additional information relating to our foreign currency exchange rate risk.</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Ordinary Shares</w:t>
      </w:r>
    </w:p>
    <w:p>
      <w:pPr>
        <w:spacing w:after="0" w:line="127" w:lineRule="exact"/>
        <w:rPr>
          <w:sz w:val="20"/>
          <w:szCs w:val="20"/>
          <w:color w:val="auto"/>
        </w:rPr>
      </w:pPr>
    </w:p>
    <w:p>
      <w:pPr>
        <w:ind w:left="64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The market price of our ordinary shares has been volatile and may continue to be volatile in the future, and could decline significantly.</w:t>
      </w:r>
    </w:p>
    <w:p>
      <w:pPr>
        <w:spacing w:after="0" w:line="45"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market price of our ordinary shares has fluctuated significantly from time to time. During the year ended December 31, 2025, the closing price of our ordinary shares on the Nasdaq Global Select Market ranged from $26.13 to $36.00 per share. The market price of our ordinary shares is likely to continue to be volatile and subject to significant price and volume fluctuations in response to market and industry factors, our results of operations, our ability to maintain and increase sales of our products, the success of our key development programs and expansion of our development pipeline and commercial portfolio, our ability to achieve and sustain profitability, the outcomes of business development transactions in which we may participate, our capital allocation decisions, and other factors, including the risk factors described in this Annual Report. We have also experienced significant volatility in the market price of our ordinary shares based on our business performance, including in relation to our commercial sales and the financial guidance that we issue for such sales, results from our clinical development programs, and events relating to regulatory actions and interactions related to our product candidates and commercial products.</w:t>
      </w:r>
    </w:p>
    <w:p>
      <w:pPr>
        <w:spacing w:after="0" w:line="82"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In addition, the stock market in general, including the market for biopharmaceutical companies, has experienced extreme price and trading volume fluctuations that have often been unrelated or disproportionate to the operating performance of those companies. In particular, negative publicity regarding pricing and price increases by pharmaceutical companies, and potential legislation to regulate drug pricing, has negatively impacted, and may continue to negatively impact, the market for biopharmaceutical companies. These broad market and industry factors have harmed, and in the future may harm, the market price of our ordinary shares, regardless of our operating performance.</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Our business could be negatively affected as a result of the actions of activist shareholders.</w:t>
      </w:r>
    </w:p>
    <w:p>
      <w:pPr>
        <w:spacing w:after="0" w:line="111"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Proxy contests and other actions by activist shareholders have been waged against many companies in our industry over the last several years. Activist shareholders may agitate, either publicly or privately, for changes to a company’s board of directors, management, structure, spend or strategic direction, among other things.</w:t>
      </w:r>
    </w:p>
    <w:p>
      <w:pPr>
        <w:spacing w:after="0" w:line="71"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Proxy contests and other actions by activist shareholders can be costly and time-consuming, disrupting operations and diverting the attention of management and employees, and can lead to perceived uncertainties as to the future direction of the Company or its business that may result in the loss of potential acquisitions, collaborations or in-licensing opportunities and make it more difficult to attract and retain qualified personnel and business partners. In addition, if individuals are elected to our board of directors with a specific agenda, it may adversely affect our ability to effectively implement our strategic plan in a timely manner and create additional value for our shareholders.</w:t>
      </w:r>
    </w:p>
    <w:p>
      <w:pPr>
        <w:spacing w:after="0" w:line="6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In recent years, we engaged in extensive dialogue with principals of Elliot Investment Management L.P. and Sarissa Capital Offshore Master Fund LP and their affiliates, resulting in negotiation of settlement arrangements in 2020 and 2021 pursuant to which directors were elected to our Board and a contested election in 2023. The extensive interactions and activities related to our engagement with activist shareholders required the expenditure of time, energy and expense by management and our board of directors and diverted employee and management attention from business operations.</w:t>
      </w:r>
    </w:p>
    <w:p>
      <w:pPr>
        <w:spacing w:after="0" w:line="88"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Any future activist shareholder interactions, contests, actions or requests, or the mere public presence of activist shareholders among our shareholder base, could cause the market price of our ordinary shares to experience periods of significant volatility.</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Information Security and Data Privacy</w:t>
      </w:r>
    </w:p>
    <w:p>
      <w:pPr>
        <w:spacing w:after="0" w:line="148"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Information security breaches and other disruptions could compromise our information and expose us to liability, which would cause our business and reputation to suffer.</w:t>
      </w:r>
    </w:p>
    <w:p>
      <w:pPr>
        <w:spacing w:after="0" w:line="66" w:lineRule="exact"/>
        <w:rPr>
          <w:sz w:val="20"/>
          <w:szCs w:val="20"/>
          <w:color w:val="auto"/>
        </w:rPr>
      </w:pPr>
    </w:p>
    <w:p>
      <w:pPr>
        <w:ind w:left="640" w:right="879" w:firstLine="351"/>
        <w:spacing w:after="0" w:line="263" w:lineRule="auto"/>
        <w:rPr>
          <w:sz w:val="20"/>
          <w:szCs w:val="20"/>
          <w:color w:val="auto"/>
        </w:rPr>
      </w:pPr>
      <w:r>
        <w:rPr>
          <w:rFonts w:ascii="Times New Roman" w:cs="Times New Roman" w:eastAsia="Times New Roman" w:hAnsi="Times New Roman"/>
          <w:sz w:val="14"/>
          <w:szCs w:val="14"/>
          <w:color w:val="auto"/>
        </w:rPr>
        <w:t>In the ordinary course of our business, we and our third-party service providers collect, store, maintain and transmit sensitive data, including IP, proprietary business information of ours and that of our suppliers and partners, as well as personally identifiable information of persons who use our medicines, clinical trial participants and employees. In addition, we outsource some of our operations to a number of third-party vendors who may have, or could gain, access to our confidential information. The secure maintenance of all such information and the secure performance of our information technology (“IT”) systems are critical to our operations and business strategy.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54" w:name="page55"/>
    <w:bookmarkEnd w:id="54"/>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As our dependency on, and the complexity of, our IT systems increases, the confidentiality, integrity and availability of our IT systems and the data that they store is critical to managing our business. While we take prudent measures to secure our IT systems, the risk still exists that such systems may become compromised by successful breaches, malfeasance, human error or technological fault. Moreover, the prevalent use of mobile devices to access confidential information, remote working practices, and the increased use of artificial intelligence present new and increased risk of security breaches. Cyber-attacks have increased in frequency, persistence, sophistication and intensity, often conducted by sophisticated and organized groups and individuals with a wide range of motives (including, but not limited to, industrial espionage, hacktivists and organized crime).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Certain types of attacks or breaches on our IT systems or infrastructure, or those of our licensees and third-party providers, may go undetected for a prolonged period. Although to our knowledge we have not experienced any material incident or interruption to date, any breakdown, invasion, corruption, destruction or breach of our, our partners’ or our third-party providers’ technology systems could compromise such IT systems, and the information stored there could be accessed, modified, publicly disclosed, lost or stolen. This could result in legal claims or proceedings and liability under laws that protect the privacy of personal information, demands for ransom or other forms of blackmail, disruptions to our development programs or commercial operations, damage to our reputation and adverse effects on our business. We retain cybersecurity insurance to cover costs and expenses related to a breach or similar event; however, there is no guarantee that such costs and expenses would not exceed the insurance that we retain. See “Item 1C—Cybersecurity” in this Annual Report for additional information relating to our cybersecurity risk management strategy, governance and oversight.</w:t>
      </w:r>
    </w:p>
    <w:p>
      <w:pPr>
        <w:spacing w:after="0" w:line="124" w:lineRule="exact"/>
        <w:rPr>
          <w:sz w:val="20"/>
          <w:szCs w:val="20"/>
          <w:color w:val="auto"/>
        </w:rPr>
      </w:pPr>
    </w:p>
    <w:p>
      <w:pPr>
        <w:ind w:left="64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We may be subject to numerous and varying privacy and security laws, and any failure to comply could result in penalties and reputational damage.</w:t>
      </w:r>
    </w:p>
    <w:p>
      <w:pPr>
        <w:spacing w:after="0" w:line="55"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In the ordinary course of business, we may process personal data and other sensitive information, including proprietary and confidential business data, trade secrets, intellectual property, data we collect about trial participants in connection with clinical trials, patient data and sensitive third-party data. Our data processing activities subjects us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w:t>
      </w:r>
    </w:p>
    <w:p>
      <w:pPr>
        <w:spacing w:after="0" w:line="9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the U.S., numerous federal and state laws and regulations, including state security breach notification laws, federal and state consumer protection laws, and state health information privacy laws (for example, the California Consumer Privacy Act of 2018 and the California Privacy Rights Act of 2020), govern the collection, use, disclosure, and protection of personal information. Such federal and state laws and regulations may require businesses to provide specific disclosures and implement processes to permit individuals to exercise certain privacy rights, which in each case could increase our potential liability, increase our compliance costs, and affect our ability to collect and use personal information. The privacy regulation landscape is rapidly evolving, and any changes to existing legislation or adoption of new state or federal regulations may further complicate compliance efforts and further increase legal risk and compliance costs for us and the third parties upon whom we rely. In addition, each of these current and potential future laws may be subject to varying interpretations by courts and government agencies, creating complex compliance issues for us and the third parties upon whom we rely.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the Health Insurance Portability and Accountability Act of 1996, as amended by the Health Information Technology for Economic and Clinical Health Act (HIPAA).</w:t>
      </w:r>
    </w:p>
    <w:p>
      <w:pPr>
        <w:spacing w:after="0" w:line="93"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Numerous other countries have, or are developing, laws governing the collection, use and transmission of personal information as well. The EU and other jurisdictions have adopted data protection laws and regulations, which impose significant compliance obligations. In the EU, for example, the GDPR governs the processing of personal data.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and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adopt additional laws and regulations in order to introduce further conditions, including limitations, with regard to the processing of genetic, biometric or health data.</w:t>
      </w:r>
    </w:p>
    <w:p>
      <w:pPr>
        <w:spacing w:after="0" w:line="86"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Adoption of the GDPR increased our responsibility and liability in relation to personal data that we process and may require us to put in place additional mechanisms to ensure compliance. Any failure to comply with the requirements of GDPR and applicable national data protection laws of EU member states could lead to regulatory enforcement actions and significant administrative and/or financial penalties against us (fines of up to €20,000,000 or up to 4% of the total worldwide annual turnover of the preceding financial year, whichever is higher), and could adversely affect our business, financial condition, cash flows and results of operations.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 Factors</w:t>
      </w:r>
    </w:p>
    <w:p>
      <w:pPr>
        <w:spacing w:after="0" w:line="148"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Changes in global trade or other policies, including tariffs or other restrictions imposed by the U.S. government or governments of other nations, could have an adverse effect on our business, results of operations, or financial condition.</w:t>
      </w:r>
    </w:p>
    <w:p>
      <w:pPr>
        <w:spacing w:after="0" w:line="66" w:lineRule="exact"/>
        <w:rPr>
          <w:sz w:val="20"/>
          <w:szCs w:val="20"/>
          <w:color w:val="auto"/>
        </w:rPr>
      </w:pPr>
    </w:p>
    <w:p>
      <w:pPr>
        <w:ind w:left="640" w:right="719" w:firstLine="351"/>
        <w:spacing w:after="0" w:line="258" w:lineRule="auto"/>
        <w:rPr>
          <w:sz w:val="20"/>
          <w:szCs w:val="20"/>
          <w:color w:val="auto"/>
        </w:rPr>
      </w:pPr>
      <w:r>
        <w:rPr>
          <w:rFonts w:ascii="Times New Roman" w:cs="Times New Roman" w:eastAsia="Times New Roman" w:hAnsi="Times New Roman"/>
          <w:sz w:val="14"/>
          <w:szCs w:val="14"/>
          <w:color w:val="auto"/>
        </w:rPr>
        <w:t>As a global biopharmaceutical company, changes in and uncertainties from global trade or other policies, including tariffs or other restrictions imposed by the U.S. government or governments of other nations, may have an adverse effect on us. For example, since April 2025, the U.S. government and certain other countries have imposed tariffs or negotiated trade agreements for tariffs on certain imports. Although some of these tariffs are temporarily paused, their impact has already been seen, and we expect will continue to be seen, in global markets. The majority of our proprietary products are manufactured at our manufacturing facility in the U.S. and are sold exclusively in the U.S.; however, certain materials in our supply chain are sourced internationally, certain elements of manufacturing for LUMRYZ are manufactured outside of the U.S., and certain third-party products from which we derive revenue are manufactured outside the U.S. Our related costs, revenues and/or profits may be impacted to varying degrees by recent or future changes in global trade or other policies. In addition, the recent changes, tensions and uncertainties related to global trade policies have caused, and may continue to cause, significant volatility in global markets, including the market for our ordinary shares. The price of our ordinary shares has fluctuated significantly, and may continue to fluctuate, as a result of these and similar developments. The U.S. government has also indicated that it may impose a supplemental tariff on all pharmaceutical imports or take additional actions in respect of pharmaceutical companies incorporated outside of the U.S., which has caused, and may continue to cause, uncertainty as to the extent of the impacts of changes in global trade on the pharmaceutical industry as a whole and on our business. Additional changes to the policies of the U.S. or other nations that affect the geopolitical landscape or global trade, economic or market conditions, and other direct or indirect impacts of such policies, are uncertain and unpredictable, and could, in the future, have a material adverse effect on our business, results of operations, or financial condition and the market price of our ordinary shares.</w:t>
      </w:r>
    </w:p>
    <w:p>
      <w:pPr>
        <w:spacing w:after="0" w:line="115" w:lineRule="exact"/>
        <w:rPr>
          <w:sz w:val="20"/>
          <w:szCs w:val="20"/>
          <w:color w:val="auto"/>
        </w:rPr>
      </w:pPr>
    </w:p>
    <w:p>
      <w:pPr>
        <w:ind w:left="640" w:right="99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A future pandemic, epidemic or outbreak of an infectious disease, may materially and adversely affect our business, financial condition and results of operations.</w:t>
      </w:r>
    </w:p>
    <w:p>
      <w:pPr>
        <w:spacing w:after="0" w:line="66"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Outbreaks of contagious diseases and other adverse public health developments affecting us and/or the third parties on which we rely could have a material and adverse effect on our business, financial condition and results of operations. For example, the COVID-19 pandemic, which impacted the operation of healthcare systems, global travel, supply and labor markets and other business and economic activity worldwide, had a disruptive and adverse impact on our financial condition and results of operations and on those of many of the third parties on which we rely.</w:t>
      </w:r>
    </w:p>
    <w:p>
      <w:pPr>
        <w:spacing w:after="0" w:line="88"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Although the acute COVID-19 public health emergency has lapsed, we will continue to monitor its long-term impacts, including impacts on market practices and on the labor market, and adjust our policies and practices as needed to mitigate any adverse impacts to our business operations and financial condition. We will also work with our internal teams and the third-parties on which we rely to assess, and seek to mitigate, the potential impacts on our business operations and financial condition of any future outbreaks of contagious diseases or other adverse public health developments that may emerge from time to time.</w:t>
      </w:r>
    </w:p>
    <w:p>
      <w:pPr>
        <w:spacing w:after="0" w:line="106"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2E74B5"/>
        </w:rPr>
        <w:t>If we identify a material weakness in our internal control over financial reporting, our ability to meet our reporting obligations and the trading price of our ordinary shares could be negatively affected.</w:t>
      </w:r>
    </w:p>
    <w:p>
      <w:pPr>
        <w:spacing w:after="0" w:line="66"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Accordingly, a material weakness increases the risk that the financial information we report contains material errors.</w:t>
      </w:r>
    </w:p>
    <w:p>
      <w:pPr>
        <w:spacing w:after="0" w:line="71"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We regularly review and update our internal controls, disclosure controls and procedures, and corporate governance policies. In 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ordinary shares could be negatively affected.</w:t>
      </w:r>
    </w:p>
    <w:p>
      <w:pPr>
        <w:spacing w:after="0" w:line="9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the trading price of our ordinary shares. Failure to comply with reporting requirements could also subject us to sanctions and/or investigations by Nasdaq or the SEC or other regulatory authorities.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4"/>
          <w:szCs w:val="14"/>
          <w:b w:val="1"/>
          <w:bCs w:val="1"/>
          <w:i w:val="1"/>
          <w:iCs w:val="1"/>
          <w:color w:val="2E74B5"/>
        </w:rPr>
        <w:t>The increasing use of social media platforms and artificial intelligence tools present new risks and challenges.</w:t>
      </w:r>
    </w:p>
    <w:p>
      <w:pPr>
        <w:spacing w:after="0" w:line="133"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Social media is increasingly being used as a means of corporate communications and for purposes of social networking and commentary. We use social media tools to communicate certain information about our business, our employees, our company values and initiatives, to support disease state education in our areas of focus, and to provide information about our products or development programs. Additionally, the use of artificial intelligence (“AI”) tools is increasing in the biopharmaceutical industry and, as with many developing technologies, presents risks and challenges that could affect its further development, adoption and use. Despite our efforts to monitor evolving guidance regarding use of social media and AI and to comply with applicable rules, regulations and regulatory guidance, such practices are evolving and can be unclear. There is a risk that we or our employees may use social media and AI to communicate about our products or business or for other business purposes that may cause us to be found in violation of applicable requirements and could result in regulatory actions or legal claims against us, including claims related to off-label marketing or other prohibited activities. In addition, our employees may knowingly or inadvertently engage on social media and with AI in ways that may not comply with our social media or AI policies or guidelines with respect to AI or other legal, contractual or regulatory requirements. Any misuse of social media or AI may give rise to liability, lead to the loss of trade secrets and other IP, result in public disclosure of personal information of our employees, clinical trial participants, customers, patients using our products, or others, result in reputational harm or lead to other consequences. Negative or inaccurate posts or comments about us or our products on any social media or other public platforms could also damage our reputation, brand image and goodwill. Any of these events, if they were to occur, could cause us to incur liability, face overly restrictive regulatory actions or suffer reputational or other harm to our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1B. </w:t>
      </w:r>
      <w:r>
        <w:rPr>
          <w:rFonts w:ascii="Times New Roman" w:cs="Times New Roman" w:eastAsia="Times New Roman" w:hAnsi="Times New Roman"/>
          <w:sz w:val="14"/>
          <w:szCs w:val="14"/>
          <w:b w:val="1"/>
          <w:bCs w:val="1"/>
          <w:i w:val="1"/>
          <w:iCs w:val="1"/>
          <w:color w:val="0070C0"/>
        </w:rPr>
        <w:t>Unresolved Staff Comments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1C. </w:t>
      </w:r>
      <w:r>
        <w:rPr>
          <w:rFonts w:ascii="Times New Roman" w:cs="Times New Roman" w:eastAsia="Times New Roman" w:hAnsi="Times New Roman"/>
          <w:sz w:val="14"/>
          <w:szCs w:val="14"/>
          <w:b w:val="1"/>
          <w:bCs w:val="1"/>
          <w:i w:val="1"/>
          <w:iCs w:val="1"/>
          <w:color w:val="0070C0"/>
        </w:rPr>
        <w:t>Cybersecurity</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131"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In the ordinary course of our business, we collect and store sensitive data, including IP, proprietary business information of ours and that of our suppliers and licensees, and personally identifiable information of persons who use our medicines, clinical trial participants and employees. Our licensees and third-party providers also possess certain of our sensitive data. The secure maintenance of such information and the secure performance of our IT systems are critical to our operations and business strategy. As our dependency on, and the complexity of, our IT systems increases, the confidentiality, integrity and availability of our IT systems and the data that they store is critical to managing our business.</w:t>
      </w:r>
    </w:p>
    <w:p>
      <w:pPr>
        <w:spacing w:after="0" w:line="9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Our Information Security Management System (“ISMS”) is a key element of our information security program, designed to identify, assess, help mitigate, and monitor IT risks across our organization, including information security risks. The ISMS is informed by the structured principles of International Standard- ISO/IEC27001:2022 (Information security, cybersecurity, and privacy protection), which outlines guidance for the establishment, implementation, maintenance, and improvement of information security management systems. Our ISMS is comprised of processes designed to identify cybersecurity risks, safeguard information assets and preserve the confidentiality, integrity, and availability of information owned, managed and maintained by us. Our ISMS includes formal written policies and procedures, technical security controls, such as automated tools designed to detect and prevent cybersecurity incidents, and programs designed to promote internal and third-party IT risk management, audit management, incident response and security awareness, including employee awareness trainings and other initiatives. Our ISMS includes periodic security audits, vulnerability assessments and penetration testing to proactively identify potential system vulnerabilities. Our ISMS is periodically assessed by third-party assessors and the results of such assessments, including any cybersecurity risks and related mitigations identified, are reported to the audit and risk committee of our board of directors, as described below, and are used by us to improve our ISMS and our broader information security program.</w:t>
      </w:r>
    </w:p>
    <w:p>
      <w:pPr>
        <w:spacing w:after="0" w:line="83"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As part of our information security program, we also have processes in place for management of cybersecurity risks associated with third-party handling of our confidential information, including in such third parties’ provision of critical services on our behalf. We conduct due diligence of our third-party vendors through an assessment of their security practices and overall risk profile, including through their completion of vendor assessment questionnaires and ongoing monitoring of such third parties, utilizing tools such as security ratings services and periodic reassessment questionnaires.</w:t>
      </w:r>
    </w:p>
    <w:p>
      <w:pPr>
        <w:spacing w:after="0" w:line="88"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As of the date of this Annual Report, we have not experienced any information security incidents that have materially affected, or are reasonably likely to materially affect, our business strategy, results of operations, or financial condition, and we have not identified any current cybersecurity threats that we believe are reasonably likely to materially affect our business strategy, results of operations, or financial condition.</w:t>
      </w:r>
    </w:p>
    <w:p>
      <w:pPr>
        <w:spacing w:after="0" w:line="1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Governance and Oversight</w:t>
      </w:r>
    </w:p>
    <w:p>
      <w:pPr>
        <w:spacing w:after="0" w:line="13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have a multi-layered information security governance framework in place to provide oversight of our information security program and strategy, our ISMS, and related risks and opportunities. This governance framework includes procedures for escalation of identified information security risks, threats or incidents through various management levels, including up to our Information Security Governing Body, which is comprised of our Chief Executive Officer, Chief Information Officer, Chief Operating Officer, Chief Financial Officer, Chief Legal Officer and other members of management, and as appropriate, up to our board of directors.</w:t>
      </w:r>
    </w:p>
    <w:p>
      <w:pPr>
        <w:spacing w:after="0" w:line="8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information security team is responsible for developing, implementing and overseeing our Company-wide information security strategy and related policies and practices. This team works cross-functionally throughout our organization to assess and prepare the Company for identification and mitigation of, and if necessary respond to, information security risks. The information security team is led by our Chief Information Officer, who has over 35 years of experience in various information technology roles, including 19 years at the Company serving in roles with increasing levels of responsibility. Our Vice President of Information Security and Technology, a Certified Information Systems Security Professional, with over 20 years of global experience in various information security roles, including 15 years of experience at the Company, is responsible for day-to-day management of information security team initiatives. The other members of the information security team have extensive IT, IT security and cloud industry experience, as well as certifications pertaining to information security and privacy (such as Certified Information Security Manager, Certified Information Privacy Technologist, GIAC Security Essentials and GIAC Information Security Professional certifications).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58" w:name="page59"/>
    <w:bookmarkEnd w:id="58"/>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board of directors, as a whole and through its committees, has responsibility for the oversight of risk management. The audit and risk committee of our board of directors specifically oversees critical risks and opportunities facing the Company and, in this context, reviews and provides feedback on our company-wide enterprise risk management program, which encompasses risks related to IT and cybersecurity and mitigations put in place, or to be put in place, in response to such risks and opportunities. The audit and risk committee periodically reports to the full board of directors regarding its oversight of the Company’s enterprise risk management program and periodic risk assessment results. In addition, our board of directors receives periodic updates from our CIO and Vice President of Information Security on our ISMS and other information security initiatives, and on our information security governance framework.</w:t>
      </w:r>
    </w:p>
    <w:p>
      <w:pPr>
        <w:spacing w:after="0" w:line="2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Information Systems Acquired in the Avadel Acquisition</w:t>
      </w:r>
    </w:p>
    <w:p>
      <w:pPr>
        <w:spacing w:after="0" w:line="120"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In February 2026, we completed the Avadel Acquisition. The information technology and operational systems utilized by Avadel prior to the acquisition currently remain separate from those of Alkermes. In advance of integration with our own systems, we are conducting a comprehensive assessment of the design and effectiveness of Avadel’s systems, processes, and related risks, including cybersecurity, data protection, and operational resilience considerations. Upon completion of this assessment, we expect to begin a phased operational and systems integration to align the acquired operations with our enterprise standards and infrastructure. We plan to address any security events that may arise involving Avadel’s systems in a manner that is consistent with our enterprise incident response expectations.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2. </w:t>
      </w:r>
      <w:r>
        <w:rPr>
          <w:rFonts w:ascii="Times New Roman" w:cs="Times New Roman" w:eastAsia="Times New Roman" w:hAnsi="Times New Roman"/>
          <w:sz w:val="14"/>
          <w:szCs w:val="14"/>
          <w:b w:val="1"/>
          <w:bCs w:val="1"/>
          <w:i w:val="1"/>
          <w:iCs w:val="1"/>
          <w:color w:val="0070C0"/>
        </w:rPr>
        <w:t>Properties</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lease an approximately 14,600 square foot corporate office space in Dublin, Ireland, which is our corporate headquarters.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This lease expires in January 2027 and does not include an additional tenant option to further extend the term.</w:t>
      </w:r>
    </w:p>
    <w:p>
      <w:pPr>
        <w:spacing w:after="0" w:line="115" w:lineRule="exact"/>
        <w:rPr>
          <w:sz w:val="20"/>
          <w:szCs w:val="20"/>
          <w:color w:val="auto"/>
        </w:rPr>
      </w:pPr>
    </w:p>
    <w:p>
      <w:pPr>
        <w:jc w:val="both"/>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In December 2025, we entered into a lease agreement for an approximately 6,675 square foot corporate office space in Athlone, Ireland. The initial term of the lease commenced on January 1, 2026, expires on December 31, 2030 and includes an option to extend for an additional five-year period.</w:t>
      </w:r>
    </w:p>
    <w:p>
      <w:pPr>
        <w:spacing w:after="0" w:line="71" w:lineRule="exact"/>
        <w:rPr>
          <w:sz w:val="20"/>
          <w:szCs w:val="20"/>
          <w:color w:val="auto"/>
        </w:rPr>
      </w:pPr>
    </w:p>
    <w:p>
      <w:pPr>
        <w:jc w:val="both"/>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We lease an approximately 231,000 square foot corporate office and R&amp;D center in Waltham, Massachusetts. This lease, which commenced in January 2020, expires in 2035 and includes a tenant option to extend the term for an additional ten-year period.</w:t>
      </w:r>
    </w:p>
    <w:p>
      <w:pPr>
        <w:spacing w:after="0" w:line="70"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lease an approximately 7,000 square foot corporate office and administrative space in Washington, DC. This lease expires in 2029 and includes a tenant option to extend the term for an additional five-year period.</w:t>
      </w:r>
    </w:p>
    <w:p>
      <w:pPr>
        <w:spacing w:after="0" w:line="70"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We lease an approximately 17,065 square foot corporate office and administrative space in Chesterfield, Missouri. This lease expires in 2029 and includes a tenant option to extend the term for an additional three-year period.</w:t>
      </w:r>
    </w:p>
    <w:p>
      <w:pPr>
        <w:spacing w:after="0" w:line="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own an approximately 375,000 square foot manufacturing facility in Wilmington, Ohio.</w:t>
      </w:r>
    </w:p>
    <w:p>
      <w:pPr>
        <w:spacing w:after="0" w:line="129"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believe that our current facilities are suitable and adequate for our current and near-term preclinical, clinical and commercial requirements.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3. </w:t>
      </w:r>
      <w:r>
        <w:rPr>
          <w:rFonts w:ascii="Times New Roman" w:cs="Times New Roman" w:eastAsia="Times New Roman" w:hAnsi="Times New Roman"/>
          <w:sz w:val="14"/>
          <w:szCs w:val="14"/>
          <w:b w:val="1"/>
          <w:bCs w:val="1"/>
          <w:i w:val="1"/>
          <w:iCs w:val="1"/>
          <w:color w:val="0070C0"/>
        </w:rPr>
        <w:t>Legal Proceedings</w:t>
      </w:r>
    </w:p>
    <w:p>
      <w:pPr>
        <w:spacing w:after="0" w:line="131" w:lineRule="exact"/>
        <w:rPr>
          <w:sz w:val="20"/>
          <w:szCs w:val="20"/>
          <w:color w:val="auto"/>
        </w:rPr>
      </w:pPr>
    </w:p>
    <w:p>
      <w:pPr>
        <w:ind w:left="640" w:right="879" w:firstLine="351"/>
        <w:spacing w:after="0" w:line="275" w:lineRule="auto"/>
        <w:rPr>
          <w:sz w:val="20"/>
          <w:szCs w:val="20"/>
          <w:color w:val="auto"/>
        </w:rPr>
      </w:pPr>
      <w:r>
        <w:rPr>
          <w:rFonts w:ascii="Times New Roman" w:cs="Times New Roman" w:eastAsia="Times New Roman" w:hAnsi="Times New Roman"/>
          <w:sz w:val="14"/>
          <w:szCs w:val="14"/>
          <w:color w:val="auto"/>
        </w:rPr>
        <w:t xml:space="preserve">For information regarding legal proceedings, refer to the discussion under the heading “Litigation” in Note 19, </w:t>
      </w:r>
      <w:r>
        <w:rPr>
          <w:rFonts w:ascii="Times New Roman" w:cs="Times New Roman" w:eastAsia="Times New Roman" w:hAnsi="Times New Roman"/>
          <w:sz w:val="14"/>
          <w:szCs w:val="14"/>
          <w:i w:val="1"/>
          <w:iCs w:val="1"/>
          <w:color w:val="auto"/>
        </w:rPr>
        <w:t>Commitments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Contingent Liabilities </w:t>
      </w:r>
      <w:r>
        <w:rPr>
          <w:rFonts w:ascii="Times New Roman" w:cs="Times New Roman" w:eastAsia="Times New Roman" w:hAnsi="Times New Roman"/>
          <w:sz w:val="14"/>
          <w:szCs w:val="14"/>
          <w:color w:val="auto"/>
        </w:rPr>
        <w:t>in the “Notes to Consolidated Financial Statements” in this Annual Report, which discussion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incorporated, in relevant part, into this Item 3 by reference.</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4. </w:t>
      </w:r>
      <w:r>
        <w:rPr>
          <w:rFonts w:ascii="Times New Roman" w:cs="Times New Roman" w:eastAsia="Times New Roman" w:hAnsi="Times New Roman"/>
          <w:sz w:val="14"/>
          <w:szCs w:val="14"/>
          <w:b w:val="1"/>
          <w:bCs w:val="1"/>
          <w:i w:val="1"/>
          <w:iCs w:val="1"/>
          <w:color w:val="0070C0"/>
        </w:rPr>
        <w:t>Mine Safety Disclosures</w:t>
      </w:r>
    </w:p>
    <w:p>
      <w:pPr>
        <w:spacing w:after="0" w:line="1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0070C0"/>
        </w:rPr>
        <w:t>PART II</w:t>
      </w:r>
    </w:p>
    <w:p>
      <w:pPr>
        <w:spacing w:after="0" w:line="181" w:lineRule="exact"/>
        <w:rPr>
          <w:sz w:val="20"/>
          <w:szCs w:val="20"/>
          <w:color w:val="auto"/>
        </w:rPr>
      </w:pPr>
    </w:p>
    <w:p>
      <w:pPr>
        <w:ind w:left="980" w:right="1259" w:hanging="350"/>
        <w:spacing w:after="0" w:line="411" w:lineRule="auto"/>
        <w:rPr>
          <w:sz w:val="20"/>
          <w:szCs w:val="20"/>
          <w:color w:val="auto"/>
        </w:rPr>
      </w:pPr>
      <w:r>
        <w:rPr>
          <w:rFonts w:ascii="Times New Roman" w:cs="Times New Roman" w:eastAsia="Times New Roman" w:hAnsi="Times New Roman"/>
          <w:sz w:val="14"/>
          <w:szCs w:val="14"/>
          <w:b w:val="1"/>
          <w:bCs w:val="1"/>
          <w:color w:val="0070C0"/>
        </w:rPr>
        <w:t xml:space="preserve">Item 5. </w:t>
      </w:r>
      <w:r>
        <w:rPr>
          <w:rFonts w:ascii="Times New Roman" w:cs="Times New Roman" w:eastAsia="Times New Roman" w:hAnsi="Times New Roman"/>
          <w:sz w:val="14"/>
          <w:szCs w:val="14"/>
          <w:b w:val="1"/>
          <w:bCs w:val="1"/>
          <w:i w:val="1"/>
          <w:iCs w:val="1"/>
          <w:color w:val="0070C0"/>
        </w:rPr>
        <w:t>Market for Registrant’s Common Equity, Related Stockholder Matters and Issuer Purchases of Equity Securities</w:t>
      </w:r>
      <w:r>
        <w:rPr>
          <w:rFonts w:ascii="Times New Roman" w:cs="Times New Roman" w:eastAsia="Times New Roman" w:hAnsi="Times New Roman"/>
          <w:sz w:val="14"/>
          <w:szCs w:val="14"/>
          <w:b w:val="1"/>
          <w:bCs w:val="1"/>
          <w:color w:val="0070C0"/>
        </w:rPr>
        <w:t xml:space="preserve"> </w:t>
      </w:r>
      <w:r>
        <w:rPr>
          <w:rFonts w:ascii="Times New Roman" w:cs="Times New Roman" w:eastAsia="Times New Roman" w:hAnsi="Times New Roman"/>
          <w:sz w:val="14"/>
          <w:szCs w:val="14"/>
          <w:b w:val="1"/>
          <w:bCs w:val="1"/>
          <w:i w:val="1"/>
          <w:iCs w:val="1"/>
          <w:color w:val="2E74B5"/>
        </w:rPr>
        <w:t>Market and shareholder information</w:t>
      </w: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Our ordinary shares are traded on the Nasdaq Global Select Market under the symbol “ALKS.” There were 79 shareholders of record of our ordinary shares on February 20, 2026.</w:t>
      </w:r>
    </w:p>
    <w:p>
      <w:pPr>
        <w:spacing w:after="0" w:line="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2E74B5"/>
        </w:rPr>
        <w:t>Dividends</w:t>
      </w:r>
    </w:p>
    <w:p>
      <w:pPr>
        <w:spacing w:after="0" w:line="122"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No dividends have been paid on our ordinary shares to date, and we do not expect to pay cash dividends thereon in the foreseeable future. We anticipate that we will generally retain a significant portion of our earnings to support our operations and our proprietary drug development programs. Any future determination as to the payment of dividends, if at all, will be at the sole discretion of our board of directors and will depend on our financial condition, results of operations, capital requirements and other factors that our board of directors and management deem relevant.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2E74B5"/>
        </w:rPr>
        <w:t>Repurchase of equity securities</w:t>
      </w:r>
    </w:p>
    <w:p>
      <w:pPr>
        <w:spacing w:after="0" w:line="11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In February 2024, our board of directors authorized a share repurchase program to repurchase ordinary shares of the Company in an aggregate amount of up to $400.0 million (exclusive of any fees, commissions or other expenses related to such repurchases) from time to time on the open market (the “Repurchase Program”). The timing and amount of any share repurchases under the Repurchase Program will be based on a variety of factors, including but not limited to ongoing assessments of our capital needs, alternative investment opportunities, the market price of our ordinary shares and general market conditions. The Repurchase Program has no set expiration date and may be suspended or discontinued at any time. During the year ended December 31, 2025, we did not repurchase any ordinary shares under the Repurchase Program. During the year ended December 31, 2024, we repurchased approximately 7.9 million of our ordinary shares under the Repurchase Program at an average price of $25.33, resulting in a total cost, exclusive of any fees, commissions or other expenses related to such repurchase, of $200.0 million. All ordinary shares repurchased were returned to treasury. As of December 31, 2025, the remaining amount authorized under the Repurchase Program was $200.0 million, exclusive of any fees, commissions or other related expenses.</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our share repurchase activity for the three months ended December 31, 2025:</w:t>
      </w:r>
    </w:p>
    <w:p>
      <w:pPr>
        <w:spacing w:after="0" w:line="73"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center"/>
              <w:ind w:right="38"/>
              <w:spacing w:after="0" w:line="119"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right="138"/>
              <w:spacing w:after="0" w:line="119" w:lineRule="exact"/>
              <w:rPr>
                <w:sz w:val="20"/>
                <w:szCs w:val="20"/>
                <w:color w:val="auto"/>
              </w:rPr>
            </w:pPr>
            <w:r>
              <w:rPr>
                <w:rFonts w:ascii="Times New Roman" w:cs="Times New Roman" w:eastAsia="Times New Roman" w:hAnsi="Times New Roman"/>
                <w:sz w:val="11"/>
                <w:szCs w:val="11"/>
                <w:b w:val="1"/>
                <w:bCs w:val="1"/>
                <w:color w:val="auto"/>
              </w:rPr>
              <w:t>Value (in millions) of</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Average Price Paid</w:t>
            </w:r>
          </w:p>
        </w:tc>
        <w:tc>
          <w:tcPr>
            <w:tcW w:w="80" w:type="dxa"/>
            <w:vAlign w:val="bottom"/>
          </w:tcPr>
          <w:p>
            <w:pPr>
              <w:spacing w:after="0"/>
              <w:rPr>
                <w:sz w:val="10"/>
                <w:szCs w:val="10"/>
                <w:color w:val="auto"/>
              </w:rPr>
            </w:pPr>
          </w:p>
        </w:tc>
        <w:tc>
          <w:tcPr>
            <w:tcW w:w="1320" w:type="dxa"/>
            <w:vAlign w:val="bottom"/>
          </w:tcPr>
          <w:p>
            <w:pPr>
              <w:jc w:val="center"/>
              <w:ind w:right="58"/>
              <w:spacing w:after="0" w:line="119" w:lineRule="exact"/>
              <w:rPr>
                <w:sz w:val="20"/>
                <w:szCs w:val="20"/>
                <w:color w:val="auto"/>
              </w:rPr>
            </w:pPr>
            <w:r>
              <w:rPr>
                <w:rFonts w:ascii="Times New Roman" w:cs="Times New Roman" w:eastAsia="Times New Roman" w:hAnsi="Times New Roman"/>
                <w:sz w:val="11"/>
                <w:szCs w:val="11"/>
                <w:b w:val="1"/>
                <w:bCs w:val="1"/>
                <w:color w:val="auto"/>
              </w:rPr>
              <w:t>Purchased as Part of</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right="138"/>
              <w:spacing w:after="0" w:line="119" w:lineRule="exact"/>
              <w:rPr>
                <w:sz w:val="20"/>
                <w:szCs w:val="20"/>
                <w:color w:val="auto"/>
              </w:rPr>
            </w:pPr>
            <w:r>
              <w:rPr>
                <w:rFonts w:ascii="Times New Roman" w:cs="Times New Roman" w:eastAsia="Times New Roman" w:hAnsi="Times New Roman"/>
                <w:sz w:val="11"/>
                <w:szCs w:val="11"/>
                <w:b w:val="1"/>
                <w:bCs w:val="1"/>
                <w:color w:val="auto"/>
              </w:rPr>
              <w:t>Ordinary Shares that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right="41"/>
              <w:spacing w:after="0" w:line="119"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center"/>
              <w:ind w:right="58"/>
              <w:spacing w:after="0" w:line="119" w:lineRule="exact"/>
              <w:rPr>
                <w:sz w:val="20"/>
                <w:szCs w:val="20"/>
                <w:color w:val="auto"/>
              </w:rPr>
            </w:pPr>
            <w:r>
              <w:rPr>
                <w:rFonts w:ascii="Times New Roman" w:cs="Times New Roman" w:eastAsia="Times New Roman" w:hAnsi="Times New Roman"/>
                <w:sz w:val="11"/>
                <w:szCs w:val="11"/>
                <w:b w:val="1"/>
                <w:bCs w:val="1"/>
                <w:color w:val="auto"/>
              </w:rPr>
              <w:t>Publicly Announced</w:t>
            </w:r>
          </w:p>
        </w:tc>
        <w:tc>
          <w:tcPr>
            <w:tcW w:w="60" w:type="dxa"/>
            <w:vAlign w:val="bottom"/>
          </w:tcPr>
          <w:p>
            <w:pPr>
              <w:spacing w:after="0"/>
              <w:rPr>
                <w:sz w:val="10"/>
                <w:szCs w:val="10"/>
                <w:color w:val="auto"/>
              </w:rPr>
            </w:pPr>
          </w:p>
        </w:tc>
        <w:tc>
          <w:tcPr>
            <w:tcW w:w="1340" w:type="dxa"/>
            <w:vAlign w:val="bottom"/>
            <w:gridSpan w:val="2"/>
          </w:tcPr>
          <w:p>
            <w:pPr>
              <w:jc w:val="center"/>
              <w:ind w:right="38"/>
              <w:spacing w:after="0" w:line="119" w:lineRule="exact"/>
              <w:rPr>
                <w:sz w:val="20"/>
                <w:szCs w:val="20"/>
                <w:color w:val="auto"/>
              </w:rPr>
            </w:pPr>
            <w:r>
              <w:rPr>
                <w:rFonts w:ascii="Times New Roman" w:cs="Times New Roman" w:eastAsia="Times New Roman" w:hAnsi="Times New Roman"/>
                <w:sz w:val="11"/>
                <w:szCs w:val="11"/>
                <w:b w:val="1"/>
                <w:bCs w:val="1"/>
                <w:color w:val="auto"/>
              </w:rPr>
              <w:t>May Yet Be Purchased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60" w:type="dxa"/>
            <w:vAlign w:val="bottom"/>
            <w:vMerge w:val="restart"/>
          </w:tcPr>
          <w:p>
            <w:pPr>
              <w:ind w:left="106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0" w:type="dxa"/>
            <w:vAlign w:val="bottom"/>
          </w:tcPr>
          <w:p>
            <w:pPr>
              <w:spacing w:after="0"/>
              <w:rPr>
                <w:sz w:val="10"/>
                <w:szCs w:val="10"/>
                <w:color w:val="auto"/>
              </w:rPr>
            </w:pPr>
          </w:p>
        </w:tc>
        <w:tc>
          <w:tcPr>
            <w:tcW w:w="1220" w:type="dxa"/>
            <w:vAlign w:val="bottom"/>
          </w:tcPr>
          <w:p>
            <w:pPr>
              <w:jc w:val="center"/>
              <w:ind w:right="1"/>
              <w:spacing w:after="0" w:line="116" w:lineRule="exact"/>
              <w:rPr>
                <w:sz w:val="20"/>
                <w:szCs w:val="20"/>
                <w:color w:val="auto"/>
              </w:rPr>
            </w:pPr>
            <w:r>
              <w:rPr>
                <w:rFonts w:ascii="Times New Roman" w:cs="Times New Roman" w:eastAsia="Times New Roman" w:hAnsi="Times New Roman"/>
                <w:sz w:val="11"/>
                <w:szCs w:val="11"/>
                <w:b w:val="1"/>
                <w:bCs w:val="1"/>
                <w:color w:val="auto"/>
              </w:rPr>
              <w:t>Purchased</w:t>
            </w:r>
          </w:p>
        </w:tc>
        <w:tc>
          <w:tcPr>
            <w:tcW w:w="80" w:type="dxa"/>
            <w:vAlign w:val="bottom"/>
          </w:tcPr>
          <w:p>
            <w:pPr>
              <w:spacing w:after="0"/>
              <w:rPr>
                <w:sz w:val="10"/>
                <w:szCs w:val="10"/>
                <w:color w:val="auto"/>
              </w:rPr>
            </w:pPr>
          </w:p>
        </w:tc>
        <w:tc>
          <w:tcPr>
            <w:tcW w:w="108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per Ordinary Share</w:t>
            </w:r>
          </w:p>
        </w:tc>
        <w:tc>
          <w:tcPr>
            <w:tcW w:w="80" w:type="dxa"/>
            <w:vAlign w:val="bottom"/>
          </w:tcPr>
          <w:p>
            <w:pPr>
              <w:spacing w:after="0"/>
              <w:rPr>
                <w:sz w:val="10"/>
                <w:szCs w:val="10"/>
                <w:color w:val="auto"/>
              </w:rPr>
            </w:pPr>
          </w:p>
        </w:tc>
        <w:tc>
          <w:tcPr>
            <w:tcW w:w="1320" w:type="dxa"/>
            <w:vAlign w:val="bottom"/>
          </w:tcPr>
          <w:p>
            <w:pPr>
              <w:jc w:val="center"/>
              <w:ind w:right="18"/>
              <w:spacing w:after="0" w:line="116" w:lineRule="exact"/>
              <w:rPr>
                <w:sz w:val="20"/>
                <w:szCs w:val="20"/>
                <w:color w:val="auto"/>
              </w:rPr>
            </w:pPr>
            <w:r>
              <w:rPr>
                <w:rFonts w:ascii="Times New Roman" w:cs="Times New Roman" w:eastAsia="Times New Roman" w:hAnsi="Times New Roman"/>
                <w:sz w:val="11"/>
                <w:szCs w:val="11"/>
                <w:b w:val="1"/>
                <w:bCs w:val="1"/>
                <w:color w:val="auto"/>
              </w:rPr>
              <w:t>Program</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right="118"/>
              <w:spacing w:after="0" w:line="116" w:lineRule="exact"/>
              <w:rPr>
                <w:sz w:val="20"/>
                <w:szCs w:val="20"/>
                <w:color w:val="auto"/>
              </w:rPr>
            </w:pPr>
            <w:r>
              <w:rPr>
                <w:rFonts w:ascii="Times New Roman" w:cs="Times New Roman" w:eastAsia="Times New Roman" w:hAnsi="Times New Roman"/>
                <w:sz w:val="11"/>
                <w:szCs w:val="11"/>
                <w:b w:val="1"/>
                <w:bCs w:val="1"/>
                <w:color w:val="auto"/>
              </w:rPr>
              <w:t>Under the Program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bottom w:val="single" w:sz="8" w:color="auto"/>
            </w:tcBorders>
          </w:tcPr>
          <w:p>
            <w:pPr>
              <w:jc w:val="center"/>
              <w:ind w:right="1"/>
              <w:spacing w:after="0" w:line="140" w:lineRule="exact"/>
              <w:rPr>
                <w:sz w:val="20"/>
                <w:szCs w:val="20"/>
                <w:color w:val="auto"/>
              </w:rPr>
            </w:pPr>
            <w:r>
              <w:rPr>
                <w:rFonts w:ascii="Times New Roman" w:cs="Times New Roman" w:eastAsia="Times New Roman" w:hAnsi="Times New Roman"/>
                <w:sz w:val="10"/>
                <w:szCs w:val="10"/>
                <w:b w:val="1"/>
                <w:bCs w:val="1"/>
                <w:color w:val="auto"/>
                <w:w w:val="99"/>
              </w:rPr>
              <w:t>(a)</w:t>
            </w:r>
            <w:r>
              <w:rPr>
                <w:rFonts w:ascii="Times New Roman" w:cs="Times New Roman" w:eastAsia="Times New Roman" w:hAnsi="Times New Roman"/>
                <w:sz w:val="16"/>
                <w:szCs w:val="16"/>
                <w:b w:val="1"/>
                <w:bCs w:val="1"/>
                <w:color w:val="auto"/>
                <w:w w:val="99"/>
                <w:vertAlign w:val="superscript"/>
              </w:rPr>
              <w:t>(1)</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(b)</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center"/>
              <w:ind w:right="18"/>
              <w:spacing w:after="0" w:line="140" w:lineRule="exact"/>
              <w:rPr>
                <w:sz w:val="20"/>
                <w:szCs w:val="20"/>
                <w:color w:val="auto"/>
              </w:rPr>
            </w:pPr>
            <w:r>
              <w:rPr>
                <w:rFonts w:ascii="Times New Roman" w:cs="Times New Roman" w:eastAsia="Times New Roman" w:hAnsi="Times New Roman"/>
                <w:sz w:val="10"/>
                <w:szCs w:val="10"/>
                <w:b w:val="1"/>
                <w:bCs w:val="1"/>
                <w:color w:val="auto"/>
              </w:rPr>
              <w:t>(c)</w:t>
            </w:r>
            <w:r>
              <w:rPr>
                <w:rFonts w:ascii="Times New Roman" w:cs="Times New Roman" w:eastAsia="Times New Roman" w:hAnsi="Times New Roman"/>
                <w:sz w:val="16"/>
                <w:szCs w:val="16"/>
                <w:b w:val="1"/>
                <w:bCs w:val="1"/>
                <w:color w:val="auto"/>
                <w:vertAlign w:val="superscript"/>
              </w:rPr>
              <w:t>(2)</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98"/>
              <w:spacing w:after="0" w:line="140" w:lineRule="exact"/>
              <w:rPr>
                <w:sz w:val="20"/>
                <w:szCs w:val="20"/>
                <w:color w:val="auto"/>
              </w:rPr>
            </w:pPr>
            <w:r>
              <w:rPr>
                <w:rFonts w:ascii="Times New Roman" w:cs="Times New Roman" w:eastAsia="Times New Roman" w:hAnsi="Times New Roman"/>
                <w:sz w:val="10"/>
                <w:szCs w:val="10"/>
                <w:b w:val="1"/>
                <w:bCs w:val="1"/>
                <w:color w:val="auto"/>
              </w:rPr>
              <w:t>(d)</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October 1, 2025 – October 31, 2025</w:t>
            </w:r>
          </w:p>
        </w:tc>
        <w:tc>
          <w:tcPr>
            <w:tcW w:w="13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31.11</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November 1, 2025 – November 30, 2025</w:t>
            </w: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color w:val="auto"/>
              </w:rPr>
              <w:t>3,046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31.60</w:t>
            </w:r>
          </w:p>
        </w:tc>
        <w:tc>
          <w:tcPr>
            <w:tcW w:w="80" w:type="dxa"/>
            <w:vAlign w:val="bottom"/>
          </w:tcPr>
          <w:p>
            <w:pPr>
              <w:spacing w:after="0"/>
              <w:rPr>
                <w:sz w:val="14"/>
                <w:szCs w:val="14"/>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29.43</w:t>
            </w:r>
          </w:p>
        </w:tc>
        <w:tc>
          <w:tcPr>
            <w:tcW w:w="8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Totals</w:t>
            </w: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color w:val="auto"/>
              </w:rPr>
              <w:t>8,559</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30.97</w:t>
            </w:r>
          </w:p>
        </w:tc>
        <w:tc>
          <w:tcPr>
            <w:tcW w:w="80" w:type="dxa"/>
            <w:vAlign w:val="bottom"/>
          </w:tcPr>
          <w:p>
            <w:pPr>
              <w:spacing w:after="0"/>
              <w:rPr>
                <w:sz w:val="14"/>
                <w:szCs w:val="14"/>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-135890</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-135890</wp:posOffset>
            </wp:positionV>
            <wp:extent cx="47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-135890</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54610</wp:posOffset>
            </wp:positionV>
            <wp:extent cx="130937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9370" cy="6985"/>
                    </a:xfrm>
                    <a:prstGeom prst="rect">
                      <a:avLst/>
                    </a:prstGeom>
                    <a:noFill/>
                  </pic:spPr>
                </pic:pic>
              </a:graphicData>
            </a:graphic>
          </wp:anchor>
        </w:drawing>
      </w:r>
    </w:p>
    <w:p>
      <w:pPr>
        <w:spacing w:after="0" w:line="92" w:lineRule="exact"/>
        <w:rPr>
          <w:sz w:val="20"/>
          <w:szCs w:val="20"/>
          <w:color w:val="auto"/>
        </w:rPr>
      </w:pPr>
    </w:p>
    <w:p>
      <w:pPr>
        <w:ind w:left="1240" w:right="919" w:hanging="344"/>
        <w:spacing w:after="0" w:line="252" w:lineRule="auto"/>
        <w:tabs>
          <w:tab w:leader="none" w:pos="124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ordinary shares acquired during the three months ended December 31, 2025 to satisfy tax withholding obligations related to the vesting of equity awards.</w:t>
      </w:r>
    </w:p>
    <w:p>
      <w:pPr>
        <w:ind w:left="1240" w:right="699" w:hanging="344"/>
        <w:spacing w:after="0" w:line="232" w:lineRule="auto"/>
        <w:tabs>
          <w:tab w:leader="none" w:pos="124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2E74B5"/>
        </w:rPr>
        <w:t>Irish taxes applicable to U.S. holders</w:t>
      </w:r>
    </w:p>
    <w:p>
      <w:pPr>
        <w:spacing w:after="0" w:line="11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The following is a general summary of the main Irish tax considerations applicable to the purchase, ownership and disposition of our ordinary shares by U.S. holders. It is based on existing Irish law and practices in effect on January 15, 2026, and on discussions and correspondence with the Irish Revenue Commissioners. Legislative, administrative or judicial changes may modify the tax consequences described below.</w:t>
      </w:r>
    </w:p>
    <w:p>
      <w:pPr>
        <w:spacing w:after="0" w:line="65"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The statements do not constitute tax advice and are intended only as a general guide. Furthermore, this information applies only to our ordinary shares held as capital assets and does not apply to all categories of shareholders, such as dealers in securities, trustees, insurance companies, collective investment schemes and shareholders who acquire, or who are deemed to acquire, their ordinary shares by virtue of an office or employment. The statements are in reference to individuals who are considered non-resident and non-ordinarily resident of Ireland for tax purposes. This summary is not exhaustive and shareholders should consult their own tax advisers as to the tax consequences in Ireland, or other relevant jurisdictions where we operate, including the acquisition, ownership and disposition of ordinary shares.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Withholding tax on dividends</w:t>
      </w:r>
    </w:p>
    <w:p>
      <w:pPr>
        <w:spacing w:after="0" w:line="133"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While we have no current plans to pay dividends, dividends on our ordinary shares would generally be subject to Irish dividend withholding tax (“DWT”) at 25%, unless an exemption applies. Dividends on our ordinary shares that are owned by residents of the U.S. and held beneficially through the Depositary Trust Company (“DTC”) will not be subject to DWT provided that the address of the beneficial owner of the ordinary shares in the records of the broker is in the U.S.</w:t>
      </w:r>
    </w:p>
    <w:p>
      <w:pPr>
        <w:spacing w:after="0" w:line="86"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Dividends on our ordinary shares that are owned by residents of the U.S. and held directly (outside of DTC) will not be subject to DWT provided that the shareholder that is the beneficial owner of such ordinary shares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76" w:lineRule="exact"/>
        <w:rPr>
          <w:sz w:val="20"/>
          <w:szCs w:val="20"/>
          <w:color w:val="auto"/>
        </w:rPr>
      </w:pPr>
    </w:p>
    <w:p>
      <w:pPr>
        <w:ind w:left="640" w:right="939" w:firstLine="351"/>
        <w:spacing w:after="0" w:line="292" w:lineRule="auto"/>
        <w:rPr>
          <w:sz w:val="20"/>
          <w:szCs w:val="20"/>
          <w:color w:val="auto"/>
        </w:rPr>
      </w:pPr>
      <w:r>
        <w:rPr>
          <w:rFonts w:ascii="Times New Roman" w:cs="Times New Roman" w:eastAsia="Times New Roman" w:hAnsi="Times New Roman"/>
          <w:sz w:val="14"/>
          <w:szCs w:val="14"/>
          <w:color w:val="auto"/>
        </w:rPr>
        <w:t>If any shareholder who is resident in the U.S. receives a dividend subject to DWT, they should generally be able to make an application for a refund from the Irish Revenue Commissioners on the prescribed form.</w:t>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Income tax on dividends</w:t>
      </w:r>
    </w:p>
    <w:p>
      <w:pPr>
        <w:spacing w:after="0" w:line="133"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Irish income tax, if any, may arise in respect of dividends paid by us. However, a shareholder who is neither resident nor ordinarily resident in Ireland and who is entitled to an exemption from DWT, generally has no liability for Irish income tax or to the universal social charge on a dividend from us, unless they hold their ordinary shares through a branch or agency in Ireland which carries out a trade on their behalf.</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Irish tax on capital gains</w:t>
      </w:r>
    </w:p>
    <w:p>
      <w:pPr>
        <w:spacing w:after="0" w:line="133"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A shareholder who is neither resident nor ordinarily resident in Ireland and does not hold our ordinary shares in connection with a trade or business carried on by such shareholder in Ireland through a branch or agency, should not be within the scope of the charge to Irish tax on capital gains on a disposal of our ordinary shares. A shareholder who is an individual and who is temporarily not resident in Ireland may, under Irish anti-avoidance legislation, still be liable for Irish tax on capital gains on any chargeable gain realized upon the disposal of our ordinary shares during the period in which such individual is a non-resident.</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Capital acquisitions tax</w:t>
      </w:r>
    </w:p>
    <w:p>
      <w:pPr>
        <w:spacing w:after="0" w:line="122"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Irish capital acquisitions tax (“CAT”) is comprised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86"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CAT is levied at a rate of 33% above certain tax-free thresholds. The appropriate tax-free threshold is dependent upon (i) the relationship between the donor and the recipient, and (ii) the aggregation of the values of previous gifts and inheritances received by the recipient from persons within the same category of relationship for CAT purposes. Gifts and inheritances passing between spouses are exempt from CAT. Our shareholders should consult their own tax advisers as to whether CAT is creditable or deductible in computing any domestic tax liabilities.</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Stamp duty</w:t>
      </w:r>
    </w:p>
    <w:p>
      <w:pPr>
        <w:spacing w:after="0" w:line="122"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Irish stamp duty, if any, may become payable in respect of ordinary share transfers. However, a transfer of our ordinary shares effected by means of book-entry interests in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which is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9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61" w:name="page62"/>
    <w:bookmarkEnd w:id="61"/>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2E74B5"/>
        </w:rPr>
        <w:t>Stock performance graph</w:t>
      </w:r>
    </w:p>
    <w:p>
      <w:pPr>
        <w:spacing w:after="0" w:line="133" w:lineRule="exact"/>
        <w:rPr>
          <w:sz w:val="20"/>
          <w:szCs w:val="20"/>
          <w:color w:val="auto"/>
        </w:rPr>
      </w:pPr>
    </w:p>
    <w:p>
      <w:pPr>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The information contained in the performance graph and related information below shall not be deemed to be “soliciting material” or to be “filed” with the SEC, and such information shall not be incorporated by reference into any future filing under the Securities Act or the Exchange Act, except to the extent that we specifically incorporate it by reference into such filing.</w:t>
      </w:r>
    </w:p>
    <w:p>
      <w:pPr>
        <w:spacing w:after="0" w:line="71" w:lineRule="exact"/>
        <w:rPr>
          <w:sz w:val="20"/>
          <w:szCs w:val="20"/>
          <w:color w:val="auto"/>
        </w:rPr>
      </w:pPr>
    </w:p>
    <w:p>
      <w:pPr>
        <w:ind w:left="640" w:right="679" w:firstLine="351"/>
        <w:spacing w:after="0" w:line="267" w:lineRule="auto"/>
        <w:rPr>
          <w:sz w:val="20"/>
          <w:szCs w:val="20"/>
          <w:color w:val="auto"/>
        </w:rPr>
      </w:pPr>
      <w:r>
        <w:rPr>
          <w:rFonts w:ascii="Times New Roman" w:cs="Times New Roman" w:eastAsia="Times New Roman" w:hAnsi="Times New Roman"/>
          <w:sz w:val="14"/>
          <w:szCs w:val="14"/>
          <w:color w:val="auto"/>
        </w:rPr>
        <w:t>The following graph compares the cumulative total shareholder return on our ordinary shares from December 31, 2020 through December 31, 2025 with the cumulative returns of the Nasdaq Composite Total Return Index and the Nasdaq Biotechnology Index. The comparison assumes $100 was invested on December 31, 2020 in our ordinary shares and in each of the foregoing indices and further assumes reinvestment of any dividends. We did not declare or pay any dividends on our ordinary shares during the comparison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181610</wp:posOffset>
            </wp:positionV>
            <wp:extent cx="4759960" cy="2707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59960" cy="270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9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980" w:type="dxa"/>
            <w:vAlign w:val="bottom"/>
          </w:tcPr>
          <w:p>
            <w:pPr>
              <w:spacing w:after="0"/>
              <w:rPr>
                <w:sz w:val="9"/>
                <w:szCs w:val="9"/>
                <w:color w:val="auto"/>
              </w:rPr>
            </w:pPr>
          </w:p>
        </w:tc>
        <w:tc>
          <w:tcPr>
            <w:tcW w:w="5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2020</w:t>
            </w: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tcPr>
          <w:p>
            <w:pPr>
              <w:jc w:val="right"/>
              <w:ind w:right="143"/>
              <w:spacing w:after="0" w:line="109" w:lineRule="exact"/>
              <w:rPr>
                <w:sz w:val="20"/>
                <w:szCs w:val="20"/>
                <w:color w:val="auto"/>
              </w:rPr>
            </w:pPr>
            <w:r>
              <w:rPr>
                <w:rFonts w:ascii="Times New Roman" w:cs="Times New Roman" w:eastAsia="Times New Roman" w:hAnsi="Times New Roman"/>
                <w:sz w:val="11"/>
                <w:szCs w:val="11"/>
                <w:b w:val="1"/>
                <w:bCs w:val="1"/>
                <w:color w:val="auto"/>
              </w:rPr>
              <w:t>2021</w:t>
            </w:r>
          </w:p>
        </w:tc>
        <w:tc>
          <w:tcPr>
            <w:tcW w:w="160" w:type="dxa"/>
            <w:vAlign w:val="bottom"/>
          </w:tcPr>
          <w:p>
            <w:pPr>
              <w:spacing w:after="0"/>
              <w:rPr>
                <w:sz w:val="9"/>
                <w:szCs w:val="9"/>
                <w:color w:val="auto"/>
              </w:rPr>
            </w:pPr>
          </w:p>
        </w:tc>
        <w:tc>
          <w:tcPr>
            <w:tcW w:w="620" w:type="dxa"/>
            <w:vAlign w:val="bottom"/>
            <w:tcBorders>
              <w:bottom w:val="single" w:sz="8" w:color="auto"/>
            </w:tcBorders>
          </w:tcPr>
          <w:p>
            <w:pPr>
              <w:jc w:val="right"/>
              <w:ind w:right="143"/>
              <w:spacing w:after="0" w:line="109"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9"/>
                <w:szCs w:val="9"/>
                <w:color w:val="auto"/>
              </w:rPr>
            </w:pPr>
          </w:p>
        </w:tc>
        <w:tc>
          <w:tcPr>
            <w:tcW w:w="620" w:type="dxa"/>
            <w:vAlign w:val="bottom"/>
            <w:tcBorders>
              <w:bottom w:val="single" w:sz="8" w:color="auto"/>
            </w:tcBorders>
          </w:tcPr>
          <w:p>
            <w:pPr>
              <w:jc w:val="right"/>
              <w:ind w:right="143"/>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9"/>
                <w:szCs w:val="9"/>
                <w:color w:val="auto"/>
              </w:rPr>
            </w:pPr>
          </w:p>
        </w:tc>
        <w:tc>
          <w:tcPr>
            <w:tcW w:w="620" w:type="dxa"/>
            <w:vAlign w:val="bottom"/>
            <w:tcBorders>
              <w:bottom w:val="single" w:sz="8" w:color="auto"/>
            </w:tcBorders>
          </w:tcPr>
          <w:p>
            <w:pPr>
              <w:jc w:val="right"/>
              <w:ind w:right="14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660" w:type="dxa"/>
            <w:vAlign w:val="bottom"/>
            <w:tcBorders>
              <w:bottom w:val="single" w:sz="8" w:color="auto"/>
            </w:tcBorders>
          </w:tcPr>
          <w:p>
            <w:pPr>
              <w:jc w:val="right"/>
              <w:ind w:right="16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63"/>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Alkermes</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FF0FC"/>
          </w:tcPr>
          <w:p>
            <w:pPr>
              <w:spacing w:after="0"/>
              <w:rPr>
                <w:sz w:val="14"/>
                <w:szCs w:val="14"/>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Nasdaq Composite Total Return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4"/>
                <w:szCs w:val="14"/>
                <w:color w:val="auto"/>
              </w:rPr>
            </w:pPr>
          </w:p>
        </w:tc>
      </w:tr>
      <w:tr>
        <w:trPr>
          <w:trHeight w:val="172"/>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Nasdaq Biotechnology Index</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FF0FC"/>
          </w:tcPr>
          <w:p>
            <w:pPr>
              <w:spacing w:after="0"/>
              <w:rPr>
                <w:sz w:val="14"/>
                <w:szCs w:val="14"/>
                <w:color w:val="auto"/>
              </w:rPr>
            </w:pPr>
          </w:p>
        </w:tc>
      </w:tr>
    </w:tbl>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6. </w:t>
      </w:r>
      <w:r>
        <w:rPr>
          <w:rFonts w:ascii="Times New Roman" w:cs="Times New Roman" w:eastAsia="Times New Roman" w:hAnsi="Times New Roman"/>
          <w:sz w:val="14"/>
          <w:szCs w:val="14"/>
          <w:b w:val="1"/>
          <w:bCs w:val="1"/>
          <w:i w:val="1"/>
          <w:iCs w:val="1"/>
          <w:color w:val="0070C0"/>
        </w:rPr>
        <w:t>[Reserved]</w:t>
      </w: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62" w:name="page63"/>
    <w:bookmarkEnd w:id="62"/>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7. </w:t>
      </w:r>
      <w:r>
        <w:rPr>
          <w:rFonts w:ascii="Times New Roman" w:cs="Times New Roman" w:eastAsia="Times New Roman" w:hAnsi="Times New Roman"/>
          <w:sz w:val="14"/>
          <w:szCs w:val="14"/>
          <w:b w:val="1"/>
          <w:bCs w:val="1"/>
          <w:i w:val="1"/>
          <w:iCs w:val="1"/>
          <w:color w:val="0070C0"/>
        </w:rPr>
        <w:t>Management’s Discussion and Analysis of Financial Condition and Results of Operations</w:t>
      </w:r>
    </w:p>
    <w:p>
      <w:pPr>
        <w:spacing w:after="0" w:line="165"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following should be read in conjunction with our consolidated financial statements and related notes beginning on page F-1 of this Annual Report. The following discussion contains forward-looking statements. Actual results may differ significantly from those projected in the forward-looking statements. See “Cautionary Note Concerning Forward-Looking Statements” on page 3 of this Annual Report. Factors that might cause future results to differ materially from those projected in the forward-looking statements also include, but are not limited to, those discussed in “Item 1A—Risk Factors” and elsewhere in this Annual Report. A detailed discussion of our 2023 financial condition and results of operations, and of 2024 year-over-year changes as compared to 2023, can be found in “Item 7—Management’s Discussion and Analysis of Financial Condition and Results of Operations” in our Annual Report on Form 10-K for the year ended December 31, 2024, which was filed with the SEC on February 12, 2025.</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Overview</w:t>
      </w:r>
    </w:p>
    <w:p>
      <w:pPr>
        <w:spacing w:after="0" w:line="13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a portfolio of proprietary products that we manufacture, market and/or sell in the U.S., which in 2025 was comprised of ARISTADA, ARISTADA INITIO, LYBALVI and VIVITROL. We also earned manufacturing and/or royalty revenues on net sales of products commercialized by our licensees, the most significant of which in 2025 were the long-acting INVEGA products and VUMERITY. We expect ARISTADA, ARISTADA INITIO, LYBALVI, VIVITROL and VUMERITY, and our new product, LUMRYZ, which we acquired and began to market and sell in the U.S. in February 2026, to generate significant revenues for us in the near- and medium-term as we believe these products are singular or competitively advantaged products in their classes.</w:t>
      </w:r>
    </w:p>
    <w:p>
      <w:pPr>
        <w:spacing w:after="0" w:line="80"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In 2025, our net income from continuing operations was $241.7 million, as compared to $372.1 million in 2024. The decrease in net income from continuing operations of $130.5 million was primarily due to an increase in total expenses of $84.9 million and a decrease of $182.8 million in manufacturing and royalty revenues. These items were partially offset by an increase in product sales, net of $101.1 million and a decrease in our income tax provision of $21.8 million. These items are discussed in further detail within the “Results of Operations” section below.</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Business Update</w:t>
      </w:r>
    </w:p>
    <w:p>
      <w:pPr>
        <w:spacing w:after="0" w:line="152" w:lineRule="exact"/>
        <w:rPr>
          <w:sz w:val="20"/>
          <w:szCs w:val="20"/>
          <w:color w:val="auto"/>
        </w:rPr>
      </w:pPr>
    </w:p>
    <w:p>
      <w:pPr>
        <w:ind w:left="640" w:right="819" w:firstLine="351"/>
        <w:spacing w:after="0" w:line="266" w:lineRule="auto"/>
        <w:rPr>
          <w:sz w:val="20"/>
          <w:szCs w:val="20"/>
          <w:color w:val="auto"/>
        </w:rPr>
      </w:pPr>
      <w:r>
        <w:rPr>
          <w:rFonts w:ascii="Times New Roman" w:cs="Times New Roman" w:eastAsia="Times New Roman" w:hAnsi="Times New Roman"/>
          <w:sz w:val="14"/>
          <w:szCs w:val="14"/>
          <w:color w:val="auto"/>
        </w:rPr>
        <w:t>In October 2025, we entered into the Transaction Agreement with Avadel, which was subsequently amended in November 2025, pursuant to which we agreed to acquire the entire issued and to be issued ordinary share capital of Avadel for consideration of</w:t>
      </w:r>
    </w:p>
    <w:p>
      <w:pPr>
        <w:spacing w:after="0" w:line="1" w:lineRule="exact"/>
        <w:rPr>
          <w:sz w:val="20"/>
          <w:szCs w:val="20"/>
          <w:color w:val="auto"/>
        </w:rPr>
      </w:pPr>
    </w:p>
    <w:p>
      <w:pPr>
        <w:ind w:left="640" w:right="939" w:hanging="2"/>
        <w:spacing w:after="0" w:line="260" w:lineRule="auto"/>
        <w:tabs>
          <w:tab w:leader="none" w:pos="81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$21.00 per Avadel Share, payable in cash at closing and (ii) a non-transferable CVR entitling holders of Avadel Shares to a potential additional cash payment of $1.50 per Avadel Share, contingent upon achievement of a certain specified milestone. On February 12, 2026, we successfully completed the Avadel Acquisition, adding both LUMRYZ to our portfolio of proprietary commercial products and a commercial organization with experience in narcolepsy. During the three months ended December 31, 2025, we incurred costs of approximately $10.0 million in connection with the Avadel Acquisition.</w:t>
      </w:r>
    </w:p>
    <w:p>
      <w:pPr>
        <w:spacing w:after="0" w:line="113"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In May 2024, we completed the sale of the Athlone Facility to Novo and entered into subcontracting arrangements to continue certain development and manufacturing activities performed at the Athlone Facility, which concluded by the end of 2025.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14"/>
          <w:szCs w:val="14"/>
          <w:b w:val="1"/>
          <w:bCs w:val="1"/>
          <w:color w:val="2E74B5"/>
        </w:rPr>
        <w:t>Results of Operations</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Product Sales, Net</w:t>
      </w:r>
    </w:p>
    <w:p>
      <w:pPr>
        <w:spacing w:after="0" w:line="133"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Our product sales, net, consisted of sales of ARISTADA, ARISTADA INITIO, LYBALVI and VIVITROL, primarily to wholesalers, specialty distributors and pharmacies. The following table presents the adjustments deducted from product sales, gross to arrive at product sales, net, for sales of these products during the years ended December 31, 2025 and 2024:</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23"/>
        </w:trPr>
        <w:tc>
          <w:tcPr>
            <w:tcW w:w="2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 except for % of Sales)</w:t>
            </w:r>
          </w:p>
        </w:tc>
        <w:tc>
          <w:tcPr>
            <w:tcW w:w="5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7"/>
              <w:spacing w:after="0" w:line="98"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Pr>
          <w:p>
            <w:pPr>
              <w:spacing w:after="0"/>
              <w:rPr>
                <w:sz w:val="8"/>
                <w:szCs w:val="8"/>
                <w:color w:val="auto"/>
              </w:rPr>
            </w:pPr>
          </w:p>
        </w:tc>
        <w:tc>
          <w:tcPr>
            <w:tcW w:w="940" w:type="dxa"/>
            <w:vAlign w:val="bottom"/>
            <w:tcBorders>
              <w:bottom w:val="single" w:sz="8" w:color="auto"/>
            </w:tcBorders>
          </w:tcPr>
          <w:p>
            <w:pPr>
              <w:ind w:left="240"/>
              <w:spacing w:after="0" w:line="98" w:lineRule="exact"/>
              <w:rPr>
                <w:sz w:val="20"/>
                <w:szCs w:val="20"/>
                <w:color w:val="auto"/>
              </w:rPr>
            </w:pPr>
            <w:r>
              <w:rPr>
                <w:rFonts w:ascii="Times New Roman" w:cs="Times New Roman" w:eastAsia="Times New Roman" w:hAnsi="Times New Roman"/>
                <w:sz w:val="10"/>
                <w:szCs w:val="10"/>
                <w:b w:val="1"/>
                <w:bCs w:val="1"/>
                <w:color w:val="auto"/>
              </w:rPr>
              <w:t>% of Sales</w:t>
            </w: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97"/>
              <w:spacing w:after="0" w:line="9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8"/>
                <w:szCs w:val="8"/>
                <w:color w:val="auto"/>
              </w:rPr>
            </w:pPr>
          </w:p>
        </w:tc>
        <w:tc>
          <w:tcPr>
            <w:tcW w:w="960" w:type="dxa"/>
            <w:vAlign w:val="bottom"/>
            <w:tcBorders>
              <w:bottom w:val="single" w:sz="8" w:color="auto"/>
            </w:tcBorders>
          </w:tcPr>
          <w:p>
            <w:pPr>
              <w:ind w:left="260"/>
              <w:spacing w:after="0" w:line="98" w:lineRule="exact"/>
              <w:rPr>
                <w:sz w:val="20"/>
                <w:szCs w:val="20"/>
                <w:color w:val="auto"/>
              </w:rPr>
            </w:pPr>
            <w:r>
              <w:rPr>
                <w:rFonts w:ascii="Times New Roman" w:cs="Times New Roman" w:eastAsia="Times New Roman" w:hAnsi="Times New Roman"/>
                <w:sz w:val="10"/>
                <w:szCs w:val="10"/>
                <w:b w:val="1"/>
                <w:bCs w:val="1"/>
                <w:color w:val="auto"/>
              </w:rPr>
              <w:t>% of Sales</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Product sales, gross</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2,212.5</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100.0  %</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2,119.5</w:t>
            </w:r>
          </w:p>
        </w:tc>
        <w:tc>
          <w:tcPr>
            <w:tcW w:w="1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61"/>
        </w:trPr>
        <w:tc>
          <w:tcPr>
            <w:tcW w:w="2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product sales, gross: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Medicaid rebates</w:t>
            </w: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(421.8)</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(19.1)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(454.0)</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(21.4) %</w:t>
            </w:r>
          </w:p>
        </w:tc>
        <w:tc>
          <w:tcPr>
            <w:tcW w:w="0" w:type="dxa"/>
            <w:vAlign w:val="bottom"/>
          </w:tcPr>
          <w:p>
            <w:pPr>
              <w:spacing w:after="0"/>
              <w:rPr>
                <w:sz w:val="1"/>
                <w:szCs w:val="1"/>
                <w:color w:val="auto"/>
              </w:rPr>
            </w:pPr>
          </w:p>
        </w:tc>
      </w:tr>
      <w:tr>
        <w:trPr>
          <w:trHeight w:val="161"/>
        </w:trPr>
        <w:tc>
          <w:tcPr>
            <w:tcW w:w="2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Chargebacks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(254.3)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(11.5) %</w:t>
            </w: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(231.5)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(10.9) %</w:t>
            </w:r>
          </w:p>
        </w:tc>
        <w:tc>
          <w:tcPr>
            <w:tcW w:w="0" w:type="dxa"/>
            <w:vAlign w:val="bottom"/>
          </w:tcPr>
          <w:p>
            <w:pPr>
              <w:spacing w:after="0"/>
              <w:rPr>
                <w:sz w:val="1"/>
                <w:szCs w:val="1"/>
                <w:color w:val="auto"/>
              </w:rPr>
            </w:pPr>
          </w:p>
        </w:tc>
      </w:tr>
      <w:tr>
        <w:trPr>
          <w:trHeight w:val="161"/>
        </w:trPr>
        <w:tc>
          <w:tcPr>
            <w:tcW w:w="2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Product discounts</w:t>
            </w: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(166.2)</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(7.5)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(155.1)</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(7.3) %</w:t>
            </w:r>
          </w:p>
        </w:tc>
        <w:tc>
          <w:tcPr>
            <w:tcW w:w="0" w:type="dxa"/>
            <w:vAlign w:val="bottom"/>
          </w:tcPr>
          <w:p>
            <w:pPr>
              <w:spacing w:after="0"/>
              <w:rPr>
                <w:sz w:val="1"/>
                <w:szCs w:val="1"/>
                <w:color w:val="auto"/>
              </w:rPr>
            </w:pPr>
          </w:p>
        </w:tc>
      </w:tr>
      <w:tr>
        <w:trPr>
          <w:trHeight w:val="161"/>
        </w:trPr>
        <w:tc>
          <w:tcPr>
            <w:tcW w:w="2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Medicare Part 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(79.5)</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 %</w:t>
            </w: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 %</w:t>
            </w:r>
          </w:p>
        </w:tc>
        <w:tc>
          <w:tcPr>
            <w:tcW w:w="0" w:type="dxa"/>
            <w:vAlign w:val="bottom"/>
          </w:tcPr>
          <w:p>
            <w:pPr>
              <w:spacing w:after="0"/>
              <w:rPr>
                <w:sz w:val="1"/>
                <w:szCs w:val="1"/>
                <w:color w:val="auto"/>
              </w:rPr>
            </w:pPr>
          </w:p>
        </w:tc>
      </w:tr>
      <w:tr>
        <w:trPr>
          <w:trHeight w:val="161"/>
        </w:trPr>
        <w:tc>
          <w:tcPr>
            <w:tcW w:w="2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(106.1)</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(4.8)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(112.4)</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 %</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adjustments</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(1,027.9)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(46.4) %</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(1,036.0)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(48.9)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Product sales, net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1,184.6</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line="152" w:lineRule="exact"/>
              <w:rPr>
                <w:sz w:val="20"/>
                <w:szCs w:val="20"/>
                <w:color w:val="auto"/>
              </w:rPr>
            </w:pPr>
            <w:r>
              <w:rPr>
                <w:rFonts w:ascii="Times New Roman" w:cs="Times New Roman" w:eastAsia="Times New Roman" w:hAnsi="Times New Roman"/>
                <w:sz w:val="10"/>
                <w:szCs w:val="10"/>
                <w:color w:val="auto"/>
              </w:rPr>
              <w:t xml:space="preserve">53.6  </w:t>
            </w:r>
            <w:r>
              <w:rPr>
                <w:rFonts w:ascii="Times New Roman" w:cs="Times New Roman" w:eastAsia="Times New Roman" w:hAnsi="Times New Roman"/>
                <w:sz w:val="17"/>
                <w:szCs w:val="17"/>
                <w:color w:val="auto"/>
                <w:vertAlign w:val="subscript"/>
              </w:rPr>
              <w:t>%</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1,083.5</w:t>
            </w: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52" w:lineRule="exact"/>
              <w:rPr>
                <w:sz w:val="20"/>
                <w:szCs w:val="20"/>
                <w:color w:val="auto"/>
              </w:rPr>
            </w:pPr>
            <w:r>
              <w:rPr>
                <w:rFonts w:ascii="Times New Roman" w:cs="Times New Roman" w:eastAsia="Times New Roman" w:hAnsi="Times New Roman"/>
                <w:sz w:val="10"/>
                <w:szCs w:val="10"/>
                <w:color w:val="auto"/>
              </w:rPr>
              <w:t xml:space="preserve">51.1  </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-238125</wp:posOffset>
            </wp:positionV>
            <wp:extent cx="476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-238125</wp:posOffset>
            </wp:positionV>
            <wp:extent cx="476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-238125</wp:posOffset>
            </wp:positionV>
            <wp:extent cx="476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-238125</wp:posOffset>
            </wp:positionV>
            <wp:extent cx="476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-19685</wp:posOffset>
            </wp:positionV>
            <wp:extent cx="476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-6350</wp:posOffset>
            </wp:positionV>
            <wp:extent cx="47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-19685</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-6350</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-19685</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476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-19685</wp:posOffset>
            </wp:positionV>
            <wp:extent cx="476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-6350</wp:posOffset>
            </wp:positionV>
            <wp:extent cx="476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73" w:lineRule="exact"/>
        <w:rPr>
          <w:sz w:val="20"/>
          <w:szCs w:val="20"/>
          <w:color w:val="auto"/>
        </w:rPr>
      </w:pPr>
    </w:p>
    <w:p>
      <w:pPr>
        <w:ind w:left="640" w:right="919" w:firstLine="351"/>
        <w:spacing w:after="0" w:line="274" w:lineRule="auto"/>
        <w:rPr>
          <w:sz w:val="20"/>
          <w:szCs w:val="20"/>
          <w:color w:val="auto"/>
        </w:rPr>
      </w:pPr>
      <w:r>
        <w:rPr>
          <w:rFonts w:ascii="Times New Roman" w:cs="Times New Roman" w:eastAsia="Times New Roman" w:hAnsi="Times New Roman"/>
          <w:sz w:val="14"/>
          <w:szCs w:val="14"/>
          <w:color w:val="auto"/>
        </w:rPr>
        <w:t>The increase in product sales, gross was due to a 19% increase in the number of units sold for LYBALVI and a 3% price increase for each of LYBALVI, ARISTADA/ARISTADA INITIO and VIVITROL that went into effect in January 2025, partially offset by decreases of 3% and 2% in the number of units sold for VIVITROL and ARISTADA/ARISTADA INITIO, respectively.</w:t>
      </w:r>
    </w:p>
    <w:p>
      <w:pPr>
        <w:spacing w:after="0" w:line="82" w:lineRule="exact"/>
        <w:rPr>
          <w:sz w:val="20"/>
          <w:szCs w:val="20"/>
          <w:color w:val="auto"/>
        </w:rPr>
      </w:pPr>
    </w:p>
    <w:p>
      <w:pPr>
        <w:ind w:left="640" w:right="959" w:firstLine="351"/>
        <w:spacing w:after="0" w:line="274" w:lineRule="auto"/>
        <w:rPr>
          <w:sz w:val="20"/>
          <w:szCs w:val="20"/>
          <w:color w:val="auto"/>
        </w:rPr>
      </w:pPr>
      <w:r>
        <w:rPr>
          <w:rFonts w:ascii="Times New Roman" w:cs="Times New Roman" w:eastAsia="Times New Roman" w:hAnsi="Times New Roman"/>
          <w:sz w:val="14"/>
          <w:szCs w:val="14"/>
          <w:color w:val="auto"/>
        </w:rPr>
        <w:t>The decrease in Medicaid rebates as a percentage of sales was primarily due to gross-to-net favorability, as actual Medicaid rebates related to VIVITROL and ARISTADA/ARISTADA INITIO were lower than original estimates by approximately $26.7 million and $13.6 million, respectively.</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compares product sales, net earned during the years ended December 31, 2025 and 2024:</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360" w:type="dxa"/>
            <w:vAlign w:val="bottom"/>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9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VIVITROL</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ARISTADA and ARISTADA INITIO</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LYBALVI</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Product sales, net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-135890</wp:posOffset>
            </wp:positionV>
            <wp:extent cx="476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-135890</wp:posOffset>
            </wp:positionV>
            <wp:extent cx="476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73"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A number of companies currently market and/or are developing products to treat addiction, including alcohol and opioid dependence, that may compete with, and negatively impact, future sales of VIVITROL. In addition, the latest to expire of our patents covering VIVITROL will expire in 2029 in the U.S. and we expect generic versions of VIVITROL to enter the market in 2027. Pursuant to the terms of a confidential settlement and license agreement entered into in August 2023 with Teva, we granted Teva a non-exclusive, royalty-free, non-transferable, non-sublicensable limited license under the remaining patent covering VIVITROL to market and sell a generic version of VIVITROL in the U.S. beginning on the First Entry Date, or earlier under certain circumstances. Under the terms of a settlement and license agreement entered into in July 2019 with Amneal, we granted Amneal a non-exclusive license under certain patents covering VIVITROL, including the remaining patent covering VIVITROL in the U.S., to market and sell a generic formulation of VIVITROL in the U.S. beginning on the earlier of the First Entry Date, sometime in 2028 or earlier under certain circumstances, and in September 2025, entered into an authorized generic product supply agreement (the “AG Agreement”) with Amneal, pursuant to which we granted Amneal certain rights to distribute and sell in the U.S. an authorized generic version of VIVITROL for a one-year term beginning on the date of a Third Party ANDA Product Launch (as defined in the AG Agreement), subject to certain conditions set forth in the AG Agreement. Increased competition may lead to reduced unit sales of VIVITROL and increased pricing pressure.</w:t>
      </w:r>
    </w:p>
    <w:p>
      <w:pPr>
        <w:spacing w:after="0" w:line="265"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A number of companies currently market and/or are developing products to treat schizophrenia and/or bipolar I disorder that may compete with and negatively impact future sales of ARISTADA, ARISTADA INITIO and LYBALVI. Increased competition may lead to reduced unit sales of ARISTADA, ARISTADA INITIO and LYBALVI and increased pricing pressure. The latest to expire of our patents covering ARISTADA and ARISTADA INITIO in the U.S. will expire in 2039; and, as such, we do not anticipate any generic versions of these products to enter the market in the near term. The latest to expire of our patents covering LYBALVI in the U.S. will expire in 2041. We are currently engaged in Paragraph IV litigation with certain entities in respect of certain of the Company’s patents related to LYBALVI with expiration dates between 2032 and 2041. For a discussion of these legal proceedings, see Note 19,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Consolidated Financial Statements” in this Annual Report and for information regarding the risks relating to these legal proceedings, see “Risks Related to our Intellectual Property—Uncertainty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64" w:name="page65"/>
    <w:bookmarkEnd w:id="64"/>
    <w:p>
      <w:pPr>
        <w:ind w:left="640" w:right="719"/>
        <w:spacing w:after="0" w:line="285" w:lineRule="auto"/>
        <w:rPr>
          <w:sz w:val="20"/>
          <w:szCs w:val="20"/>
          <w:color w:val="auto"/>
        </w:rPr>
      </w:pPr>
      <w:r>
        <w:rPr>
          <w:rFonts w:ascii="Times New Roman" w:cs="Times New Roman" w:eastAsia="Times New Roman" w:hAnsi="Times New Roman"/>
          <w:sz w:val="14"/>
          <w:szCs w:val="14"/>
          <w:color w:val="auto"/>
        </w:rPr>
        <w:t>over IP in the biopharmaceutical industry has been the source of litigation and other legal proceedings, and we and our licensees have previously and may in the future face claims against IP rights covering our products and competition from generic drug manufacturers”.</w:t>
      </w: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Manufacturing and Royalty Revenues</w:t>
      </w:r>
    </w:p>
    <w:p>
      <w:pPr>
        <w:spacing w:after="0" w:line="122"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Substantially all of our manufacturing revenue was recognized at the point in time that the product has been fully manufactured. Royalties earned on our licensees’ net sales of products using our proprietary technologies and our licensed product were recognized in the period such products were sold by our licensees. The following table compares manufacturing and royalty revenues earned in the years ended December 31, 2025 and 2024:</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42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ind w:right="31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Manufacturing and royalty revenues:</w:t>
            </w:r>
          </w:p>
        </w:tc>
        <w:tc>
          <w:tcPr>
            <w:tcW w:w="2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Long-acting INVEGA products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72"/>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VUMERITY</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2"/>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RISPERDAL CONSTA</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2"/>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Manufacturing and royalty revenues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-135890</wp:posOffset>
            </wp:positionV>
            <wp:extent cx="476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-135890</wp:posOffset>
            </wp:positionV>
            <wp:extent cx="476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decrease in royalty revenues related to the long-acting INVEGA products was primarily due to the expiration of our royalty on net sales of INVEGA SUSTENNA in the U.S. in August 2024. Although we expect royalty revenues related to U.S. net sales of INVEGA TRINZA and INVEGA HAFYERA through certain specified dates in 2030, total royalty revenues from net sales of the long-acting INVEGA products have been, and we expect will continue to be lower as the royalty revenues related to U.S. net sales of INVEGA SUSTENNA comprised a significant portion of the overall royalty revenues from the long-acting INVEGA products. In addition, INVEGA SUSTENNA is currently subject to Paragraph IV litigation in response to companies seeking to market generic versions of such product. Though we no longer receive royalties from INVEGA SUSTENNA in the U.S., increased competition from new products or generic versions of any one or more of the long-acting INVEGA products may lead to reduced unit sales of all of the long-acting INVEGA products, including those not yet genericized, and increased pricing pressure.</w:t>
      </w:r>
    </w:p>
    <w:p>
      <w:pPr>
        <w:spacing w:after="0" w:line="149" w:lineRule="exact"/>
        <w:rPr>
          <w:sz w:val="20"/>
          <w:szCs w:val="20"/>
          <w:color w:val="auto"/>
        </w:rPr>
      </w:pPr>
    </w:p>
    <w:p>
      <w:pPr>
        <w:jc w:val="both"/>
        <w:ind w:left="640" w:right="919" w:firstLine="351"/>
        <w:spacing w:after="0" w:line="274" w:lineRule="auto"/>
        <w:rPr>
          <w:sz w:val="20"/>
          <w:szCs w:val="20"/>
          <w:color w:val="auto"/>
        </w:rPr>
      </w:pPr>
      <w:r>
        <w:rPr>
          <w:rFonts w:ascii="Times New Roman" w:cs="Times New Roman" w:eastAsia="Times New Roman" w:hAnsi="Times New Roman"/>
          <w:sz w:val="14"/>
          <w:szCs w:val="14"/>
          <w:color w:val="auto"/>
        </w:rPr>
        <w:t>For additional discussion of our agreements with Janssen related to the long-acting INVEGA products, including the royalty provisions set forth therein and the related completed arbitration proceedings and outcome, see the section entitled “</w:t>
      </w:r>
      <w:r>
        <w:rPr>
          <w:rFonts w:ascii="Times New Roman" w:cs="Times New Roman" w:eastAsia="Times New Roman" w:hAnsi="Times New Roman"/>
          <w:sz w:val="14"/>
          <w:szCs w:val="14"/>
          <w:i w:val="1"/>
          <w:iCs w:val="1"/>
          <w:color w:val="auto"/>
        </w:rPr>
        <w:t>Collaborative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Arrangements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Janssen</w:t>
      </w:r>
      <w:r>
        <w:rPr>
          <w:rFonts w:ascii="Times New Roman" w:cs="Times New Roman" w:eastAsia="Times New Roman" w:hAnsi="Times New Roman"/>
          <w:sz w:val="14"/>
          <w:szCs w:val="14"/>
          <w:color w:val="auto"/>
        </w:rPr>
        <w:t>” in “Item 1—Business” in this Annual Report.</w:t>
      </w:r>
    </w:p>
    <w:p>
      <w:pPr>
        <w:spacing w:after="0" w:line="114"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decrease in VUMERITY revenue was due to a $22.8 million decrease in manufacturing revenue, primarily due to a reduction in the number of batches manufactured for sale to Biogen, partially offset by a $19.2 million increase in royalty revenue, due to an increase in end-market sales of the product. For a discussion of our agreements with Biogen related to VUMERITY, including the manufacturing and royalty revenue provisions set forth therein, see the section entitled “</w:t>
      </w:r>
      <w:r>
        <w:rPr>
          <w:rFonts w:ascii="Times New Roman" w:cs="Times New Roman" w:eastAsia="Times New Roman" w:hAnsi="Times New Roman"/>
          <w:sz w:val="14"/>
          <w:szCs w:val="14"/>
          <w:i w:val="1"/>
          <w:iCs w:val="1"/>
          <w:color w:val="auto"/>
        </w:rPr>
        <w:t>Collaborative Arrangements—Biogen</w:t>
      </w:r>
      <w:r>
        <w:rPr>
          <w:rFonts w:ascii="Times New Roman" w:cs="Times New Roman" w:eastAsia="Times New Roman" w:hAnsi="Times New Roman"/>
          <w:sz w:val="14"/>
          <w:szCs w:val="14"/>
          <w:color w:val="auto"/>
        </w:rPr>
        <w:t>” in “Item 1—Business” in this Annual Report.</w:t>
      </w:r>
    </w:p>
    <w:p>
      <w:pPr>
        <w:spacing w:after="0" w:line="110"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decrease in revenue related to RISPERDAL CONSTA was primarily due to a $3.6 million decrease in manufacturing revenue, primarily due to a decrease in the number of batches made available to Janssen for sale in the U.S., which has a higher selling price than product sold outside of the U.S. We expect revenues from RISPERDAL CONSTA to continue to decrease as patents covering RISPERDAL CONSTA continue to expire in markets where end-market net sales of RISPERDAL CONSTA occur. We are aware of generic and other competition to RISPERDAL CONSTA that may lead to reduced unit sales and increased pricing pressure. For a discussion of our agreements with Janssen related to RISPERDAL CONSTA, including the manufacturing provisions set forth therein, see the section entitled “</w:t>
      </w:r>
      <w:r>
        <w:rPr>
          <w:rFonts w:ascii="Times New Roman" w:cs="Times New Roman" w:eastAsia="Times New Roman" w:hAnsi="Times New Roman"/>
          <w:sz w:val="14"/>
          <w:szCs w:val="14"/>
          <w:i w:val="1"/>
          <w:iCs w:val="1"/>
          <w:color w:val="auto"/>
        </w:rPr>
        <w:t>Collaborative Arrangements—Janssen</w:t>
      </w:r>
      <w:r>
        <w:rPr>
          <w:rFonts w:ascii="Times New Roman" w:cs="Times New Roman" w:eastAsia="Times New Roman" w:hAnsi="Times New Roman"/>
          <w:sz w:val="14"/>
          <w:szCs w:val="14"/>
          <w:color w:val="auto"/>
        </w:rPr>
        <w:t>” in “Item 1—Business” in this Annual Report.</w:t>
      </w:r>
    </w:p>
    <w:p>
      <w:pPr>
        <w:spacing w:after="0" w:line="112" w:lineRule="exact"/>
        <w:rPr>
          <w:sz w:val="20"/>
          <w:szCs w:val="20"/>
          <w:color w:val="auto"/>
        </w:rPr>
      </w:pPr>
    </w:p>
    <w:p>
      <w:pPr>
        <w:ind w:left="640" w:right="979" w:firstLine="351"/>
        <w:spacing w:after="0" w:line="274" w:lineRule="auto"/>
        <w:rPr>
          <w:sz w:val="20"/>
          <w:szCs w:val="20"/>
          <w:color w:val="auto"/>
        </w:rPr>
      </w:pPr>
      <w:r>
        <w:rPr>
          <w:rFonts w:ascii="Times New Roman" w:cs="Times New Roman" w:eastAsia="Times New Roman" w:hAnsi="Times New Roman"/>
          <w:sz w:val="14"/>
          <w:szCs w:val="14"/>
          <w:color w:val="auto"/>
        </w:rPr>
        <w:t>The decrease in Other manufacturing and royalty revenue was primarily due to a $36.6 million decrease in revenue from FAMPYRA, as our manufacturing obligations for FAMPYRA concluded on December 31, 2024, and a $10.5 million decrease in manufacturing revenue from certain of our other legacy products.</w:t>
      </w:r>
    </w:p>
    <w:p>
      <w:pPr>
        <w:spacing w:after="0" w:line="114" w:lineRule="exact"/>
        <w:rPr>
          <w:sz w:val="20"/>
          <w:szCs w:val="20"/>
          <w:color w:val="auto"/>
        </w:rPr>
      </w:pPr>
    </w:p>
    <w:p>
      <w:pPr>
        <w:ind w:left="640" w:right="699" w:firstLine="351"/>
        <w:spacing w:after="0" w:line="267" w:lineRule="auto"/>
        <w:rPr>
          <w:sz w:val="20"/>
          <w:szCs w:val="20"/>
          <w:color w:val="auto"/>
        </w:rPr>
      </w:pPr>
      <w:r>
        <w:rPr>
          <w:rFonts w:ascii="Times New Roman" w:cs="Times New Roman" w:eastAsia="Times New Roman" w:hAnsi="Times New Roman"/>
          <w:sz w:val="14"/>
          <w:szCs w:val="14"/>
          <w:color w:val="auto"/>
        </w:rPr>
        <w:t>Certain of our manufacturing and royalty revenues are earned in countries outside of the U.S. and are denominated in currencies in which the product is sold. See “Item 7A—Quantitative and Qualitative Disclosures about Market Risk” in this Annual Report for information on currency exchange rate risk related to our revenues and “Item 1A—Risk Factors” in this Annual Report, and specifically the section entitled “Currency exchange rates may affect revenues and expenses” for risks related to currency exchange rates.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4"/>
          <w:szCs w:val="14"/>
          <w:b w:val="1"/>
          <w:bCs w:val="1"/>
          <w:color w:val="2E74B5"/>
        </w:rPr>
        <w:t>Costs and Expenses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Cost of Goods Manufactured and Sold</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1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tcPr>
          <w:p>
            <w:pPr>
              <w:spacing w:after="0"/>
              <w:rPr>
                <w:sz w:val="11"/>
                <w:szCs w:val="11"/>
                <w:color w:val="auto"/>
              </w:rPr>
            </w:pPr>
          </w:p>
        </w:tc>
        <w:tc>
          <w:tcPr>
            <w:tcW w:w="18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1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 manufactured and sold</w:t>
            </w: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1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-19685</wp:posOffset>
            </wp:positionV>
            <wp:extent cx="476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-6350</wp:posOffset>
            </wp:positionV>
            <wp:extent cx="476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-19685</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-6350</wp:posOffset>
            </wp:positionV>
            <wp:extent cx="476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The decrease in the cost of goods manufactured and sold was primarily related to a $43.7 million decrease in the cost of goods manufactured for certain legacy products following the sale of the Athlone Facility in May 2024. We also had decreases in the cost of goods sold for certain of our proprietary products, primarily due to decreases in costs related to out-of-specification batches and investigation costs. These decreases were partially offset by an increase in the cost of goods sold for LYBALVI due to an increase in the number of units sold, as discussed above.</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Research and Development Expenses</w:t>
      </w:r>
    </w:p>
    <w:p>
      <w:pPr>
        <w:spacing w:after="0" w:line="154"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For each of our R&amp;D programs, we incur both external and internal expenses. External R&amp;D expenses include fees for clinical and preclinical activities performed by CROs,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123"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sets forth our external R&amp;D expenses for the years ended December 31, 2025 and 2024 relating to our then-current development programs and our internal R&amp;D expenses, listed by the nature of such expenses: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34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ind w:right="33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ind w:right="3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External R&amp;D expenses:</w:t>
            </w:r>
          </w:p>
        </w:tc>
        <w:tc>
          <w:tcPr>
            <w:tcW w:w="8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programs: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Alixorexton</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LYBALVI</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external R&amp;D expenses</w:t>
            </w:r>
          </w:p>
        </w:tc>
        <w:tc>
          <w:tcPr>
            <w:tcW w:w="8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external R&amp;D expenses</w:t>
            </w: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Internal R&amp;D expenses:</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Employee-related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2"/>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3"/>
        </w:trPr>
        <w:tc>
          <w:tcPr>
            <w:tcW w:w="34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4"/>
                <w:szCs w:val="14"/>
                <w:color w:val="auto"/>
              </w:rPr>
              <w:t>Total internal R&amp;D expenses</w:t>
            </w:r>
          </w:p>
        </w:tc>
        <w:tc>
          <w:tcPr>
            <w:tcW w:w="88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8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8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-920115</wp:posOffset>
            </wp:positionV>
            <wp:extent cx="476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-920115</wp:posOffset>
            </wp:positionV>
            <wp:extent cx="476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-920115</wp:posOffset>
            </wp:positionV>
            <wp:extent cx="5461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-251460</wp:posOffset>
            </wp:positionV>
            <wp:extent cx="4762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-251460</wp:posOffset>
            </wp:positionV>
            <wp:extent cx="476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-251460</wp:posOffset>
            </wp:positionV>
            <wp:extent cx="5461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-19685</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-6350</wp:posOffset>
            </wp:positionV>
            <wp:extent cx="4762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-19685</wp:posOffset>
            </wp:positionV>
            <wp:extent cx="476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-6350</wp:posOffset>
            </wp:positionV>
            <wp:extent cx="476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73"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86"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increase in expenses related to alixorexton was primarily due to increased spend related to the advancement of the development program for the product, including initiation of our Vibrance-3 phase 2 clinical study, costs related to the completion of our Vibrance-1 and Vibrance-2 phase 2 studies, startup costs related to planning for our phase 3 clinical program and costs related to our long-term extension study for the product. The increase in other external R&amp;D expenses was primarily due to activities associated with our preclinical development programs. We expect R&amp;D expense to increase in 2026, as we plan to initiate the phase 3 program for alixorexton and as ALKS 4510 and ALKS 7290, two internal early-stage development candidates which entered the clinic in 2025, advance.</w:t>
      </w:r>
    </w:p>
    <w:p>
      <w:pPr>
        <w:spacing w:after="0" w:line="91"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The increase in employee-related expenses was primarily due to increases in labor and benefits expense related to a 7% increase in R&amp;D-related headcount during 2025.</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66" w:name="page67"/>
    <w:bookmarkEnd w:id="66"/>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Selling, General and Administrative Expenses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4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3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3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701.5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-19685</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-6350</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-19685</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-6350</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83"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The increase in selling and marketing expense was primarily due to increases of $33.3 million and $9.4 million in employee-related expenses and certain sales and marketing-related training programs and materials, respectively, due to a 10% increase in sales and marketing-related headcount, partially offset by a $9.5 million decrease in marketing spend, primarily related to decreases in media spend for our proprietary products.</w:t>
      </w:r>
    </w:p>
    <w:p>
      <w:pPr>
        <w:spacing w:after="0" w:line="86"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The increase in general and administrative expense was primarily due to a $12.5 million increase in employee-related expenses, primarily due to a 9% increase in general and administrative-related headcount and a $10.7 million increase in professional service fees, primarily related to the Avadel Acquisition.</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Other Income, Net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1"/>
                <w:szCs w:val="11"/>
                <w:color w:val="auto"/>
              </w:rPr>
            </w:pPr>
          </w:p>
        </w:tc>
        <w:tc>
          <w:tcPr>
            <w:tcW w:w="2140" w:type="dxa"/>
            <w:vAlign w:val="bottom"/>
            <w:gridSpan w:val="6"/>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Pr>
          <w:p>
            <w:pPr>
              <w:spacing w:after="0"/>
              <w:rPr>
                <w:sz w:val="11"/>
                <w:szCs w:val="11"/>
                <w:color w:val="auto"/>
              </w:rPr>
            </w:pP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280" w:type="dxa"/>
            <w:vAlign w:val="bottom"/>
            <w:vMerge w:val="continue"/>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33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33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other income, net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-135890</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-135890</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83"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Interest income consists of interest earned on our cash and available-for-sale investments. Interest expense consisted, in 2025, of financing costs related to the amended and restated bridge term loan credit agreement that we entered into on November 18, 2025, which provided for a senior secured bridge term loan facility in an aggregate amount of up to approximately $1.5 billion to fund the Avadel Acquisition (the “Bridge Credit Agreement”) and, in 2024, of previously outstanding term loans (the “Former Term Loans”) that were scheduled to become due in 2026 under our former amended and restated credit agreement, which we prepaid in full and terminated in December 2024. See Note 11,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Consolidated Financial Statements” in this Annual Report for additional information regarding the Bridge Credit Agreement and Former Term Loans.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Income Tax Provision</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7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40" w:type="dxa"/>
            <w:vAlign w:val="bottom"/>
          </w:tcPr>
          <w:p>
            <w:pPr>
              <w:spacing w:after="0"/>
              <w:rPr>
                <w:sz w:val="11"/>
                <w:szCs w:val="11"/>
                <w:color w:val="auto"/>
              </w:rPr>
            </w:pPr>
          </w:p>
        </w:tc>
        <w:tc>
          <w:tcPr>
            <w:tcW w:w="184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Borders>
              <w:bottom w:val="single" w:sz="8" w:color="auto"/>
            </w:tcBorders>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2200" w:type="dxa"/>
            <w:vAlign w:val="bottom"/>
            <w:gridSpan w:val="2"/>
            <w:shd w:val="clear" w:color="auto" w:fill="CFF0FC"/>
          </w:tcPr>
          <w:p>
            <w:pPr>
              <w:jc w:val="right"/>
              <w:ind w:right="54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40" w:type="dxa"/>
            <w:vAlign w:val="bottom"/>
            <w:gridSpan w:val="2"/>
            <w:shd w:val="clear" w:color="auto" w:fill="CFF0FC"/>
          </w:tcPr>
          <w:p>
            <w:pPr>
              <w:jc w:val="right"/>
              <w:ind w:right="54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-19685</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-6350</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-19685</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-6350</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83"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The income tax provisions in 2025 and 2024 were primarily due to taxes on income earned in Ireland. Our effective tax rate during the year ended December 31, 2025 was 17.1%, which exceeds the Irish statutory tax rate of 12.5%, primarily due to non-deductible expenses and income that was taxable at rates higher than the Irish statutory tax rate. Our effective tax rate during the year ended December 31, 2024 was 16.1%. The increase in the effective tax rate was primarily due to an increase in income taxable at rates higher than the Irish statutory tax rate. The new corporate minimum tax rate of 15% did not have a material impact on our business in 2025 and 2024.</w:t>
      </w:r>
    </w:p>
    <w:p>
      <w:pPr>
        <w:spacing w:after="0" w:line="91" w:lineRule="exact"/>
        <w:rPr>
          <w:sz w:val="20"/>
          <w:szCs w:val="20"/>
          <w:color w:val="auto"/>
        </w:rPr>
      </w:pPr>
    </w:p>
    <w:p>
      <w:pPr>
        <w:ind w:left="640" w:right="999" w:firstLine="351"/>
        <w:spacing w:after="0" w:line="268" w:lineRule="auto"/>
        <w:rPr>
          <w:sz w:val="20"/>
          <w:szCs w:val="20"/>
          <w:color w:val="auto"/>
        </w:rPr>
      </w:pPr>
      <w:r>
        <w:rPr>
          <w:rFonts w:ascii="Times New Roman" w:cs="Times New Roman" w:eastAsia="Times New Roman" w:hAnsi="Times New Roman"/>
          <w:sz w:val="14"/>
          <w:szCs w:val="14"/>
          <w:color w:val="auto"/>
        </w:rPr>
        <w:t>Cumulative unremitted earnings of U.S. subsidiaries totaled approximately $965.7 million as of December 31, 2025. In the event of a repatriation of those earnings in the form of dividends or otherwise, we may be liable for income taxes, subject to adjustment, if any, for foreign tax credits and foreign withholding taxes payable to foreign tax authorities. We estimate that approximately $70.0 million of income taxes would be payable on the repatriation of the unremitted earnings to Ireland.</w:t>
      </w:r>
    </w:p>
    <w:p>
      <w:pPr>
        <w:spacing w:after="0" w:line="76" w:lineRule="exact"/>
        <w:rPr>
          <w:sz w:val="20"/>
          <w:szCs w:val="20"/>
          <w:color w:val="auto"/>
        </w:rPr>
      </w:pPr>
    </w:p>
    <w:p>
      <w:pPr>
        <w:ind w:left="640" w:right="939" w:firstLine="351"/>
        <w:spacing w:after="0" w:line="261" w:lineRule="auto"/>
        <w:rPr>
          <w:sz w:val="20"/>
          <w:szCs w:val="20"/>
          <w:color w:val="auto"/>
        </w:rPr>
      </w:pPr>
      <w:r>
        <w:rPr>
          <w:rFonts w:ascii="Times New Roman" w:cs="Times New Roman" w:eastAsia="Times New Roman" w:hAnsi="Times New Roman"/>
          <w:sz w:val="14"/>
          <w:szCs w:val="14"/>
          <w:color w:val="auto"/>
        </w:rPr>
        <w:t>As of December 31, 2025, we had $210.2 million of Irish NOL carryforwards, $13.6 million of U.S. federal NOL carryforwards, $43.2 million of state NOL carryforwards and $35.2 million of state tax credits which will either expire on various dates through 2040 or can be carried forward indefinitely. These loss and credit carryforwards are available to reduce certain future Irish and foreign taxable income and tax. These loss and credit carryforwards are subject to review and possible adjustment by the appropriate taxing authorities, and may be subject to limitations based upon changes in the ownership of our ordinary shares. Included within these loss and credit carryforwards are $13.6 million of U.S. federal NOL carryforwards and $5.3 million of state NOL carryforwards, acquired as part of the acquisition of Rodin Therapeutics, Inc. in November 2019, each of which are subject to a $0.5 million annual limitation.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67" w:name="page68"/>
    <w:bookmarkEnd w:id="67"/>
    <w:p>
      <w:pPr>
        <w:ind w:left="640"/>
        <w:spacing w:after="0"/>
        <w:rPr>
          <w:sz w:val="20"/>
          <w:szCs w:val="20"/>
          <w:color w:val="auto"/>
        </w:rPr>
      </w:pPr>
      <w:r>
        <w:rPr>
          <w:rFonts w:ascii="Times New Roman" w:cs="Times New Roman" w:eastAsia="Times New Roman" w:hAnsi="Times New Roman"/>
          <w:sz w:val="14"/>
          <w:szCs w:val="14"/>
          <w:b w:val="1"/>
          <w:bCs w:val="1"/>
          <w:color w:val="2E74B5"/>
        </w:rPr>
        <w:t>Liquidity and Capital Resources</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financial condition is summarized as follows:</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6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91"/>
              <w:spacing w:after="0" w:line="109" w:lineRule="exact"/>
              <w:rPr>
                <w:sz w:val="20"/>
                <w:szCs w:val="20"/>
                <w:color w:val="auto"/>
              </w:rPr>
            </w:pPr>
            <w:r>
              <w:rPr>
                <w:rFonts w:ascii="Times New Roman" w:cs="Times New Roman" w:eastAsia="Times New Roman" w:hAnsi="Times New Roman"/>
                <w:sz w:val="11"/>
                <w:szCs w:val="11"/>
                <w:b w:val="1"/>
                <w:bCs w:val="1"/>
                <w:color w:val="auto"/>
              </w:rPr>
              <w:t>Ireland</w:t>
            </w: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3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91"/>
              <w:spacing w:after="0" w:line="109" w:lineRule="exact"/>
              <w:rPr>
                <w:sz w:val="20"/>
                <w:szCs w:val="20"/>
                <w:color w:val="auto"/>
              </w:rPr>
            </w:pPr>
            <w:r>
              <w:rPr>
                <w:rFonts w:ascii="Times New Roman" w:cs="Times New Roman" w:eastAsia="Times New Roman" w:hAnsi="Times New Roman"/>
                <w:sz w:val="11"/>
                <w:szCs w:val="11"/>
                <w:b w:val="1"/>
                <w:bCs w:val="1"/>
                <w:color w:val="auto"/>
              </w:rPr>
              <w:t>Ireland</w:t>
            </w: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5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Investments—short-term</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Investments—long-term</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cash, restricted cash and investments</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w:t>
            </w:r>
            <w:r>
              <w:rPr>
                <w:rFonts w:ascii="Times New Roman" w:cs="Times New Roman" w:eastAsia="Times New Roman" w:hAnsi="Times New Roman"/>
                <w:sz w:val="14"/>
                <w:szCs w:val="14"/>
                <w:u w:val="single" w:color="auto"/>
                <w:color w:val="auto"/>
              </w:rPr>
              <w:t>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824.7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-19685</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-6350</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-19685</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-6350</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-19685</wp:posOffset>
            </wp:positionV>
            <wp:extent cx="476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-6350</wp:posOffset>
            </wp:positionV>
            <wp:extent cx="476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-19685</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-6350</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-19685</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-6350</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 December 31, 2025, our investments consisted of the following:</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Gross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8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Estimated</w:t>
            </w:r>
          </w:p>
        </w:tc>
      </w:tr>
      <w:tr>
        <w:trPr>
          <w:trHeight w:val="109"/>
        </w:trPr>
        <w:tc>
          <w:tcPr>
            <w:tcW w:w="356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73"/>
              <w:spacing w:after="0" w:line="109" w:lineRule="exact"/>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Gains</w:t>
            </w: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Losses</w:t>
            </w:r>
          </w:p>
        </w:tc>
        <w:tc>
          <w:tcPr>
            <w:tcW w:w="140" w:type="dxa"/>
            <w:vAlign w:val="bottom"/>
          </w:tcPr>
          <w:p>
            <w:pPr>
              <w:spacing w:after="0"/>
              <w:rPr>
                <w:sz w:val="9"/>
                <w:szCs w:val="9"/>
                <w:color w:val="auto"/>
              </w:rPr>
            </w:pPr>
          </w:p>
        </w:tc>
        <w:tc>
          <w:tcPr>
            <w:tcW w:w="700" w:type="dxa"/>
            <w:vAlign w:val="bottom"/>
            <w:tcBorders>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Credit Losses</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3"/>
              <w:spacing w:after="0" w:line="109"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9"/>
                <w:szCs w:val="9"/>
                <w:color w:val="auto"/>
              </w:rPr>
            </w:pPr>
          </w:p>
        </w:tc>
      </w:tr>
      <w:tr>
        <w:trPr>
          <w:trHeight w:val="16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Investments—short-term available-for-sale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199.6</w:t>
            </w:r>
          </w:p>
        </w:tc>
      </w:t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Investments—long-term available-for-sale</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Investments—long-term held-to-maturity</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r>
      <w:tr>
        <w:trPr>
          <w:trHeight w:val="20"/>
        </w:trPr>
        <w:tc>
          <w:tcPr>
            <w:tcW w:w="35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63"/>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8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199.7</w:t>
            </w:r>
          </w:p>
        </w:tc>
      </w:tr>
      <w:tr>
        <w:trPr>
          <w:trHeight w:val="20"/>
        </w:trPr>
        <w:tc>
          <w:tcPr>
            <w:tcW w:w="3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-135890</wp:posOffset>
            </wp:positionV>
            <wp:extent cx="5461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-135890</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-135890</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-135890</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Sources and Uses of Cash</w:t>
      </w:r>
    </w:p>
    <w:p>
      <w:pPr>
        <w:spacing w:after="0" w:line="133"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We generated $520.8 million and $439.1 million of cash from operating activities during the years ended December 31, 2025 and 2024, respectively. In connection with the Avadel Acquisition, we placed $731.2 million in escrow to finance the portion of the consideration in excess of the commitments secured under the Bridge Credit Agreement. In December 2024, we prepaid our previously outstanding long-term debt without penalty in the amount of $289.5 million and, during the course of 2024, repurchased approximately $200.0 million of our ordinary shares. We expect that our existing cash, cash equivalents, restricted cash and investments will be sufficient to finance our anticipated working capital and other cash requirements, including debt services and capital expenditures, for at least the twelve months following the date from which our financial statements were issued. Subject to market conditions, interest rates and other factors, we may pursue opportunities to obtain financing in the future, including debt and equity offerings, corporate collaborations, bank borrowings, arrangements relating to assets or other financing methods or structures.</w:t>
      </w:r>
    </w:p>
    <w:p>
      <w:pPr>
        <w:spacing w:after="0" w:line="84"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spacing w:after="0" w:line="88"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82"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12 months.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68" w:name="page69"/>
    <w:bookmarkEnd w:id="68"/>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Information about our cash flows, by category, is presented in the accompanying consolidated statements of cash flows. The discussion of our cash flows that follows does not include the impact of any adjustments to remove discontinued operations and is stated on a total company consolidated basis. The following table summarizes our cash flows for the years ended December 31, 2025 and 2024:</w:t>
      </w:r>
    </w:p>
    <w:p>
      <w:pPr>
        <w:sectPr>
          <w:pgSz w:w="11900" w:h="16838" w:orient="portrait"/>
          <w:cols w:equalWidth="0" w:num="1">
            <w:col w:w="9019"/>
          </w:cols>
          <w:pgMar w:left="1440" w:top="952" w:right="1440" w:bottom="1440" w:gutter="0" w:footer="0" w:header="0"/>
        </w:sect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6985</wp:posOffset>
            </wp:positionV>
            <wp:extent cx="4909820" cy="1092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09820" cy="109220"/>
                    </a:xfrm>
                    <a:prstGeom prst="rect">
                      <a:avLst/>
                    </a:prstGeom>
                    <a:noFill/>
                  </pic:spPr>
                </pic:pic>
              </a:graphicData>
            </a:graphic>
          </wp:anchor>
        </w:drawing>
      </w:r>
    </w:p>
    <w:p>
      <w:pPr>
        <w:ind w:left="780" w:right="1000" w:hanging="142"/>
        <w:spacing w:after="0" w:line="254" w:lineRule="auto"/>
        <w:rPr>
          <w:sz w:val="20"/>
          <w:szCs w:val="20"/>
          <w:color w:val="auto"/>
        </w:rPr>
      </w:pPr>
      <w:r>
        <w:rPr>
          <w:rFonts w:ascii="Times New Roman" w:cs="Times New Roman" w:eastAsia="Times New Roman" w:hAnsi="Times New Roman"/>
          <w:sz w:val="14"/>
          <w:szCs w:val="14"/>
          <w:color w:val="auto"/>
        </w:rPr>
        <w:t>Cash, cash equivalents and restricted cash, beginning of period Cash flows provided by operating activities</w:t>
      </w:r>
    </w:p>
    <w:p>
      <w:pPr>
        <w:spacing w:after="0" w:line="1" w:lineRule="exact"/>
        <w:rPr>
          <w:sz w:val="20"/>
          <w:szCs w:val="20"/>
          <w:color w:val="auto"/>
        </w:rPr>
      </w:pPr>
    </w:p>
    <w:p>
      <w:pPr>
        <w:ind w:left="780" w:right="1420"/>
        <w:spacing w:after="0" w:line="277" w:lineRule="auto"/>
        <w:rPr>
          <w:sz w:val="20"/>
          <w:szCs w:val="20"/>
          <w:color w:val="auto"/>
        </w:rPr>
      </w:pPr>
      <w:r>
        <w:rPr>
          <w:rFonts w:ascii="Times New Roman" w:cs="Times New Roman" w:eastAsia="Times New Roman" w:hAnsi="Times New Roman"/>
          <w:sz w:val="14"/>
          <w:szCs w:val="14"/>
          <w:color w:val="auto"/>
        </w:rPr>
        <w:t>Cash flows provided by (used in) investing activities Cash flows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-234950</wp:posOffset>
            </wp:positionV>
            <wp:extent cx="4909820" cy="1092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-9525</wp:posOffset>
            </wp:positionV>
            <wp:extent cx="4909820" cy="129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09820" cy="12954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Operating Activities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4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r>
      <w:tr>
        <w:trPr>
          <w:trHeight w:val="148"/>
        </w:trPr>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291.1</w:t>
            </w:r>
          </w:p>
        </w:tc>
        <w:tc>
          <w:tcPr>
            <w:tcW w:w="200" w:type="dxa"/>
            <w:vAlign w:val="bottom"/>
          </w:tcPr>
          <w:p>
            <w:pPr>
              <w:spacing w:after="0"/>
              <w:rPr>
                <w:sz w:val="12"/>
                <w:szCs w:val="12"/>
                <w:color w:val="auto"/>
              </w:rPr>
            </w:pPr>
          </w:p>
        </w:tc>
        <w:tc>
          <w:tcPr>
            <w:tcW w:w="240" w:type="dxa"/>
            <w:vAlign w:val="bottom"/>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457.5</w:t>
            </w:r>
          </w:p>
        </w:tc>
        <w:tc>
          <w:tcPr>
            <w:tcW w:w="40" w:type="dxa"/>
            <w:vAlign w:val="bottom"/>
          </w:tcPr>
          <w:p>
            <w:pPr>
              <w:spacing w:after="0"/>
              <w:rPr>
                <w:sz w:val="12"/>
                <w:szCs w:val="12"/>
                <w:color w:val="auto"/>
              </w:rPr>
            </w:pPr>
          </w:p>
        </w:tc>
      </w:tr>
      <w:tr>
        <w:trPr>
          <w:trHeight w:val="172"/>
        </w:trPr>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40" w:type="dxa"/>
            <w:vAlign w:val="bottom"/>
          </w:tcPr>
          <w:p>
            <w:pPr>
              <w:spacing w:after="0"/>
              <w:rPr>
                <w:sz w:val="14"/>
                <w:szCs w:val="14"/>
                <w:color w:val="auto"/>
              </w:rPr>
            </w:pPr>
          </w:p>
        </w:tc>
      </w:tr>
      <w:tr>
        <w:trPr>
          <w:trHeight w:val="172"/>
        </w:trPr>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(111.3)</w:t>
            </w:r>
          </w:p>
        </w:tc>
      </w:tr>
      <w:tr>
        <w:trPr>
          <w:trHeight w:val="186"/>
        </w:trPr>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(494.1)</w:t>
            </w:r>
          </w:p>
        </w:tc>
      </w:tr>
      <w:tr>
        <w:trPr>
          <w:trHeight w:val="164"/>
        </w:trPr>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1,119.8</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40" w:type="dxa"/>
            <w:vAlign w:val="bottom"/>
          </w:tcPr>
          <w:p>
            <w:pPr>
              <w:spacing w:after="0"/>
              <w:rPr>
                <w:sz w:val="14"/>
                <w:szCs w:val="14"/>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15" w:lineRule="exact"/>
        <w:rPr>
          <w:sz w:val="20"/>
          <w:szCs w:val="20"/>
          <w:color w:val="auto"/>
        </w:rPr>
      </w:pPr>
    </w:p>
    <w:p>
      <w:pPr>
        <w:sectPr>
          <w:pgSz w:w="11900" w:h="16838" w:orient="portrait"/>
          <w:cols w:equalWidth="0" w:num="2">
            <w:col w:w="5240" w:space="720"/>
            <w:col w:w="3059"/>
          </w:cols>
          <w:pgMar w:left="1440" w:top="952" w:right="1440" w:bottom="1440" w:gutter="0" w:footer="0" w:header="0"/>
          <w:type w:val="continuous"/>
        </w:sect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Cash flows provided by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99"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Cash flows provided by operating activities during 2025 primarily consisted of net income of $241.7 million, adjusted for non-cash items, including share-based compensation of $98.7 million, depreciation and amortization of $27.2 million, deferred income taxes of $28.8 million and $119.1 million of changes in working capital.</w:t>
      </w:r>
    </w:p>
    <w:p>
      <w:pPr>
        <w:spacing w:after="0" w:line="93" w:lineRule="exact"/>
        <w:rPr>
          <w:sz w:val="20"/>
          <w:szCs w:val="20"/>
          <w:color w:val="auto"/>
        </w:rPr>
      </w:pPr>
    </w:p>
    <w:p>
      <w:pPr>
        <w:jc w:val="both"/>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Cash flows provided by operating activities during 2024 primarily consisted of net income of $367.1 million, adjusted for non-cash items, including share-based compensation of $96.6 million, depreciation and amortization of $28.5 million and deferred income taxes of $40.5 million, partially offset by changes in working capital of $97.4 million.</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Investing Activities</w:t>
      </w:r>
    </w:p>
    <w:p>
      <w:pPr>
        <w:spacing w:after="0" w:line="144"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Cash flows provided by investing activities during 2025 primarily consisted of $333.1 million of net proceeds from the sale and maturities of investments, partially offset by the purchase of $40.4 million of property, plant and equipment. Cash flows used in investing activities during 2024 primarily consisted of $176.2 million in net purchases of investments and the purchase of $33.5 million of property, plant and equipment. These outflows were partially offset by proceeds from the sale of the Athlone Facility and related business of $97.9 million.</w:t>
      </w:r>
    </w:p>
    <w:p>
      <w:pPr>
        <w:spacing w:after="0" w:line="99" w:lineRule="exact"/>
        <w:rPr>
          <w:sz w:val="20"/>
          <w:szCs w:val="20"/>
          <w:color w:val="auto"/>
        </w:rPr>
      </w:pPr>
    </w:p>
    <w:p>
      <w:pPr>
        <w:ind w:left="640" w:right="959" w:firstLine="351"/>
        <w:spacing w:after="0" w:line="263" w:lineRule="auto"/>
        <w:rPr>
          <w:sz w:val="20"/>
          <w:szCs w:val="20"/>
          <w:color w:val="auto"/>
        </w:rPr>
      </w:pPr>
      <w:r>
        <w:rPr>
          <w:rFonts w:ascii="Times New Roman" w:cs="Times New Roman" w:eastAsia="Times New Roman" w:hAnsi="Times New Roman"/>
          <w:sz w:val="14"/>
          <w:szCs w:val="14"/>
          <w:color w:val="auto"/>
        </w:rPr>
        <w:t>We expect to spend approximately $40.0 million to $50.0 million during the year ending December 31, 2026 for capital expenditures. We continue to evaluate our manufacturing capacity based on expectations of demand for the products that we manufacture and will continue to record such amounts within construction in progress until such time as the underlying assets are placed into service, or we determine we have sufficient existing capacity and the assets are no longer required, at which time we would recognize an impairment charge. We continue to periodically evaluate whether facts and circumstances indicate that the carrying value of these long-lived assets to be held and used may not be recoverable.</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Financing Activities</w:t>
      </w:r>
    </w:p>
    <w:p>
      <w:pPr>
        <w:spacing w:after="0" w:line="144"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Cash flows provided by financing activities during 2025 were due to $43.4 million of cash that we received upon exercises of employee stock options, partially offset by $31.0 million of employee taxes paid related to the net share settlement of equity awards. Cash flows used in financing activities during 2024 primarily related to the prepayment of our previously outstanding long-term debt in the full amount of $289.5 million, payment for the repurchase of our ordinary shares and related expenses in the amount of $200.3 million, and $29.6 million of employee taxes paid related to net share settlements of equity awards, partially offset by $27.6 million of cash that we received upon exercises of employee stock options.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type w:val="continuous"/>
        </w:sectPr>
      </w:pPr>
    </w:p>
    <w:bookmarkStart w:id="69" w:name="page70"/>
    <w:bookmarkEnd w:id="69"/>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Debt</w:t>
      </w:r>
    </w:p>
    <w:p>
      <w:pPr>
        <w:spacing w:after="0" w:line="133"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On February 12, 2026, in connection with the Avadel Acquisition, we entered into a credit agreement (the “Credit Agreement”), by and among Alkermes plc, as the TopCo Borrower, Alkermes, Inc., as the U.S. Borrower, Alkermes Finance LLC, as the U.S. Co-Borrower, JPMorgan Chase Bank, N.A., as Administrative Agent, Joint Lead Arranger and Joint Bookrunner, BofA Securities, Inc., as Joint Lead Arranger and Joint Bookrunner, and the lenders party thereto. The Credit Agreement provides for (i) a senior secured term loan A facility in an aggregate principal amount of up to $750.0 million (the “TLA Facility”) and (ii) a senior secured term loan B facility in an aggregate principal amount of up to $775.0 million (the “TLB Facility” and together with the TLA Facility, the “Facilities”). The TLA Facility matures on February 12, 2031, and the TLB Facility matures on August 12, 2031. On the closing date of the Facilities (the “Closing Date”), we borrowed the full $1.525 billion available under the Facilities.</w:t>
      </w:r>
    </w:p>
    <w:p>
      <w:pPr>
        <w:spacing w:after="0" w:line="92"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Borrowings under the TLA Facility will bear interest at an annual rate of, at our option, either (i) the Term SOFR Rate (as defined in the Credit Agreement) plus a Secured Net Leverage Ratio (as defined in the Credit Agreement)-based margin, which will initially be 2.75% per annum or (ii) the Alternate Base Rate (as defined in the Credit Agreement) plus a Secured Net Leverage Ratio-based margin, which will initially be 1.75% per annum. Borrowings under the TLB Facility will bear interest at an annual rate of, at our option, either (i) the Term SOFR Rate plus a margin of 2.75% per annum or (ii) the Alternate Base Rate plus a margin of 1.75% per annum. We have agreed to pay certain fees and expenses in connection with the Facilities, as set forth in the Credit Agreement and certain related fee letters.</w:t>
      </w:r>
    </w:p>
    <w:p>
      <w:pPr>
        <w:spacing w:after="0" w:line="8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 Credit Agreement (other than with respect to the TLB Facility) requires the maintenance of a maximum Secured Net Leverage Ratio and a minimum Consolidated Interest Coverage Ratio (as defined in the Credit Agreement), in each case, with the levels set forth in the Credit Agreement, as of the last day of any of our fiscal quarters ending after the Closing Date. In addition, the Credit Agreement contains customary affirmative and negative covenants that apply after the Closing Date, including limitations on indebtedness, liens, mergers, consolidations, sales of assets, investments, transactions with affiliates, restricted payments and sales and leasebacks. The Credit Agreement also contains certain customary events of default, including upon a change of control.</w:t>
      </w:r>
    </w:p>
    <w:p>
      <w:pPr>
        <w:spacing w:after="0" w:line="91" w:lineRule="exact"/>
        <w:rPr>
          <w:sz w:val="20"/>
          <w:szCs w:val="20"/>
          <w:color w:val="auto"/>
        </w:rPr>
      </w:pPr>
    </w:p>
    <w:p>
      <w:pPr>
        <w:ind w:left="640" w:right="1039" w:firstLine="351"/>
        <w:spacing w:after="0" w:line="292" w:lineRule="auto"/>
        <w:rPr>
          <w:sz w:val="20"/>
          <w:szCs w:val="20"/>
          <w:color w:val="auto"/>
        </w:rPr>
      </w:pPr>
      <w:r>
        <w:rPr>
          <w:rFonts w:ascii="Times New Roman" w:cs="Times New Roman" w:eastAsia="Times New Roman" w:hAnsi="Times New Roman"/>
          <w:sz w:val="14"/>
          <w:szCs w:val="14"/>
          <w:color w:val="auto"/>
        </w:rPr>
        <w:t>The Credit Agreement is guaranteed by subsidiary guarantors and secured by a lien on substantially all of the assets of the borrowers and the subsidiary guarantors, whether owned as of the Closing Date or thereafter acquired.</w:t>
      </w:r>
    </w:p>
    <w:p>
      <w:pPr>
        <w:spacing w:after="0" w:line="70"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Also on February 12, 2026, in connection with completion of the Avadel Acquisition and our entry into the Credit Agreement, we terminated the Bridge Credit Agreement entered into in order to fund the Avadel Acquisition, as the commitments under the Credit Agreement, together with our cash on hand, were sufficient to fund the Avadel Acquisition.</w:t>
      </w:r>
    </w:p>
    <w:p>
      <w:pPr>
        <w:spacing w:after="0" w:line="71"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 xml:space="preserve">In December 2024, we prepaid in full all Former Term Loans under the Company’s then-in-effect amended and restated credit agreement (the “Former Credit Agreement”) for a total of $289.5 million and terminated the agreement. We did not incur any early termination penalties in connection with the termination of the Former Credit Agreement (other than customary breakage costs). All liens on the collateral securing the obligations under the Former Credit Agreement were released in connection with the termination. Such prepayment was accounted for as a debt extinguishment. See Note 11,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in the “Notes to Consolidated Financial Statements” in this Annual Report for additional discussion related to our Former Term Loans.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Discontinued Operations</w:t>
      </w:r>
    </w:p>
    <w:p>
      <w:pPr>
        <w:spacing w:after="0" w:line="154" w:lineRule="exact"/>
        <w:rPr>
          <w:sz w:val="20"/>
          <w:szCs w:val="20"/>
          <w:color w:val="auto"/>
        </w:rPr>
      </w:pPr>
    </w:p>
    <w:p>
      <w:pPr>
        <w:ind w:left="640" w:right="939" w:firstLine="351"/>
        <w:spacing w:after="0" w:line="274" w:lineRule="auto"/>
        <w:rPr>
          <w:sz w:val="20"/>
          <w:szCs w:val="20"/>
          <w:color w:val="auto"/>
        </w:rPr>
      </w:pPr>
      <w:r>
        <w:rPr>
          <w:rFonts w:ascii="Times New Roman" w:cs="Times New Roman" w:eastAsia="Times New Roman" w:hAnsi="Times New Roman"/>
          <w:sz w:val="14"/>
          <w:szCs w:val="14"/>
          <w:color w:val="auto"/>
        </w:rPr>
        <w:t xml:space="preserve">Net loss from discontinued operations consists of the results of our former oncology business and is reported as a separate component of income. For additional information, see Note 15,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in the “Notes to Consolidated Financial Statements” in this Annual Report.</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Critical Accounting Estimates</w:t>
      </w:r>
    </w:p>
    <w:p>
      <w:pPr>
        <w:spacing w:after="0" w:line="131"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In connection with the preparation of our financial statements, we are required to make assumptions and estimates about future events, and apply judgments based on historical experience, current trends and other factors that management believes to be relevant at the time our consolidated financial statements are prepared. On a regular basis, we review these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89" w:lineRule="exact"/>
        <w:rPr>
          <w:sz w:val="20"/>
          <w:szCs w:val="20"/>
          <w:color w:val="auto"/>
        </w:rPr>
      </w:pPr>
    </w:p>
    <w:p>
      <w:pPr>
        <w:ind w:left="640" w:right="739" w:firstLine="351"/>
        <w:spacing w:after="0" w:line="266" w:lineRule="auto"/>
        <w:rPr>
          <w:sz w:val="20"/>
          <w:szCs w:val="20"/>
          <w:color w:val="auto"/>
        </w:rPr>
      </w:pPr>
      <w:r>
        <w:rPr>
          <w:rFonts w:ascii="Times New Roman" w:cs="Times New Roman" w:eastAsia="Times New Roman" w:hAnsi="Times New Roman"/>
          <w:sz w:val="14"/>
          <w:szCs w:val="14"/>
          <w:color w:val="auto"/>
        </w:rPr>
        <w:t xml:space="preserve">Our significant accounting policies are discussed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of the “Notes to Consolidated Financial Statements” in this Annual Report. We believe that the following accounting estimates are the most critical to aid in fully understanding and evaluating our reported financial results, and they require our most difficult, subjective or complex judgments, resulting from the need to make estimates about the effects of matters that are inherently uncertain. We have reviewed these critical accounting estimates and related disclosures with the audit and risk committee of our board of directors.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70" w:name="page71"/>
    <w:bookmarkEnd w:id="70"/>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Revenue from Contracts with Customers</w:t>
      </w:r>
    </w:p>
    <w:p>
      <w:pPr>
        <w:spacing w:after="0" w:line="133"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recognize revenue when our customer obtains control of promised goods or services, in an amount that reflects the consideration which we expect to receive in exchange for those goods or services. We recognize revenue following the five-step model prescribed under Financial Accounting Standards Board (“FASB”) Accounting Standards Codification (“ASC”) 606, Revenue from Contracts with Customers, (“Topic 606”):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70AD47"/>
        </w:rPr>
        <w:t>Product Sales, Net</w:t>
      </w:r>
    </w:p>
    <w:p>
      <w:pPr>
        <w:spacing w:after="0" w:line="120" w:lineRule="exact"/>
        <w:rPr>
          <w:sz w:val="20"/>
          <w:szCs w:val="20"/>
          <w:color w:val="auto"/>
        </w:rPr>
      </w:pPr>
    </w:p>
    <w:p>
      <w:pPr>
        <w:ind w:left="640" w:right="939" w:firstLine="351"/>
        <w:spacing w:after="0" w:line="274" w:lineRule="auto"/>
        <w:rPr>
          <w:sz w:val="20"/>
          <w:szCs w:val="20"/>
          <w:color w:val="auto"/>
        </w:rPr>
      </w:pPr>
      <w:r>
        <w:rPr>
          <w:rFonts w:ascii="Times New Roman" w:cs="Times New Roman" w:eastAsia="Times New Roman" w:hAnsi="Times New Roman"/>
          <w:sz w:val="14"/>
          <w:szCs w:val="14"/>
          <w:color w:val="auto"/>
        </w:rPr>
        <w:t>Our product sales, net in 2025 and 2024 consisted of sales in the U.S. of ARISTADA, ARISTADA INITIO, LYBALVI and VIVITROL primarily to wholesalers, specialty distributors and pharmacies. Product sales, net are recognized when the customer obtains control of the product, which is when the product has been received by the customer.</w:t>
      </w:r>
    </w:p>
    <w:p>
      <w:pPr>
        <w:spacing w:after="0" w:line="82"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Revenues from product sales are recorded net of reserves established for applicable discounts and allowances that are offered within contracts with our customers, healthcare providers or payers. Our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our estimates. If actual results vary, we adjust these estimates, which could have an effect on earnings in the period of adjustment. The following are our significant categories of sales discounts and allowances:</w:t>
      </w:r>
    </w:p>
    <w:p>
      <w:pPr>
        <w:spacing w:after="0" w:line="57" w:lineRule="exact"/>
        <w:rPr>
          <w:sz w:val="20"/>
          <w:szCs w:val="20"/>
          <w:color w:val="auto"/>
        </w:rPr>
      </w:pPr>
    </w:p>
    <w:p>
      <w:pPr>
        <w:ind w:left="1340" w:right="659" w:hanging="249"/>
        <w:spacing w:after="0" w:line="260"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0070C0"/>
        </w:rPr>
        <w:t>Medicaid Rebates</w:t>
      </w:r>
      <w:r>
        <w:rPr>
          <w:rFonts w:ascii="Times New Roman" w:cs="Times New Roman" w:eastAsia="Times New Roman" w:hAnsi="Times New Roman"/>
          <w:sz w:val="14"/>
          <w:szCs w:val="14"/>
          <w:color w:val="000000"/>
        </w:rPr>
        <w:t>—we record accruals for rebates to U.S. states under the Medicaid Drug Rebate Program as a reduction</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of sales when the product is shipped into the distribution channel using the expected value. We rebate individual U.S. states for all eligible units purchased under the Medicaid program based on a rebate per unit calculation, which is based on our average manufacturer prices. We estimate expected unit sales to individuals covered by Medicaid and rebates per unit under the Medicaid program and adjust our rebate accrual based on actual unit sales and rebates per unit and changes in trends in Medicaid utilization. In 2025, actual Medicaid utilization rates related to VIVITROL and ARISTADA/ARISTADA INITIO, were lower than original estimates by approximately $26.7 million and $13.6 million, respectively. In 2024, actual Medicaid utilization rates related to VIVITROL were lower than original estimates, due, in part, to $8.7 million in actual credits received from certain states in the fourth quarter of 2024 related to duplicate Medicaid billings;</w:t>
      </w:r>
    </w:p>
    <w:p>
      <w:pPr>
        <w:spacing w:after="0" w:line="266" w:lineRule="exact"/>
        <w:rPr>
          <w:rFonts w:ascii="Times New Roman" w:cs="Times New Roman" w:eastAsia="Times New Roman" w:hAnsi="Times New Roman"/>
          <w:sz w:val="14"/>
          <w:szCs w:val="14"/>
          <w:color w:val="auto"/>
        </w:rPr>
      </w:pPr>
    </w:p>
    <w:p>
      <w:pPr>
        <w:ind w:left="1340" w:right="739" w:hanging="249"/>
        <w:spacing w:after="0" w:line="26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0070C0"/>
        </w:rPr>
        <w:t>Chargebacks</w:t>
      </w:r>
      <w:r>
        <w:rPr>
          <w:rFonts w:ascii="Times New Roman" w:cs="Times New Roman" w:eastAsia="Times New Roman" w:hAnsi="Times New Roman"/>
          <w:sz w:val="14"/>
          <w:szCs w:val="14"/>
          <w:color w:val="000000"/>
        </w:rPr>
        <w:t>—discounts that occur when contracted indirect customers purchase directly from wholesalers and specialty</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distributors. Contracted customers generally purchase a product at its contracted price. The wholesaler or specialty distributor, in turn, then generally charges back to us the difference between the wholesale acquisition cost and the contracted price paid to the wholesaler or specialty distributor by the customer. The allowance for chargebacks is made using the expected value and is based on actual and expected utilization of these programs. Chargebacks could exceed historical experience and our estimates of future participation in these programs. To date, actual chargebacks have not differed materially from our estimates;</w:t>
      </w:r>
    </w:p>
    <w:p>
      <w:pPr>
        <w:spacing w:after="0" w:line="79" w:lineRule="exact"/>
        <w:rPr>
          <w:rFonts w:ascii="Times New Roman" w:cs="Times New Roman" w:eastAsia="Times New Roman" w:hAnsi="Times New Roman"/>
          <w:sz w:val="14"/>
          <w:szCs w:val="14"/>
          <w:color w:val="auto"/>
        </w:rPr>
      </w:pPr>
    </w:p>
    <w:p>
      <w:pPr>
        <w:ind w:left="1340" w:right="879" w:hanging="249"/>
        <w:spacing w:after="0" w:line="269"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0070C0"/>
        </w:rPr>
        <w:t>Product Discounts</w:t>
      </w:r>
      <w:r>
        <w:rPr>
          <w:rFonts w:ascii="Times New Roman" w:cs="Times New Roman" w:eastAsia="Times New Roman" w:hAnsi="Times New Roman"/>
          <w:sz w:val="14"/>
          <w:szCs w:val="14"/>
          <w:color w:val="000000"/>
        </w:rPr>
        <w:t>—cash consideration, including sales incentives, given by us under agreements with a number of</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wholesaler, distributor, pharmacy, and treatment provider customers that provide them with a discount on the purchase price of products. The reserve is made using the expected value and to date, actual product discounts have not differed materially from our estimates;</w:t>
      </w:r>
    </w:p>
    <w:p>
      <w:pPr>
        <w:spacing w:after="0" w:line="83" w:lineRule="exact"/>
        <w:rPr>
          <w:rFonts w:ascii="Times New Roman" w:cs="Times New Roman" w:eastAsia="Times New Roman" w:hAnsi="Times New Roman"/>
          <w:sz w:val="14"/>
          <w:szCs w:val="14"/>
          <w:color w:val="auto"/>
        </w:rPr>
      </w:pPr>
    </w:p>
    <w:p>
      <w:pPr>
        <w:ind w:left="1340" w:right="679" w:hanging="249"/>
        <w:spacing w:after="0" w:line="266"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0070C0"/>
        </w:rPr>
        <w:t>Product Returns</w:t>
      </w:r>
      <w:r>
        <w:rPr>
          <w:rFonts w:ascii="Times New Roman" w:cs="Times New Roman" w:eastAsia="Times New Roman" w:hAnsi="Times New Roman"/>
          <w:sz w:val="14"/>
          <w:szCs w:val="14"/>
          <w:color w:val="000000"/>
        </w:rPr>
        <w:t>—we record an estimate for product returns at the time our customers take control of our product. We</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estimate this liability using the expected returns of product sold based on our historical return levels and specifically identified anticipated returns due to known business conditions and product expiry dates. Return amounts are recorded as a reduction of sales. Once product is returned, it is destroyed. Actual product returns have not differed materially from our estimates; and</w:t>
      </w:r>
    </w:p>
    <w:p>
      <w:pPr>
        <w:spacing w:after="0" w:line="85" w:lineRule="exact"/>
        <w:rPr>
          <w:rFonts w:ascii="Times New Roman" w:cs="Times New Roman" w:eastAsia="Times New Roman" w:hAnsi="Times New Roman"/>
          <w:sz w:val="14"/>
          <w:szCs w:val="14"/>
          <w:color w:val="auto"/>
        </w:rPr>
      </w:pPr>
    </w:p>
    <w:p>
      <w:pPr>
        <w:ind w:left="1340" w:right="659" w:hanging="249"/>
        <w:spacing w:after="0" w:line="266"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0070C0"/>
        </w:rPr>
        <w:t>Medicare Part D</w:t>
      </w:r>
      <w:r>
        <w:rPr>
          <w:rFonts w:ascii="Times New Roman" w:cs="Times New Roman" w:eastAsia="Times New Roman" w:hAnsi="Times New Roman"/>
          <w:sz w:val="14"/>
          <w:szCs w:val="14"/>
          <w:color w:val="000000"/>
        </w:rPr>
        <w:t>—we record accruals for Medicare Part D liabilities under the Medicare Manufacturer Discount Program</w:t>
      </w:r>
      <w:r>
        <w:rPr>
          <w:rFonts w:ascii="Times New Roman" w:cs="Times New Roman" w:eastAsia="Times New Roman" w:hAnsi="Times New Roman"/>
          <w:sz w:val="14"/>
          <w:szCs w:val="14"/>
          <w:i w:val="1"/>
          <w:iCs w:val="1"/>
          <w:color w:val="0070C0"/>
        </w:rPr>
        <w:t xml:space="preserve"> </w:t>
      </w:r>
      <w:r>
        <w:rPr>
          <w:rFonts w:ascii="Times New Roman" w:cs="Times New Roman" w:eastAsia="Times New Roman" w:hAnsi="Times New Roman"/>
          <w:sz w:val="14"/>
          <w:szCs w:val="14"/>
          <w:color w:val="000000"/>
        </w:rPr>
        <w:t>as a reduction of sales. Under an agreement with the Centers for Medicare and Medicaid Services, manufacturers are responsible for reimbursing Medicare for a specified percentage discount on the cost of applicable drugs during the initial coverage phase and a specified percentage discount during the catastrophic coverage phase of the Medicare Part D benefit. Actual Medicare Part D rebates have not differed materially from our estimates.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71" w:name="page72"/>
    <w:bookmarkEnd w:id="71"/>
    <w:p>
      <w:pPr>
        <w:ind w:left="980"/>
        <w:spacing w:after="0"/>
        <w:rPr>
          <w:sz w:val="20"/>
          <w:szCs w:val="20"/>
          <w:color w:val="auto"/>
        </w:rPr>
      </w:pPr>
      <w:r>
        <w:rPr>
          <w:rFonts w:ascii="Times New Roman" w:cs="Times New Roman" w:eastAsia="Times New Roman" w:hAnsi="Times New Roman"/>
          <w:sz w:val="14"/>
          <w:szCs w:val="14"/>
          <w:color w:val="auto"/>
        </w:rPr>
        <w:t>A rollforward of our provisions for sales and allowances is as follows:</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100" w:type="dxa"/>
            <w:vAlign w:val="bottom"/>
          </w:tcPr>
          <w:p>
            <w:pPr>
              <w:spacing w:after="0"/>
              <w:rPr>
                <w:sz w:val="11"/>
                <w:szCs w:val="11"/>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w w:val="96"/>
              </w:rPr>
              <w:t xml:space="preserve">Discounts </w:t>
            </w:r>
            <w:r>
              <w:rPr>
                <w:rFonts w:ascii="Times New Roman" w:cs="Times New Roman" w:eastAsia="Times New Roman" w:hAnsi="Times New Roman"/>
                <w:sz w:val="15"/>
                <w:szCs w:val="15"/>
                <w:b w:val="1"/>
                <w:bCs w:val="1"/>
                <w:color w:val="auto"/>
                <w:w w:val="96"/>
                <w:vertAlign w:val="superscript"/>
              </w:rPr>
              <w:t>(2)</w:t>
            </w:r>
          </w:p>
        </w:tc>
        <w:tc>
          <w:tcPr>
            <w:tcW w:w="1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Product</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1"/>
                <w:szCs w:val="11"/>
                <w:b w:val="1"/>
                <w:bCs w:val="1"/>
                <w:color w:val="auto"/>
              </w:rPr>
              <w:t>Adjustments</w:t>
            </w:r>
            <w:r>
              <w:rPr>
                <w:rFonts w:ascii="Times New Roman" w:cs="Times New Roman" w:eastAsia="Times New Roman" w:hAnsi="Times New Roman"/>
                <w:sz w:val="15"/>
                <w:szCs w:val="15"/>
                <w:b w:val="1"/>
                <w:bCs w:val="1"/>
                <w:color w:val="auto"/>
                <w:vertAlign w:val="superscript"/>
              </w:rPr>
              <w:t>(1)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Returns</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Provision:</w:t>
            </w:r>
          </w:p>
        </w:tc>
        <w:tc>
          <w:tcPr>
            <w:tcW w:w="56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year</w:t>
            </w: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6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Prior year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537.1</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6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Payments and credits related to:</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year sales</w:t>
            </w: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(353.6)</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(70.8)</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Prior year sales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(542.5)</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(371.7)</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(15.5)</w:t>
            </w:r>
          </w:p>
        </w:tc>
        <w:tc>
          <w:tcPr>
            <w:tcW w:w="16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(84.3)</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(1,014.0)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5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6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8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w:t>
            </w:r>
          </w:p>
        </w:tc>
        <w:tc>
          <w:tcPr>
            <w:tcW w:w="5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year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Prior year</w:t>
            </w: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(0.4)</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1,027.8</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Payments and credits related to:</w:t>
            </w: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year sales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(392.8)</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(398.9)</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(80.1)</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Prior year sales</w:t>
            </w: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(520.3)</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(422.8)</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(92.7)</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-2038350</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-2038350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-2038350</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-2038350</wp:posOffset>
            </wp:positionV>
            <wp:extent cx="47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-2038350</wp:posOffset>
            </wp:positionV>
            <wp:extent cx="5461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-1144905</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-1144905</wp:posOffset>
            </wp:positionV>
            <wp:extent cx="476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-1144905</wp:posOffset>
            </wp:positionV>
            <wp:extent cx="4762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-1144905</wp:posOffset>
            </wp:positionV>
            <wp:extent cx="476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-1144905</wp:posOffset>
            </wp:positionV>
            <wp:extent cx="546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-694690</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-694690</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-694690</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-694690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-694690</wp:posOffset>
            </wp:positionV>
            <wp:extent cx="5461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-251460</wp:posOffset>
            </wp:positionV>
            <wp:extent cx="476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-251460</wp:posOffset>
            </wp:positionV>
            <wp:extent cx="4762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-251460</wp:posOffset>
            </wp:positionV>
            <wp:extent cx="476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-251460</wp:posOffset>
            </wp:positionV>
            <wp:extent cx="476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-251460</wp:posOffset>
            </wp:positionV>
            <wp:extent cx="5461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-19685</wp:posOffset>
            </wp:positionV>
            <wp:extent cx="476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-6350</wp:posOffset>
            </wp:positionV>
            <wp:extent cx="476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-19685</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-6350</wp:posOffset>
            </wp:positionV>
            <wp:extent cx="476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-19685</wp:posOffset>
            </wp:positionV>
            <wp:extent cx="476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-6350</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-19685</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-6350</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45" w:lineRule="exact"/>
        <w:rPr>
          <w:sz w:val="20"/>
          <w:szCs w:val="20"/>
          <w:color w:val="auto"/>
        </w:rPr>
      </w:pPr>
    </w:p>
    <w:p>
      <w:pPr>
        <w:ind w:left="1160" w:hanging="264"/>
        <w:spacing w:after="0"/>
        <w:tabs>
          <w:tab w:leader="none" w:pos="11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“Contractual Adjustments” include “Medicaid Rebates” and “Medicare Part D” accruals</w:t>
      </w:r>
    </w:p>
    <w:p>
      <w:pPr>
        <w:spacing w:after="0" w:line="3" w:lineRule="exact"/>
        <w:rPr>
          <w:rFonts w:ascii="Times New Roman" w:cs="Times New Roman" w:eastAsia="Times New Roman" w:hAnsi="Times New Roman"/>
          <w:sz w:val="11"/>
          <w:szCs w:val="11"/>
          <w:color w:val="auto"/>
        </w:rPr>
      </w:pPr>
    </w:p>
    <w:p>
      <w:pPr>
        <w:ind w:left="1160" w:hanging="264"/>
        <w:spacing w:after="0"/>
        <w:tabs>
          <w:tab w:leader="none" w:pos="11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“Discounts” include “Chargebacks” and “Product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-158115</wp:posOffset>
            </wp:positionV>
            <wp:extent cx="81851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6985"/>
                    </a:xfrm>
                    <a:prstGeom prst="rect">
                      <a:avLst/>
                    </a:prstGeom>
                    <a:noFill/>
                  </pic:spPr>
                </pic:pic>
              </a:graphicData>
            </a:graphic>
          </wp:anchor>
        </w:drawing>
      </w:r>
    </w:p>
    <w:p>
      <w:pPr>
        <w:spacing w:after="0" w:line="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70AD47"/>
        </w:rPr>
        <w:t>Manufacturing Revenue</w:t>
      </w:r>
    </w:p>
    <w:p>
      <w:pPr>
        <w:spacing w:after="0" w:line="13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recognize manufacturing revenues from the sale of products we manufacture for resale by our licensees. Substantially all of our manufacturing revenues are recognized at a point in time when control of the product passes to the licensee. The sales price for certain of our manufacturing revenues is based on the end-market sales price earned by our licensees. As end-market sales generally occur after we have recorded manufacturing revenue, we estimate the sales price for such products based on information supplied to us by our licensees, our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our actual and estimated manufacturing revenues have not been material to date.</w:t>
      </w:r>
    </w:p>
    <w:p>
      <w:pPr>
        <w:spacing w:after="0" w:line="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70AD47"/>
        </w:rPr>
        <w:t>Royalty Revenue</w:t>
      </w:r>
    </w:p>
    <w:p>
      <w:pPr>
        <w:spacing w:after="0" w:line="131"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We recognize royalty revenues related to the sale by our licensees of products that incorporate our technology. All of our royalties qualify for the sales-and-usage exemption under Topic 606 as (i) such royalties are based strictly on the sales-and-usage by the licensee; and (ii) a license of IP is the sole or predominant item to which such royalties relate. Based on this exemption, such royalties are earned in the period the products are sold by our licensees and we have a present right to payment.</w:t>
      </w:r>
    </w:p>
    <w:p>
      <w:pPr>
        <w:spacing w:after="0" w:line="86"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Certain of our royalty revenues are recognized based on information supplied to us by our licensees and require estimates to be made. Differences between actual royalty revenues and estimated royalty revenues are reconciled and adjusted for in the period in which they become known, which is generally within the same quarter. The differences between our actual and estimated royalty revenues have not been material to date.</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Discontinued Operations</w:t>
      </w:r>
    </w:p>
    <w:p>
      <w:pPr>
        <w:spacing w:after="0" w:line="133"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 xml:space="preserve">We determined that the separation of our former oncology business, which was completed on November 15, 2023, represented a disposal plan that met the criteria for classification of the oncology business as a discontinued operation in accordance with ASC 205-20,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Accordingly, the accompanying consolidated financial statements for all periods have been updated to present the assets and liabilities associated with the oncology business separately as discontinued operations on the consolidated balance sheet and the results of such discontinued operations reported as a separate component of income in the consolidated statements of operations and comprehensive income.</w:t>
      </w:r>
    </w:p>
    <w:p>
      <w:pPr>
        <w:spacing w:after="0" w:line="89" w:lineRule="exact"/>
        <w:rPr>
          <w:sz w:val="20"/>
          <w:szCs w:val="20"/>
          <w:color w:val="auto"/>
        </w:rPr>
      </w:pPr>
    </w:p>
    <w:p>
      <w:pPr>
        <w:ind w:left="640" w:right="1279" w:firstLine="351"/>
        <w:spacing w:after="0" w:line="295" w:lineRule="auto"/>
        <w:rPr>
          <w:sz w:val="20"/>
          <w:szCs w:val="20"/>
          <w:color w:val="auto"/>
        </w:rPr>
      </w:pPr>
      <w:r>
        <w:rPr>
          <w:rFonts w:ascii="Times New Roman" w:cs="Times New Roman" w:eastAsia="Times New Roman" w:hAnsi="Times New Roman"/>
          <w:sz w:val="14"/>
          <w:szCs w:val="14"/>
          <w:color w:val="auto"/>
        </w:rPr>
        <w:t xml:space="preserve">For additional information related to discontinued operations, see Note 15,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in our “Notes to Consolidated Financial Statements” in this Annual Report.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Impairment of Long-Lived Assets</w:t>
      </w:r>
    </w:p>
    <w:p>
      <w:pPr>
        <w:spacing w:after="0" w:line="133"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Long-lived assets, other than goodwill which is separately tested for impairment, are evaluated for impairment whenever events or changes in circumstances indicate the carrying value of an asset may not be recoverable. 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over the remaining useful life of that asset.</w:t>
      </w:r>
    </w:p>
    <w:p>
      <w:pPr>
        <w:spacing w:after="0" w:line="95"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When reviewing long-lived assets for impairment, we group long-lived assets with other assets and liabilities at the lowest level for which identifiable cash flows are largely independent of the cash flows of other assets and liabilities. 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Valuation of Deferred Tax Assets</w:t>
      </w:r>
    </w:p>
    <w:p>
      <w:pPr>
        <w:spacing w:after="0" w:line="133"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evaluate the need for deferred tax asset valuation allowances based on a more-likely-than-not standard. The ability to realize deferred 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54" w:lineRule="exact"/>
        <w:rPr>
          <w:sz w:val="20"/>
          <w:szCs w:val="20"/>
          <w:color w:val="auto"/>
        </w:rPr>
      </w:pPr>
    </w:p>
    <w:p>
      <w:pPr>
        <w:ind w:left="1340" w:hanging="249"/>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reversals of existing taxable temporary differences;</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taxable income exclusive of reversing temporary differences and carryforwards;</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taxable income in prior carryback years; and</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tax-planning strategies.</w:t>
      </w:r>
    </w:p>
    <w:p>
      <w:pPr>
        <w:spacing w:after="0" w:line="129"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assessment regarding whether a valuation allowance is required or should be adjusted also considers all available positive and negative evidence factors including, but not limited to:</w:t>
      </w:r>
    </w:p>
    <w:p>
      <w:pPr>
        <w:spacing w:after="0" w:line="38" w:lineRule="exact"/>
        <w:rPr>
          <w:sz w:val="20"/>
          <w:szCs w:val="20"/>
          <w:color w:val="auto"/>
        </w:rPr>
      </w:pPr>
    </w:p>
    <w:p>
      <w:pPr>
        <w:ind w:left="1340" w:hanging="249"/>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nature, frequency and severity of recent losses;</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duration of statutory carryforward periods;</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experience with tax attributes expiring unused; and</w:t>
      </w:r>
    </w:p>
    <w:p>
      <w:pPr>
        <w:spacing w:after="0" w:line="96"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near- and medium-term financial outlook.</w:t>
      </w:r>
    </w:p>
    <w:p>
      <w:pPr>
        <w:spacing w:after="0" w:line="118"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 xml:space="preserve">We utilize a rolling three years of actual and current year anticipated results as the primary measures of cumulative income (losses) in recent years. For additional information related to our assessment of our valuation allowance, see Note 17,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in the “Notes to Consolidated Financial Statements” in this Annual Report.</w:t>
      </w:r>
    </w:p>
    <w:p>
      <w:pPr>
        <w:spacing w:after="0" w:line="82"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evaluation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 For information related to risks surrounding our deferred tax assets, see “Item 1A—Risk Factors” in this Annual Report and specifically the section entitled “Our deferred tax assets may not be realized.”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73" w:name="page74"/>
    <w:bookmarkEnd w:id="73"/>
    <w:p>
      <w:pPr>
        <w:ind w:left="640"/>
        <w:spacing w:after="0"/>
        <w:rPr>
          <w:sz w:val="20"/>
          <w:szCs w:val="20"/>
          <w:color w:val="auto"/>
        </w:rPr>
      </w:pPr>
      <w:r>
        <w:rPr>
          <w:rFonts w:ascii="Times New Roman" w:cs="Times New Roman" w:eastAsia="Times New Roman" w:hAnsi="Times New Roman"/>
          <w:sz w:val="14"/>
          <w:szCs w:val="14"/>
          <w:b w:val="1"/>
          <w:bCs w:val="1"/>
          <w:color w:val="2E74B5"/>
        </w:rPr>
        <w:t>Recent Accounting Pronouncements</w:t>
      </w:r>
    </w:p>
    <w:p>
      <w:pPr>
        <w:spacing w:after="0" w:line="161" w:lineRule="exact"/>
        <w:rPr>
          <w:sz w:val="20"/>
          <w:szCs w:val="20"/>
          <w:color w:val="auto"/>
        </w:rPr>
      </w:pPr>
    </w:p>
    <w:p>
      <w:pPr>
        <w:ind w:left="640" w:right="899" w:firstLine="351"/>
        <w:spacing w:after="0" w:line="295" w:lineRule="auto"/>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“New Accounting Pronouncements” in our “Notes to Consolidated Financial Statements” in this Annual Report for discussion, if any, of new accounting standards.</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7A. </w:t>
      </w:r>
      <w:r>
        <w:rPr>
          <w:rFonts w:ascii="Times New Roman" w:cs="Times New Roman" w:eastAsia="Times New Roman" w:hAnsi="Times New Roman"/>
          <w:sz w:val="14"/>
          <w:szCs w:val="14"/>
          <w:b w:val="1"/>
          <w:bCs w:val="1"/>
          <w:i w:val="1"/>
          <w:iCs w:val="1"/>
          <w:color w:val="0070C0"/>
        </w:rPr>
        <w:t>Quantitative and Qualitative Disclosures about Market Risk</w:t>
      </w:r>
    </w:p>
    <w:p>
      <w:pPr>
        <w:spacing w:after="0" w:line="133"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hold securities in our investment portfolio that are sensitive to market risks. Our securities with fixed interest rates may have their market value adversely impacted by a rise in interest rates, while floating rate securities may produce less income than expected if interest rates fall. Due in part to these factors, our future investment income may fall short of expectations due to a fall in interest rates or we may suffer losses in principal if we are forced to sell securities that decline in market value due to changes in interest rates. However, because we classify our investments in debt securities as available-for-sale, no gains or losses are recognized due to changes in interest rates unless such securities are sold prior to maturity or declines in fair value are determined to be other-than-temporary. Should interest rates fluctuate by 10%, our interest income would change by an immaterial amount over an annual period. We do not believe that we have a material exposure to interest rate risk as our investment policies specify credit quality standards for our investments and limit the amount of credit exposure from any single issue, issuer or type of investment.</w:t>
      </w:r>
    </w:p>
    <w:p>
      <w:pPr>
        <w:spacing w:after="0" w:line="84"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We do not believe our exposure to liquidity and credit risk to be significant as approximately 49% and 51% of our investments at December 31, 2025 are in corporate debt securities with a minimum rating of A2 (Moody’s)/A (Standard and Poor’s) and debt securities issued by the U.S. government or its agencies, respectively. We have the intent and ability to hold these securities until recovery, which may be at maturity.</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Currency Exchange Rate Risk</w:t>
      </w:r>
    </w:p>
    <w:p>
      <w:pPr>
        <w:spacing w:after="0" w:line="120"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Manufacturing and royalty revenues that we receive on certain of our products and services are a percentage of the net sales made by our licensees, and a portion of these sales are made in countries outside the U.S. and are denominated in currencies in which the product is sold, which is predominantly the euro. The manufacturing and royalty payments on these non-U.S. sales are calculated initially in the currency in which the sale is made and are then converted into USD to determine the amount that our licensees pay us for manufacturing and royalty revenues. Fluctuations in the exchange ratio of the USD and these non-U.S. currencies will have the effect of increasing or decreasing our revenues even if there is a constant amount of sales in non-U.S. currencies. For example, if the USD weakens against a non-U.S. currency, then our revenues will increase given a constant amount of sales in such non-U.S. currency. For the year ended December 31, 2025, an average 10% strengthening of the USD relative to the currencies in which these products are sold would have resulted in revenues being reduced by approximately $13.9 million, as compared to a reduction in revenues of approximately $8.9 million for the year ended December 31, 2024.</w:t>
      </w:r>
    </w:p>
    <w:p>
      <w:pPr>
        <w:spacing w:after="0" w:line="92"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We incur significant operating costs in Ireland and face exposure to changes in the exchange ratio of the USD and the euro arising from expenses and payables at our Irish operations that are settled in euro. The impact of changes in the exchange ratio of the USD and the euro on our USD-denominated revenues earned in countries other than the U.S. is partially offset by the opposite impact of changes in the exchange ratio of the USD and the euro on operating expenses and payables incurred at our Irish operations that are settled in euro. For the year ended December 31, 2025, an average 10% weakening in the USD relative to the euro would have resulted in an increase to our expenses denominated in euro of approximately $3.7 million, as compared to an increase in our expenses of approximately $3.9 million for the year ended December 31, 2024.</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74" w:name="page75"/>
    <w:bookmarkEnd w:id="74"/>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8. </w:t>
      </w:r>
      <w:r>
        <w:rPr>
          <w:rFonts w:ascii="Times New Roman" w:cs="Times New Roman" w:eastAsia="Times New Roman" w:hAnsi="Times New Roman"/>
          <w:sz w:val="14"/>
          <w:szCs w:val="14"/>
          <w:b w:val="1"/>
          <w:bCs w:val="1"/>
          <w:i w:val="1"/>
          <w:iCs w:val="1"/>
          <w:color w:val="0070C0"/>
        </w:rPr>
        <w:t>Financial Statements and Supplementary Data</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113665</wp:posOffset>
            </wp:positionV>
            <wp:extent cx="80010" cy="1892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0010" cy="18923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113665</wp:posOffset>
            </wp:positionV>
            <wp:extent cx="80010" cy="1892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0010" cy="189230"/>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113665</wp:posOffset>
            </wp:positionV>
            <wp:extent cx="80010" cy="1892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0010" cy="18923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113665</wp:posOffset>
            </wp:positionV>
            <wp:extent cx="80010" cy="1892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0010" cy="189230"/>
                    </a:xfrm>
                    <a:prstGeom prst="rect">
                      <a:avLst/>
                    </a:prstGeom>
                    <a:noFill/>
                  </pic:spPr>
                </pic:pic>
              </a:graphicData>
            </a:graphic>
          </wp:anchor>
        </w:drawing>
      </w:r>
    </w:p>
    <w:p>
      <w:pPr>
        <w:spacing w:after="0" w:line="159" w:lineRule="exact"/>
        <w:rPr>
          <w:sz w:val="20"/>
          <w:szCs w:val="20"/>
          <w:color w:val="auto"/>
        </w:rPr>
      </w:pPr>
    </w:p>
    <w:tbl>
      <w:tblPr>
        <w:tblLayout w:type="fixed"/>
        <w:tblInd w:w="64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351"/>
              <w:spacing w:after="0" w:line="110" w:lineRule="exact"/>
              <w:rPr>
                <w:sz w:val="20"/>
                <w:szCs w:val="20"/>
                <w:color w:val="auto"/>
              </w:rPr>
            </w:pPr>
            <w:r>
              <w:rPr>
                <w:rFonts w:ascii="Times New Roman" w:cs="Times New Roman" w:eastAsia="Times New Roman" w:hAnsi="Times New Roman"/>
                <w:sz w:val="11"/>
                <w:szCs w:val="11"/>
                <w:b w:val="1"/>
                <w:bCs w:val="1"/>
                <w:color w:val="auto"/>
              </w:rPr>
              <w:t>First</w:t>
            </w: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332"/>
              <w:spacing w:after="0" w:line="110" w:lineRule="exact"/>
              <w:rPr>
                <w:sz w:val="20"/>
                <w:szCs w:val="20"/>
                <w:color w:val="auto"/>
              </w:rPr>
            </w:pPr>
            <w:r>
              <w:rPr>
                <w:rFonts w:ascii="Times New Roman" w:cs="Times New Roman" w:eastAsia="Times New Roman" w:hAnsi="Times New Roman"/>
                <w:sz w:val="11"/>
                <w:szCs w:val="11"/>
                <w:b w:val="1"/>
                <w:bCs w:val="1"/>
                <w:color w:val="auto"/>
              </w:rPr>
              <w:t>Second</w:t>
            </w: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71"/>
              <w:spacing w:after="0" w:line="110" w:lineRule="exact"/>
              <w:rPr>
                <w:sz w:val="20"/>
                <w:szCs w:val="20"/>
                <w:color w:val="auto"/>
              </w:rPr>
            </w:pPr>
            <w:r>
              <w:rPr>
                <w:rFonts w:ascii="Times New Roman" w:cs="Times New Roman" w:eastAsia="Times New Roman" w:hAnsi="Times New Roman"/>
                <w:sz w:val="11"/>
                <w:szCs w:val="11"/>
                <w:b w:val="1"/>
                <w:bCs w:val="1"/>
                <w:color w:val="auto"/>
              </w:rPr>
              <w:t>Third</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Fourth</w:t>
            </w: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131"/>
              <w:spacing w:after="0" w:line="11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gridSpan w:val="5"/>
          </w:tcPr>
          <w:p>
            <w:pPr>
              <w:jc w:val="center"/>
              <w:ind w:right="151"/>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306,510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390,657</w:t>
            </w:r>
          </w:p>
        </w:tc>
        <w:tc>
          <w:tcPr>
            <w:tcW w:w="100" w:type="dxa"/>
            <w:vAlign w:val="bottom"/>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394,185</w:t>
            </w:r>
          </w:p>
        </w:tc>
        <w:tc>
          <w:tcPr>
            <w:tcW w:w="10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384,547</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1,475,899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right w:val="single" w:sz="8" w:color="CFF0FC"/>
            </w:tcBorders>
            <w:shd w:val="clear" w:color="auto" w:fill="CFF0FC"/>
          </w:tcPr>
          <w:p>
            <w:pPr>
              <w:jc w:val="right"/>
              <w:ind w:right="111"/>
              <w:spacing w:after="0"/>
              <w:rPr>
                <w:sz w:val="20"/>
                <w:szCs w:val="20"/>
                <w:color w:val="auto"/>
              </w:rPr>
            </w:pPr>
            <w:r>
              <w:rPr>
                <w:rFonts w:ascii="Times New Roman" w:cs="Times New Roman" w:eastAsia="Times New Roman" w:hAnsi="Times New Roman"/>
                <w:sz w:val="14"/>
                <w:szCs w:val="14"/>
                <w:color w:val="auto"/>
              </w:rPr>
              <w:t>292,718</w:t>
            </w: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rPr>
              <w:t>297,679</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rPr>
              <w:t>305,103</w:t>
            </w: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326,443</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1,221,943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income from continuing operations</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13,792</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92,978</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89,082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58,104</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253,956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111"/>
              <w:spacing w:after="0"/>
              <w:rPr>
                <w:sz w:val="20"/>
                <w:szCs w:val="20"/>
                <w:color w:val="auto"/>
              </w:rPr>
            </w:pPr>
            <w:r>
              <w:rPr>
                <w:rFonts w:ascii="Times New Roman" w:cs="Times New Roman" w:eastAsia="Times New Roman" w:hAnsi="Times New Roman"/>
                <w:sz w:val="14"/>
                <w:szCs w:val="14"/>
                <w:color w:val="auto"/>
              </w:rPr>
              <w:t>22,464</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rPr>
              <w:t>87,098</w:t>
            </w:r>
          </w:p>
        </w:tc>
        <w:tc>
          <w:tcPr>
            <w:tcW w:w="10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right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rPr>
              <w:t>82,761</w:t>
            </w:r>
          </w:p>
        </w:tc>
        <w:tc>
          <w:tcPr>
            <w:tcW w:w="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right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49,341</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241,664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400" w:type="dxa"/>
            <w:vAlign w:val="bottom"/>
            <w:shd w:val="clear" w:color="auto" w:fill="D0F0FC"/>
          </w:tcPr>
          <w:p>
            <w:pPr>
              <w:spacing w:after="0"/>
              <w:rPr>
                <w:sz w:val="20"/>
                <w:szCs w:val="20"/>
                <w:color w:val="auto"/>
              </w:rPr>
            </w:pPr>
            <w:r>
              <w:rPr>
                <w:rFonts w:ascii="Times New Roman" w:cs="Times New Roman" w:eastAsia="Times New Roman" w:hAnsi="Times New Roman"/>
                <w:sz w:val="14"/>
                <w:szCs w:val="14"/>
                <w:b w:val="1"/>
                <w:bCs w:val="1"/>
                <w:color w:val="auto"/>
              </w:rPr>
              <w:t>Earnings per share—basic:</w:t>
            </w:r>
          </w:p>
        </w:tc>
        <w:tc>
          <w:tcPr>
            <w:tcW w:w="120" w:type="dxa"/>
            <w:vAlign w:val="bottom"/>
            <w:shd w:val="clear" w:color="auto" w:fill="D0F0FC"/>
          </w:tcPr>
          <w:p>
            <w:pPr>
              <w:spacing w:after="0"/>
              <w:rPr>
                <w:sz w:val="14"/>
                <w:szCs w:val="14"/>
                <w:color w:val="auto"/>
              </w:rPr>
            </w:pPr>
          </w:p>
        </w:tc>
        <w:tc>
          <w:tcPr>
            <w:tcW w:w="760" w:type="dxa"/>
            <w:vAlign w:val="bottom"/>
            <w:tcBorders>
              <w:right w:val="single" w:sz="8" w:color="D0F0FC"/>
            </w:tcBorders>
            <w:shd w:val="clear" w:color="auto" w:fill="D0F0FC"/>
          </w:tcPr>
          <w:p>
            <w:pPr>
              <w:spacing w:after="0"/>
              <w:rPr>
                <w:sz w:val="14"/>
                <w:szCs w:val="14"/>
                <w:color w:val="auto"/>
              </w:rPr>
            </w:pPr>
          </w:p>
        </w:tc>
        <w:tc>
          <w:tcPr>
            <w:tcW w:w="120" w:type="dxa"/>
            <w:vAlign w:val="bottom"/>
            <w:tcBorders>
              <w:left w:val="single" w:sz="8" w:color="D0F0FC"/>
            </w:tcBorders>
            <w:shd w:val="clear" w:color="auto" w:fill="D0F0FC"/>
          </w:tcPr>
          <w:p>
            <w:pPr>
              <w:spacing w:after="0"/>
              <w:rPr>
                <w:sz w:val="14"/>
                <w:szCs w:val="14"/>
                <w:color w:val="auto"/>
              </w:rPr>
            </w:pPr>
          </w:p>
        </w:tc>
        <w:tc>
          <w:tcPr>
            <w:tcW w:w="780" w:type="dxa"/>
            <w:vAlign w:val="bottom"/>
            <w:tcBorders>
              <w:right w:val="single" w:sz="8" w:color="D0F0FC"/>
            </w:tcBorders>
            <w:shd w:val="clear" w:color="auto" w:fill="D0F0FC"/>
          </w:tcPr>
          <w:p>
            <w:pPr>
              <w:spacing w:after="0"/>
              <w:rPr>
                <w:sz w:val="14"/>
                <w:szCs w:val="14"/>
                <w:color w:val="auto"/>
              </w:rPr>
            </w:pPr>
          </w:p>
        </w:tc>
        <w:tc>
          <w:tcPr>
            <w:tcW w:w="100" w:type="dxa"/>
            <w:vAlign w:val="bottom"/>
            <w:shd w:val="clear" w:color="auto" w:fill="D0F0FC"/>
          </w:tcPr>
          <w:p>
            <w:pPr>
              <w:spacing w:after="0"/>
              <w:rPr>
                <w:sz w:val="14"/>
                <w:szCs w:val="14"/>
                <w:color w:val="auto"/>
              </w:rPr>
            </w:pPr>
          </w:p>
        </w:tc>
        <w:tc>
          <w:tcPr>
            <w:tcW w:w="780" w:type="dxa"/>
            <w:vAlign w:val="bottom"/>
            <w:tcBorders>
              <w:right w:val="single" w:sz="8" w:color="D0F0FC"/>
            </w:tcBorders>
            <w:shd w:val="clear" w:color="auto" w:fill="D0F0FC"/>
          </w:tcPr>
          <w:p>
            <w:pPr>
              <w:spacing w:after="0"/>
              <w:rPr>
                <w:sz w:val="14"/>
                <w:szCs w:val="14"/>
                <w:color w:val="auto"/>
              </w:rPr>
            </w:pPr>
          </w:p>
        </w:tc>
        <w:tc>
          <w:tcPr>
            <w:tcW w:w="100" w:type="dxa"/>
            <w:vAlign w:val="bottom"/>
            <w:shd w:val="clear" w:color="auto" w:fill="D0F0FC"/>
          </w:tcPr>
          <w:p>
            <w:pPr>
              <w:spacing w:after="0"/>
              <w:rPr>
                <w:sz w:val="14"/>
                <w:szCs w:val="14"/>
                <w:color w:val="auto"/>
              </w:rPr>
            </w:pPr>
          </w:p>
        </w:tc>
        <w:tc>
          <w:tcPr>
            <w:tcW w:w="680" w:type="dxa"/>
            <w:vAlign w:val="bottom"/>
            <w:tcBorders>
              <w:right w:val="single" w:sz="8" w:color="D0F0FC"/>
            </w:tcBorders>
            <w:shd w:val="clear" w:color="auto" w:fill="D0F0FC"/>
          </w:tcPr>
          <w:p>
            <w:pPr>
              <w:spacing w:after="0"/>
              <w:rPr>
                <w:sz w:val="14"/>
                <w:szCs w:val="14"/>
                <w:color w:val="auto"/>
              </w:rPr>
            </w:pPr>
          </w:p>
        </w:tc>
        <w:tc>
          <w:tcPr>
            <w:tcW w:w="80" w:type="dxa"/>
            <w:vAlign w:val="bottom"/>
            <w:shd w:val="clear" w:color="auto" w:fill="D0F0FC"/>
          </w:tcPr>
          <w:p>
            <w:pPr>
              <w:spacing w:after="0"/>
              <w:rPr>
                <w:sz w:val="14"/>
                <w:szCs w:val="14"/>
                <w:color w:val="auto"/>
              </w:rPr>
            </w:pPr>
          </w:p>
        </w:tc>
        <w:tc>
          <w:tcPr>
            <w:tcW w:w="100" w:type="dxa"/>
            <w:vAlign w:val="bottom"/>
            <w:shd w:val="clear" w:color="auto" w:fill="D0F0FC"/>
          </w:tcPr>
          <w:p>
            <w:pPr>
              <w:spacing w:after="0"/>
              <w:rPr>
                <w:sz w:val="14"/>
                <w:szCs w:val="14"/>
                <w:color w:val="auto"/>
              </w:rPr>
            </w:pPr>
          </w:p>
        </w:tc>
        <w:tc>
          <w:tcPr>
            <w:tcW w:w="700" w:type="dxa"/>
            <w:vAlign w:val="bottom"/>
            <w:shd w:val="clear" w:color="auto" w:fill="D0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From continuing operations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0.30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40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From discontinued operations</w:t>
            </w:r>
          </w:p>
        </w:tc>
        <w:tc>
          <w:tcPr>
            <w:tcW w:w="1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right w:val="single" w:sz="8" w:color="CFF0FC"/>
            </w:tcBorders>
            <w:shd w:val="clear" w:color="auto" w:fill="CFF0FC"/>
          </w:tcPr>
          <w:p>
            <w:pPr>
              <w:jc w:val="right"/>
              <w:ind w:right="111"/>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ind w:right="131"/>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right w:val="single" w:sz="8" w:color="CFF0FC"/>
            </w:tcBorders>
            <w:shd w:val="clear" w:color="auto" w:fill="CFF0FC"/>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34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From net income</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1"/>
              <w:spacing w:after="0" w:line="144" w:lineRule="exact"/>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ind w:right="131"/>
              <w:spacing w:after="0" w:line="144" w:lineRule="exact"/>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0.30</w:t>
            </w:r>
          </w:p>
        </w:tc>
        <w:tc>
          <w:tcPr>
            <w:tcW w:w="18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Earnings per share—diluted: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From continuing operations</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111"/>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right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right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0.29</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From discontinued operations</w:t>
            </w:r>
          </w:p>
        </w:tc>
        <w:tc>
          <w:tcPr>
            <w:tcW w:w="120" w:type="dxa"/>
            <w:vAlign w:val="bottom"/>
          </w:tcPr>
          <w:p>
            <w:pPr>
              <w:spacing w:after="0"/>
              <w:rPr>
                <w:sz w:val="12"/>
                <w:szCs w:val="12"/>
                <w:color w:val="auto"/>
              </w:rPr>
            </w:pPr>
          </w:p>
        </w:tc>
        <w:tc>
          <w:tcPr>
            <w:tcW w:w="760" w:type="dxa"/>
            <w:vAlign w:val="bottom"/>
          </w:tcPr>
          <w:p>
            <w:pPr>
              <w:jc w:val="right"/>
              <w:ind w:right="111"/>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131"/>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4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From net income</w:t>
            </w:r>
          </w:p>
        </w:tc>
        <w:tc>
          <w:tcPr>
            <w:tcW w:w="1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111"/>
              <w:spacing w:after="0" w:line="144" w:lineRule="exact"/>
              <w:rPr>
                <w:sz w:val="20"/>
                <w:szCs w:val="20"/>
                <w:color w:val="auto"/>
              </w:rPr>
            </w:pPr>
            <w:r>
              <w:rPr>
                <w:rFonts w:ascii="Times New Roman" w:cs="Times New Roman" w:eastAsia="Times New Roman" w:hAnsi="Times New Roman"/>
                <w:sz w:val="14"/>
                <w:szCs w:val="14"/>
                <w:color w:val="auto"/>
              </w:rPr>
              <w:t>0.13</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FF0FC"/>
            </w:tcBorders>
            <w:shd w:val="clear" w:color="auto" w:fill="CFF0FC"/>
          </w:tcPr>
          <w:p>
            <w:pPr>
              <w:jc w:val="right"/>
              <w:ind w:right="132"/>
              <w:spacing w:after="0" w:line="144" w:lineRule="exact"/>
              <w:rPr>
                <w:sz w:val="20"/>
                <w:szCs w:val="20"/>
                <w:color w:val="auto"/>
              </w:rPr>
            </w:pPr>
            <w:r>
              <w:rPr>
                <w:rFonts w:ascii="Times New Roman" w:cs="Times New Roman" w:eastAsia="Times New Roman" w:hAnsi="Times New Roman"/>
                <w:sz w:val="14"/>
                <w:szCs w:val="14"/>
                <w:color w:val="auto"/>
              </w:rPr>
              <w:t>0.52</w:t>
            </w:r>
          </w:p>
        </w:tc>
        <w:tc>
          <w:tcPr>
            <w:tcW w:w="10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right w:val="single" w:sz="8" w:color="CFF0FC"/>
            </w:tcBorders>
            <w:shd w:val="clear" w:color="auto" w:fill="CFF0FC"/>
          </w:tcPr>
          <w:p>
            <w:pPr>
              <w:jc w:val="right"/>
              <w:ind w:right="131"/>
              <w:spacing w:after="0" w:line="144" w:lineRule="exact"/>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right w:val="single" w:sz="8" w:color="CFF0FC"/>
            </w:tcBorders>
            <w:shd w:val="clear" w:color="auto" w:fill="CFF0FC"/>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0.29</w:t>
            </w:r>
          </w:p>
        </w:tc>
        <w:tc>
          <w:tcPr>
            <w:tcW w:w="18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right"/>
              <w:ind w:right="331"/>
              <w:spacing w:after="0" w:line="90" w:lineRule="exact"/>
              <w:rPr>
                <w:sz w:val="20"/>
                <w:szCs w:val="20"/>
                <w:color w:val="auto"/>
              </w:rPr>
            </w:pPr>
            <w:r>
              <w:rPr>
                <w:rFonts w:ascii="Times New Roman" w:cs="Times New Roman" w:eastAsia="Times New Roman" w:hAnsi="Times New Roman"/>
                <w:sz w:val="10"/>
                <w:szCs w:val="10"/>
                <w:b w:val="1"/>
                <w:bCs w:val="1"/>
                <w:color w:val="auto"/>
              </w:rPr>
              <w:t>First</w:t>
            </w:r>
          </w:p>
        </w:tc>
        <w:tc>
          <w:tcPr>
            <w:tcW w:w="120" w:type="dxa"/>
            <w:vAlign w:val="bottom"/>
          </w:tcPr>
          <w:p>
            <w:pPr>
              <w:spacing w:after="0"/>
              <w:rPr>
                <w:sz w:val="7"/>
                <w:szCs w:val="7"/>
                <w:color w:val="auto"/>
              </w:rPr>
            </w:pPr>
          </w:p>
        </w:tc>
        <w:tc>
          <w:tcPr>
            <w:tcW w:w="780" w:type="dxa"/>
            <w:vAlign w:val="bottom"/>
          </w:tcPr>
          <w:p>
            <w:pPr>
              <w:jc w:val="right"/>
              <w:ind w:right="272"/>
              <w:spacing w:after="0" w:line="90" w:lineRule="exact"/>
              <w:rPr>
                <w:sz w:val="20"/>
                <w:szCs w:val="20"/>
                <w:color w:val="auto"/>
              </w:rPr>
            </w:pPr>
            <w:r>
              <w:rPr>
                <w:rFonts w:ascii="Times New Roman" w:cs="Times New Roman" w:eastAsia="Times New Roman" w:hAnsi="Times New Roman"/>
                <w:sz w:val="10"/>
                <w:szCs w:val="10"/>
                <w:b w:val="1"/>
                <w:bCs w:val="1"/>
                <w:color w:val="auto"/>
              </w:rPr>
              <w:t>Second</w:t>
            </w:r>
          </w:p>
        </w:tc>
        <w:tc>
          <w:tcPr>
            <w:tcW w:w="100" w:type="dxa"/>
            <w:vAlign w:val="bottom"/>
          </w:tcPr>
          <w:p>
            <w:pPr>
              <w:spacing w:after="0"/>
              <w:rPr>
                <w:sz w:val="7"/>
                <w:szCs w:val="7"/>
                <w:color w:val="auto"/>
              </w:rPr>
            </w:pPr>
          </w:p>
        </w:tc>
        <w:tc>
          <w:tcPr>
            <w:tcW w:w="780" w:type="dxa"/>
            <w:vAlign w:val="bottom"/>
          </w:tcPr>
          <w:p>
            <w:pPr>
              <w:jc w:val="center"/>
              <w:ind w:right="231"/>
              <w:spacing w:after="0" w:line="90" w:lineRule="exact"/>
              <w:rPr>
                <w:sz w:val="20"/>
                <w:szCs w:val="20"/>
                <w:color w:val="auto"/>
              </w:rPr>
            </w:pPr>
            <w:r>
              <w:rPr>
                <w:rFonts w:ascii="Times New Roman" w:cs="Times New Roman" w:eastAsia="Times New Roman" w:hAnsi="Times New Roman"/>
                <w:sz w:val="10"/>
                <w:szCs w:val="10"/>
                <w:b w:val="1"/>
                <w:bCs w:val="1"/>
                <w:color w:val="auto"/>
              </w:rPr>
              <w:t>Third</w:t>
            </w:r>
          </w:p>
        </w:tc>
        <w:tc>
          <w:tcPr>
            <w:tcW w:w="100" w:type="dxa"/>
            <w:vAlign w:val="bottom"/>
          </w:tcPr>
          <w:p>
            <w:pPr>
              <w:spacing w:after="0"/>
              <w:rPr>
                <w:sz w:val="7"/>
                <w:szCs w:val="7"/>
                <w:color w:val="auto"/>
              </w:rPr>
            </w:pPr>
          </w:p>
        </w:tc>
        <w:tc>
          <w:tcPr>
            <w:tcW w:w="680" w:type="dxa"/>
            <w:vAlign w:val="bottom"/>
          </w:tcPr>
          <w:p>
            <w:pPr>
              <w:jc w:val="right"/>
              <w:ind w:right="211"/>
              <w:spacing w:after="0" w:line="90" w:lineRule="exact"/>
              <w:rPr>
                <w:sz w:val="20"/>
                <w:szCs w:val="20"/>
                <w:color w:val="auto"/>
              </w:rPr>
            </w:pPr>
            <w:r>
              <w:rPr>
                <w:rFonts w:ascii="Times New Roman" w:cs="Times New Roman" w:eastAsia="Times New Roman" w:hAnsi="Times New Roman"/>
                <w:sz w:val="10"/>
                <w:szCs w:val="10"/>
                <w:b w:val="1"/>
                <w:bCs w:val="1"/>
                <w:color w:val="auto"/>
              </w:rPr>
              <w:t>Fourth</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91"/>
              <w:spacing w:after="0" w:line="90"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gridSpan w:val="5"/>
          </w:tcPr>
          <w:p>
            <w:pPr>
              <w:jc w:val="center"/>
              <w:ind w:right="131"/>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350,372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399,131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378,143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429,986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1,557,632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307,063</w:t>
            </w: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289,248</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273,387</w:t>
            </w: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267,298</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1,136,996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income from continuing operations</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43,309</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109,883</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104,756</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162,688</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420,636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38,948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94,658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92,795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145,737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372,138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income from discontinued operations</w:t>
            </w: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right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(2,120)</w:t>
            </w: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(3,300)</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36,828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91,358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92,381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146,503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367,070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share—basic:</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From continuing operations</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0.90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From discontinued operations</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51"/>
              <w:spacing w:after="0" w:line="144"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4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From net income</w:t>
            </w:r>
          </w:p>
        </w:tc>
        <w:tc>
          <w:tcPr>
            <w:tcW w:w="1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71"/>
              <w:spacing w:after="0" w:line="144" w:lineRule="exact"/>
              <w:rPr>
                <w:sz w:val="20"/>
                <w:szCs w:val="20"/>
                <w:color w:val="auto"/>
              </w:rPr>
            </w:pPr>
            <w:r>
              <w:rPr>
                <w:rFonts w:ascii="Times New Roman" w:cs="Times New Roman" w:eastAsia="Times New Roman" w:hAnsi="Times New Roman"/>
                <w:sz w:val="14"/>
                <w:szCs w:val="14"/>
                <w:color w:val="auto"/>
              </w:rPr>
              <w:t>0.22</w:t>
            </w:r>
          </w:p>
        </w:tc>
        <w:tc>
          <w:tcPr>
            <w:tcW w:w="120" w:type="dxa"/>
            <w:vAlign w:val="bottom"/>
            <w:tcBorders>
              <w:left w:val="single" w:sz="8" w:color="CFF0FC"/>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0.54</w:t>
            </w:r>
          </w:p>
        </w:tc>
        <w:tc>
          <w:tcPr>
            <w:tcW w:w="1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91"/>
              <w:spacing w:after="0" w:line="144" w:lineRule="exact"/>
              <w:rPr>
                <w:sz w:val="20"/>
                <w:szCs w:val="20"/>
                <w:color w:val="auto"/>
              </w:rPr>
            </w:pPr>
            <w:r>
              <w:rPr>
                <w:rFonts w:ascii="Times New Roman" w:cs="Times New Roman" w:eastAsia="Times New Roman" w:hAnsi="Times New Roman"/>
                <w:sz w:val="14"/>
                <w:szCs w:val="14"/>
                <w:color w:val="auto"/>
              </w:rPr>
              <w:t>0.57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shd w:val="clear" w:color="auto" w:fill="CFF0FC"/>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0.90</w:t>
            </w:r>
          </w:p>
        </w:tc>
        <w:tc>
          <w:tcPr>
            <w:tcW w:w="180" w:type="dxa"/>
            <w:vAlign w:val="bottom"/>
            <w:gridSpan w:val="2"/>
            <w:shd w:val="clear" w:color="auto" w:fill="CFF0FC"/>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share—diluted:</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From continuing operations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0.88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From discontinued operations</w:t>
            </w:r>
          </w:p>
        </w:tc>
        <w:tc>
          <w:tcPr>
            <w:tcW w:w="1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31"/>
              <w:spacing w:after="0" w:line="144"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left w:val="single" w:sz="8" w:color="CFF0FC"/>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51"/>
              <w:spacing w:after="0" w:line="144"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shd w:val="clear" w:color="auto" w:fill="CFF0FC"/>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shd w:val="clear" w:color="auto" w:fill="CFF0FC"/>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From net income</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71"/>
              <w:spacing w:after="0" w:line="144" w:lineRule="exact"/>
              <w:rPr>
                <w:sz w:val="20"/>
                <w:szCs w:val="20"/>
                <w:color w:val="auto"/>
              </w:rPr>
            </w:pPr>
            <w:r>
              <w:rPr>
                <w:rFonts w:ascii="Times New Roman" w:cs="Times New Roman" w:eastAsia="Times New Roman" w:hAnsi="Times New Roman"/>
                <w:sz w:val="14"/>
                <w:szCs w:val="14"/>
                <w:color w:val="auto"/>
              </w:rPr>
              <w:t>0.21</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2"/>
              <w:spacing w:after="0" w:line="144" w:lineRule="exact"/>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1"/>
              <w:spacing w:after="0" w:line="144" w:lineRule="exact"/>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0.88</w:t>
            </w:r>
          </w:p>
        </w:tc>
        <w:tc>
          <w:tcPr>
            <w:tcW w:w="18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-3907155</wp:posOffset>
            </wp:positionV>
            <wp:extent cx="5461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-3907155</wp:posOffset>
            </wp:positionV>
            <wp:extent cx="5461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-3907155</wp:posOffset>
            </wp:positionV>
            <wp:extent cx="546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-3907155</wp:posOffset>
            </wp:positionV>
            <wp:extent cx="5461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-3674745</wp:posOffset>
            </wp:positionV>
            <wp:extent cx="546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-3661410</wp:posOffset>
            </wp:positionV>
            <wp:extent cx="5461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-3674745</wp:posOffset>
            </wp:positionV>
            <wp:extent cx="5461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-3661410</wp:posOffset>
            </wp:positionV>
            <wp:extent cx="5461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-3674745</wp:posOffset>
            </wp:positionV>
            <wp:extent cx="546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-3661410</wp:posOffset>
            </wp:positionV>
            <wp:extent cx="546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-3674745</wp:posOffset>
            </wp:positionV>
            <wp:extent cx="546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-3661410</wp:posOffset>
            </wp:positionV>
            <wp:extent cx="5461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-3197860</wp:posOffset>
            </wp:positionV>
            <wp:extent cx="5461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-3183890</wp:posOffset>
            </wp:positionV>
            <wp:extent cx="5461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-3197860</wp:posOffset>
            </wp:positionV>
            <wp:extent cx="5461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-3183890</wp:posOffset>
            </wp:positionV>
            <wp:extent cx="5461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-3197860</wp:posOffset>
            </wp:positionV>
            <wp:extent cx="5461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-3183890</wp:posOffset>
            </wp:positionV>
            <wp:extent cx="5461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-3197860</wp:posOffset>
            </wp:positionV>
            <wp:extent cx="5461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-3183890</wp:posOffset>
            </wp:positionV>
            <wp:extent cx="5461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-2720340</wp:posOffset>
            </wp:positionV>
            <wp:extent cx="5461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-2706370</wp:posOffset>
            </wp:positionV>
            <wp:extent cx="5461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-2720340</wp:posOffset>
            </wp:positionV>
            <wp:extent cx="5461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-2706370</wp:posOffset>
            </wp:positionV>
            <wp:extent cx="5461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-2720340</wp:posOffset>
            </wp:positionV>
            <wp:extent cx="5461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-2706370</wp:posOffset>
            </wp:positionV>
            <wp:extent cx="546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-2720340</wp:posOffset>
            </wp:positionV>
            <wp:extent cx="5461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-2706370</wp:posOffset>
            </wp:positionV>
            <wp:extent cx="5461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-2461260</wp:posOffset>
            </wp:positionV>
            <wp:extent cx="5461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-2447290</wp:posOffset>
            </wp:positionV>
            <wp:extent cx="5461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-2461260</wp:posOffset>
            </wp:positionV>
            <wp:extent cx="5461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-2447290</wp:posOffset>
            </wp:positionV>
            <wp:extent cx="5461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-2461260</wp:posOffset>
            </wp:positionV>
            <wp:extent cx="5461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-2447290</wp:posOffset>
            </wp:positionV>
            <wp:extent cx="5461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-2461260</wp:posOffset>
            </wp:positionV>
            <wp:extent cx="5461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-2447290</wp:posOffset>
            </wp:positionV>
            <wp:extent cx="5461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-2344420</wp:posOffset>
            </wp:positionV>
            <wp:extent cx="86995" cy="1892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6995" cy="18923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-2344420</wp:posOffset>
            </wp:positionV>
            <wp:extent cx="80010" cy="1892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0010" cy="18923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-2344420</wp:posOffset>
            </wp:positionV>
            <wp:extent cx="80010" cy="1892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0010" cy="18923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-2344420</wp:posOffset>
            </wp:positionV>
            <wp:extent cx="80010" cy="1892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0010" cy="18923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-1812290</wp:posOffset>
            </wp:positionV>
            <wp:extent cx="86995" cy="147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6995" cy="14795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-1812290</wp:posOffset>
            </wp:positionV>
            <wp:extent cx="80010" cy="147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0010" cy="1479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-1812290</wp:posOffset>
            </wp:positionV>
            <wp:extent cx="80010" cy="147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0010" cy="14795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-1812290</wp:posOffset>
            </wp:positionV>
            <wp:extent cx="80010" cy="147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0010" cy="14795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-1349375</wp:posOffset>
            </wp:positionV>
            <wp:extent cx="6159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-1349375</wp:posOffset>
            </wp:positionV>
            <wp:extent cx="5461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-1349375</wp:posOffset>
            </wp:positionV>
            <wp:extent cx="5461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-1349375</wp:posOffset>
            </wp:positionV>
            <wp:extent cx="5461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-885825</wp:posOffset>
            </wp:positionV>
            <wp:extent cx="6159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-872490</wp:posOffset>
            </wp:positionV>
            <wp:extent cx="6159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-885825</wp:posOffset>
            </wp:positionV>
            <wp:extent cx="5461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-872490</wp:posOffset>
            </wp:positionV>
            <wp:extent cx="5461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-885825</wp:posOffset>
            </wp:positionV>
            <wp:extent cx="5461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-872490</wp:posOffset>
            </wp:positionV>
            <wp:extent cx="5461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-885825</wp:posOffset>
            </wp:positionV>
            <wp:extent cx="5461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-872490</wp:posOffset>
            </wp:positionV>
            <wp:extent cx="5461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-626745</wp:posOffset>
            </wp:positionV>
            <wp:extent cx="6159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-613410</wp:posOffset>
            </wp:positionV>
            <wp:extent cx="6159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-626745</wp:posOffset>
            </wp:positionV>
            <wp:extent cx="5461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-613410</wp:posOffset>
            </wp:positionV>
            <wp:extent cx="5461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-626745</wp:posOffset>
            </wp:positionV>
            <wp:extent cx="5461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-613410</wp:posOffset>
            </wp:positionV>
            <wp:extent cx="5461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-626745</wp:posOffset>
            </wp:positionV>
            <wp:extent cx="5461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-613410</wp:posOffset>
            </wp:positionV>
            <wp:extent cx="5461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-149225</wp:posOffset>
            </wp:positionV>
            <wp:extent cx="6159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-135890</wp:posOffset>
            </wp:positionV>
            <wp:extent cx="6159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-149225</wp:posOffset>
            </wp:positionV>
            <wp:extent cx="5461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-135890</wp:posOffset>
            </wp:positionV>
            <wp:extent cx="5461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-149225</wp:posOffset>
            </wp:positionV>
            <wp:extent cx="5461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-135890</wp:posOffset>
            </wp:positionV>
            <wp:extent cx="5461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-149225</wp:posOffset>
            </wp:positionV>
            <wp:extent cx="5461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-135890</wp:posOffset>
            </wp:positionV>
            <wp:extent cx="5461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9. </w:t>
      </w:r>
      <w:r>
        <w:rPr>
          <w:rFonts w:ascii="Times New Roman" w:cs="Times New Roman" w:eastAsia="Times New Roman" w:hAnsi="Times New Roman"/>
          <w:sz w:val="14"/>
          <w:szCs w:val="14"/>
          <w:b w:val="1"/>
          <w:bCs w:val="1"/>
          <w:i w:val="1"/>
          <w:iCs w:val="1"/>
          <w:color w:val="0070C0"/>
        </w:rPr>
        <w:t>Changes in and Disagreements with Accountants on Accounting and Financial Disclosure</w:t>
      </w:r>
    </w:p>
    <w:p>
      <w:pPr>
        <w:spacing w:after="0" w:line="1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9A. </w:t>
      </w:r>
      <w:r>
        <w:rPr>
          <w:rFonts w:ascii="Times New Roman" w:cs="Times New Roman" w:eastAsia="Times New Roman" w:hAnsi="Times New Roman"/>
          <w:sz w:val="14"/>
          <w:szCs w:val="14"/>
          <w:b w:val="1"/>
          <w:bCs w:val="1"/>
          <w:i w:val="1"/>
          <w:iCs w:val="1"/>
          <w:color w:val="0070C0"/>
        </w:rPr>
        <w:t>Controls and Procedures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E74B5"/>
        </w:rPr>
        <w:t>Disclosure Controls and Procedures and Internal Control Over Financial Reporting</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Controls and Procedures</w:t>
      </w:r>
    </w:p>
    <w:p>
      <w:pPr>
        <w:spacing w:after="0" w:line="122"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management has evaluated, with the participation of our principal executive officer and principal financial officer, the effectiveness of our disclosure controls and procedures (as defined in Rules 13a-15(e) and 15d-15(e) under the Exchange Act), as of December 31, 2025. Based upon that evaluation, our principal executive officer and principal financial officer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Changes in Internal Control over Financial Reporting</w:t>
      </w:r>
    </w:p>
    <w:p>
      <w:pPr>
        <w:spacing w:after="0" w:line="133" w:lineRule="exact"/>
        <w:rPr>
          <w:sz w:val="20"/>
          <w:szCs w:val="20"/>
          <w:color w:val="auto"/>
        </w:rPr>
      </w:pPr>
    </w:p>
    <w:p>
      <w:pPr>
        <w:ind w:left="640" w:right="879" w:firstLine="351"/>
        <w:spacing w:after="0" w:line="292"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Management’s Annual Report on Internal Control over Financial Reporting</w:t>
      </w:r>
    </w:p>
    <w:p>
      <w:pPr>
        <w:spacing w:after="0" w:line="133" w:lineRule="exact"/>
        <w:rPr>
          <w:sz w:val="20"/>
          <w:szCs w:val="20"/>
          <w:color w:val="auto"/>
        </w:rPr>
      </w:pPr>
    </w:p>
    <w:p>
      <w:pPr>
        <w:ind w:left="640" w:right="799" w:firstLine="351"/>
        <w:spacing w:after="0" w:line="263"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our financial reporting as defined in Rules 13a-15(f) and 15d-15(f). Internal control over financial reporting is defined in Rules 13a-15(f) and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91" w:lineRule="exact"/>
        <w:rPr>
          <w:sz w:val="20"/>
          <w:szCs w:val="20"/>
          <w:color w:val="auto"/>
        </w:rPr>
      </w:pPr>
    </w:p>
    <w:p>
      <w:pPr>
        <w:ind w:left="1340" w:right="1279" w:hanging="249"/>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our transactions and dispositions of the assets of the issuer;</w:t>
      </w:r>
    </w:p>
    <w:p>
      <w:pPr>
        <w:spacing w:after="0" w:line="59" w:lineRule="exact"/>
        <w:rPr>
          <w:rFonts w:ascii="Times New Roman" w:cs="Times New Roman" w:eastAsia="Times New Roman" w:hAnsi="Times New Roman"/>
          <w:sz w:val="14"/>
          <w:szCs w:val="14"/>
          <w:color w:val="auto"/>
        </w:rPr>
      </w:pPr>
    </w:p>
    <w:p>
      <w:pPr>
        <w:ind w:left="1340" w:right="819" w:hanging="249"/>
        <w:spacing w:after="0" w:line="274"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82" w:lineRule="exact"/>
        <w:rPr>
          <w:rFonts w:ascii="Times New Roman" w:cs="Times New Roman" w:eastAsia="Times New Roman" w:hAnsi="Times New Roman"/>
          <w:sz w:val="14"/>
          <w:szCs w:val="14"/>
          <w:color w:val="auto"/>
        </w:rPr>
      </w:pPr>
    </w:p>
    <w:p>
      <w:pPr>
        <w:ind w:left="1340" w:right="819" w:hanging="249"/>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issuer’s assets that could have a material effect on the financial statements.</w:t>
      </w:r>
    </w:p>
    <w:p>
      <w:pPr>
        <w:spacing w:after="0" w:line="70" w:lineRule="exact"/>
        <w:rPr>
          <w:sz w:val="20"/>
          <w:szCs w:val="20"/>
          <w:color w:val="auto"/>
        </w:rPr>
      </w:pPr>
    </w:p>
    <w:p>
      <w:pPr>
        <w:jc w:val="both"/>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jc w:val="both"/>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Our management assessed the effectiveness of our internal control over financial reporting as of December 31, 2025. In making this assessment, management used the criteria set forth by the Committee of Sponsoring Organizations of the Treadway Commission (“COSO”) in its 2013 Internal Control—Integrated Framework.</w:t>
      </w:r>
    </w:p>
    <w:p>
      <w:pPr>
        <w:spacing w:after="0" w:line="82" w:lineRule="exact"/>
        <w:rPr>
          <w:sz w:val="20"/>
          <w:szCs w:val="20"/>
          <w:color w:val="auto"/>
        </w:rPr>
      </w:pPr>
    </w:p>
    <w:p>
      <w:pPr>
        <w:ind w:left="640" w:right="939" w:firstLine="351"/>
        <w:spacing w:after="0" w:line="292" w:lineRule="auto"/>
        <w:rPr>
          <w:sz w:val="20"/>
          <w:szCs w:val="20"/>
          <w:color w:val="auto"/>
        </w:rPr>
      </w:pPr>
      <w:r>
        <w:rPr>
          <w:rFonts w:ascii="Times New Roman" w:cs="Times New Roman" w:eastAsia="Times New Roman" w:hAnsi="Times New Roman"/>
          <w:sz w:val="14"/>
          <w:szCs w:val="14"/>
          <w:color w:val="auto"/>
        </w:rPr>
        <w:t>Based on this assessment, our management has concluded that, as of December 31, 2025, our internal control over financial reporting was effective.</w:t>
      </w:r>
    </w:p>
    <w:p>
      <w:pPr>
        <w:spacing w:after="0" w:line="70" w:lineRule="exact"/>
        <w:rPr>
          <w:sz w:val="20"/>
          <w:szCs w:val="20"/>
          <w:color w:val="auto"/>
        </w:rPr>
      </w:pPr>
    </w:p>
    <w:p>
      <w:pPr>
        <w:ind w:left="640" w:right="939" w:firstLine="351"/>
        <w:spacing w:after="0" w:line="274"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2025 has been audited by PricewaterhouseCoopers LLP, an independent registered public accounting firm, as stated in their report, which is included in this Annual Report, beginning on page F-1.</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76" w:name="page77"/>
    <w:bookmarkEnd w:id="76"/>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9B. </w:t>
      </w:r>
      <w:r>
        <w:rPr>
          <w:rFonts w:ascii="Times New Roman" w:cs="Times New Roman" w:eastAsia="Times New Roman" w:hAnsi="Times New Roman"/>
          <w:sz w:val="14"/>
          <w:szCs w:val="14"/>
          <w:b w:val="1"/>
          <w:bCs w:val="1"/>
          <w:i w:val="1"/>
          <w:iCs w:val="1"/>
          <w:color w:val="0070C0"/>
        </w:rPr>
        <w:t>Other Information</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70AD47"/>
        </w:rPr>
        <w:t>Trading Plans</w:t>
      </w:r>
    </w:p>
    <w:p>
      <w:pPr>
        <w:spacing w:after="0" w:line="133"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During the three months ended December 31, 2025, the following contracts, instructions or written plans for the purchase or sale of the Company’s securities that are or were intended to satisfy the affirmative defense conditions of Rule 10b5-1(c) under the Exchange Act (each, a “Rule 10b5-1 plan”) were adopted by officers (as defined in Rule 16a-1(f) under the Exchange Act) and directors of the Company: (i) on November 7, 2025, Samuel Parisi, our Vice President, Finance and Interim Principal Accounting Officer, adopted a Rule 10b5-1 plan providing for the sale of up to 10,055 ordinary shares of the Company that may be obtained from the vesting of restricted stock unit awards; this plan is scheduled to expire on December 31, 2026; (ii) on November 19, 2025, David Gaffin, our Executive Vice President, Chief Legal Officer, Chief Compliance Officer and Secretary, adopted a Rule 10b5-1 plan providing for the sale of up to 77,518 ordinary shares of the Company that may be obtained from the exercise of vested stock options and the sale of up to 20,341 ordinary shares of the Company; this plan is scheduled to expire on February 17, 2027; (iii) on November 19, 2025, Blair Jackson, our Executive Vice President, Chief Operating Officer, adopted a Rule 10b5-1 plan providing for the sale of up to 45,899 ordinary shares of the Company that may be obtained from the exercise of vested and expiring stock options; this plan is scheduled to expire on February 27, 2026; (iv) on November 19, 2025, Christian Todd Nichols, our Senior Vice President, Chief Commercial Officer, adopted a Rule 10b5-1 plan providing for the sale of up to 6,000 ordinary shares of the Company; this plan is scheduled to expire on December 31, 2026; and (v) on November 19, 2025, Richard Pops, our Chairman and Chief Executive Officer, adopted a Rule 10b5-1 plan providing for the sale of up to 305,999 ordinary shares of the Company that may be obtained from the exercise of vested and expiring stock options; this plan is scheduled to expire on February 27, 2026. During the three months ended December 31, 2025, no other directors or officers of the Company adopted or terminated a Rule 10b5-1 plan or a trading plan not intended to satisfy the affirmative defense conditions of Rule 10b5-1(c) under the Exchange Act.</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9C. </w:t>
      </w:r>
      <w:r>
        <w:rPr>
          <w:rFonts w:ascii="Times New Roman" w:cs="Times New Roman" w:eastAsia="Times New Roman" w:hAnsi="Times New Roman"/>
          <w:sz w:val="14"/>
          <w:szCs w:val="14"/>
          <w:b w:val="1"/>
          <w:bCs w:val="1"/>
          <w:i w:val="1"/>
          <w:iCs w:val="1"/>
          <w:color w:val="0070C0"/>
        </w:rPr>
        <w:t>Disclosure Regarding Foreign Jurisdictions that Prevent Inspections</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77" w:name="page78"/>
    <w:bookmarkEnd w:id="77"/>
    <w:p>
      <w:pPr>
        <w:ind w:left="4200"/>
        <w:spacing w:after="0"/>
        <w:rPr>
          <w:sz w:val="20"/>
          <w:szCs w:val="20"/>
          <w:color w:val="auto"/>
        </w:rPr>
      </w:pPr>
      <w:r>
        <w:rPr>
          <w:rFonts w:ascii="Times New Roman" w:cs="Times New Roman" w:eastAsia="Times New Roman" w:hAnsi="Times New Roman"/>
          <w:sz w:val="14"/>
          <w:szCs w:val="14"/>
          <w:b w:val="1"/>
          <w:bCs w:val="1"/>
          <w:color w:val="0070C0"/>
        </w:rPr>
        <w:t>PART III</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10. </w:t>
      </w:r>
      <w:r>
        <w:rPr>
          <w:rFonts w:ascii="Times New Roman" w:cs="Times New Roman" w:eastAsia="Times New Roman" w:hAnsi="Times New Roman"/>
          <w:sz w:val="14"/>
          <w:szCs w:val="14"/>
          <w:b w:val="1"/>
          <w:bCs w:val="1"/>
          <w:i w:val="1"/>
          <w:iCs w:val="1"/>
          <w:color w:val="0070C0"/>
        </w:rPr>
        <w:t>Directors, Executive Officers and Corporate Governance</w:t>
      </w:r>
    </w:p>
    <w:p>
      <w:pPr>
        <w:spacing w:after="0" w:line="122"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definitive proxy statement for our 2026 annual general meeting of shareholders. We expect this information will be provided under sections of the proxy statement entitled “Proposal 1—Election of Directors,” “The Role of the Board and Its Committees,” “Executive Officers,” “Other Corporate Governance Matters” and “Board Nominations, Evaluations and Refreshment” and, if required, “Delinquent Section 16(a) Reports”.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11. </w:t>
      </w:r>
      <w:r>
        <w:rPr>
          <w:rFonts w:ascii="Times New Roman" w:cs="Times New Roman" w:eastAsia="Times New Roman" w:hAnsi="Times New Roman"/>
          <w:sz w:val="14"/>
          <w:szCs w:val="14"/>
          <w:b w:val="1"/>
          <w:bCs w:val="1"/>
          <w:i w:val="1"/>
          <w:iCs w:val="1"/>
          <w:color w:val="0070C0"/>
        </w:rPr>
        <w:t>Executive Compensation</w:t>
      </w:r>
    </w:p>
    <w:p>
      <w:pPr>
        <w:spacing w:after="0" w:line="122"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The information required by this item (excluding, for clarity, the information required by Item 402(v) of Regulation S-K) is incorporated herein by reference to our definitive proxy statement for our 2026 annual general meeting of shareholders. We expect this information will be provided under sections of the proxy statement entitled “The Role of the Board and Its Committees,” “Director Compensation,” “Executive Compensation—Compensation Discussion and Analysis,” “Executive Compensation Tables,” “Additional Compensation Information,” “Compensation Committee Report” and “Pay Ratio”.</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12. </w:t>
      </w:r>
      <w:r>
        <w:rPr>
          <w:rFonts w:ascii="Times New Roman" w:cs="Times New Roman" w:eastAsia="Times New Roman" w:hAnsi="Times New Roman"/>
          <w:sz w:val="14"/>
          <w:szCs w:val="14"/>
          <w:b w:val="1"/>
          <w:bCs w:val="1"/>
          <w:i w:val="1"/>
          <w:iCs w:val="1"/>
          <w:color w:val="0070C0"/>
        </w:rPr>
        <w:t>Security Ownership of Certain Beneficial Owners and Management and Related Stockholder Matters</w:t>
      </w:r>
    </w:p>
    <w:p>
      <w:pPr>
        <w:spacing w:after="0" w:line="122"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definitive proxy statement for our 2026 annual general meeting of shareholders. We expect this information will be provided under sections of the proxy statement entitled “Ownership of the Company’s Ordinary Shares” and “Equity Compensation Plan Information”.</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13. </w:t>
      </w:r>
      <w:r>
        <w:rPr>
          <w:rFonts w:ascii="Times New Roman" w:cs="Times New Roman" w:eastAsia="Times New Roman" w:hAnsi="Times New Roman"/>
          <w:sz w:val="14"/>
          <w:szCs w:val="14"/>
          <w:b w:val="1"/>
          <w:bCs w:val="1"/>
          <w:i w:val="1"/>
          <w:iCs w:val="1"/>
          <w:color w:val="0070C0"/>
        </w:rPr>
        <w:t>Certain Relationships and Related Transactions, and Director Independence</w:t>
      </w:r>
    </w:p>
    <w:p>
      <w:pPr>
        <w:spacing w:after="0" w:line="122" w:lineRule="exact"/>
        <w:rPr>
          <w:sz w:val="20"/>
          <w:szCs w:val="20"/>
          <w:color w:val="auto"/>
        </w:rPr>
      </w:pPr>
    </w:p>
    <w:p>
      <w:pPr>
        <w:jc w:val="both"/>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definitive proxy statement for our 2026 annual general meeting of shareholders. We expect this information will be provided under sections of the proxy statement entitled “Certain Relationships and Related Person Transactions” and “The Board of Directors”.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14. </w:t>
      </w:r>
      <w:r>
        <w:rPr>
          <w:rFonts w:ascii="Times New Roman" w:cs="Times New Roman" w:eastAsia="Times New Roman" w:hAnsi="Times New Roman"/>
          <w:sz w:val="14"/>
          <w:szCs w:val="14"/>
          <w:b w:val="1"/>
          <w:bCs w:val="1"/>
          <w:i w:val="1"/>
          <w:iCs w:val="1"/>
          <w:color w:val="0070C0"/>
        </w:rPr>
        <w:t>Principal Accountant Fees and Services</w:t>
      </w:r>
    </w:p>
    <w:p>
      <w:pPr>
        <w:spacing w:after="0" w:line="122" w:lineRule="exact"/>
        <w:rPr>
          <w:sz w:val="20"/>
          <w:szCs w:val="20"/>
          <w:color w:val="auto"/>
        </w:rPr>
      </w:pPr>
    </w:p>
    <w:p>
      <w:pPr>
        <w:jc w:val="both"/>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definitive proxy statement for our 2026 annual general meeting of shareholders. We expect this information will be provided under a section of the proxy statement entitled “Audit Fees”.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4"/>
          <w:szCs w:val="14"/>
          <w:b w:val="1"/>
          <w:bCs w:val="1"/>
          <w:color w:val="0070C0"/>
        </w:rPr>
        <w:t>PART IV</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15. </w:t>
      </w:r>
      <w:r>
        <w:rPr>
          <w:rFonts w:ascii="Times New Roman" w:cs="Times New Roman" w:eastAsia="Times New Roman" w:hAnsi="Times New Roman"/>
          <w:sz w:val="14"/>
          <w:szCs w:val="14"/>
          <w:b w:val="1"/>
          <w:bCs w:val="1"/>
          <w:i w:val="1"/>
          <w:iCs w:val="1"/>
          <w:color w:val="0070C0"/>
        </w:rPr>
        <w:t>Exhibits and Financial Statement Schedules</w:t>
      </w:r>
    </w:p>
    <w:p>
      <w:pPr>
        <w:spacing w:after="0" w:line="101" w:lineRule="exact"/>
        <w:rPr>
          <w:sz w:val="20"/>
          <w:szCs w:val="20"/>
          <w:color w:val="auto"/>
        </w:rPr>
      </w:pPr>
    </w:p>
    <w:p>
      <w:pPr>
        <w:ind w:left="1340" w:right="759" w:hanging="350"/>
        <w:spacing w:after="0" w:line="292" w:lineRule="auto"/>
        <w:tabs>
          <w:tab w:leader="none" w:pos="1320" w:val="left"/>
        </w:tabs>
        <w:rPr>
          <w:sz w:val="20"/>
          <w:szCs w:val="20"/>
          <w:color w:val="auto"/>
        </w:rPr>
      </w:pPr>
      <w:r>
        <w:rPr>
          <w:rFonts w:ascii="Times New Roman" w:cs="Times New Roman" w:eastAsia="Times New Roman" w:hAnsi="Times New Roman"/>
          <w:sz w:val="14"/>
          <w:szCs w:val="14"/>
          <w:color w:val="auto"/>
        </w:rPr>
        <w:t>(a)(1)</w:t>
        <w:tab/>
        <w:t>Consolidated Financial Statements—The consolidated financial statements of Alkermes plc, as required by this item, are submitted in a separate section beginning on page F-1 of this Annual Report, as follows:</w:t>
      </w:r>
    </w:p>
    <w:p>
      <w:pPr>
        <w:spacing w:after="0" w:line="122"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Financial Statement</w:t>
            </w:r>
          </w:p>
        </w:tc>
        <w:tc>
          <w:tcPr>
            <w:tcW w:w="180" w:type="dxa"/>
            <w:vAlign w:val="bottom"/>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131"/>
        </w:trPr>
        <w:tc>
          <w:tcPr>
            <w:tcW w:w="100" w:type="dxa"/>
            <w:vAlign w:val="bottom"/>
          </w:tcPr>
          <w:p>
            <w:pPr>
              <w:spacing w:after="0"/>
              <w:rPr>
                <w:sz w:val="11"/>
                <w:szCs w:val="11"/>
                <w:color w:val="auto"/>
              </w:rPr>
            </w:pPr>
          </w:p>
        </w:tc>
        <w:tc>
          <w:tcPr>
            <w:tcW w:w="4820" w:type="dxa"/>
            <w:vAlign w:val="bottom"/>
            <w:gridSpan w:val="7"/>
          </w:tcPr>
          <w:p>
            <w:pPr>
              <w:spacing w:after="0" w:line="131"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238)</w:t>
            </w:r>
          </w:p>
        </w:tc>
        <w:tc>
          <w:tcPr>
            <w:tcW w:w="180" w:type="dxa"/>
            <w:vAlign w:val="bottom"/>
          </w:tcPr>
          <w:p>
            <w:pPr>
              <w:spacing w:after="0"/>
              <w:rPr>
                <w:sz w:val="11"/>
                <w:szCs w:val="11"/>
                <w:color w:val="auto"/>
              </w:rPr>
            </w:pPr>
          </w:p>
        </w:tc>
        <w:tc>
          <w:tcPr>
            <w:tcW w:w="24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F-1</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52"/>
        </w:trPr>
        <w:tc>
          <w:tcPr>
            <w:tcW w:w="100" w:type="dxa"/>
            <w:vAlign w:val="bottom"/>
          </w:tcPr>
          <w:p>
            <w:pPr>
              <w:spacing w:after="0"/>
              <w:rPr>
                <w:sz w:val="13"/>
                <w:szCs w:val="13"/>
                <w:color w:val="auto"/>
              </w:rPr>
            </w:pPr>
          </w:p>
        </w:tc>
        <w:tc>
          <w:tcPr>
            <w:tcW w:w="4820" w:type="dxa"/>
            <w:vAlign w:val="bottom"/>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Consolidated Balance Sheets</w:t>
            </w:r>
          </w:p>
        </w:tc>
        <w:tc>
          <w:tcPr>
            <w:tcW w:w="180" w:type="dxa"/>
            <w:vAlign w:val="bottom"/>
          </w:tcPr>
          <w:p>
            <w:pPr>
              <w:spacing w:after="0"/>
              <w:rPr>
                <w:sz w:val="13"/>
                <w:szCs w:val="13"/>
                <w:color w:val="auto"/>
              </w:rPr>
            </w:pPr>
          </w:p>
        </w:tc>
        <w:tc>
          <w:tcPr>
            <w:tcW w:w="24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F-3</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52"/>
        </w:trPr>
        <w:tc>
          <w:tcPr>
            <w:tcW w:w="100" w:type="dxa"/>
            <w:vAlign w:val="bottom"/>
          </w:tcPr>
          <w:p>
            <w:pPr>
              <w:spacing w:after="0"/>
              <w:rPr>
                <w:sz w:val="13"/>
                <w:szCs w:val="13"/>
                <w:color w:val="auto"/>
              </w:rPr>
            </w:pPr>
          </w:p>
        </w:tc>
        <w:tc>
          <w:tcPr>
            <w:tcW w:w="4820" w:type="dxa"/>
            <w:vAlign w:val="bottom"/>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Consolidated Statements of Operations and Comprehensive Income</w:t>
            </w:r>
          </w:p>
        </w:tc>
        <w:tc>
          <w:tcPr>
            <w:tcW w:w="180" w:type="dxa"/>
            <w:vAlign w:val="bottom"/>
          </w:tcPr>
          <w:p>
            <w:pPr>
              <w:spacing w:after="0"/>
              <w:rPr>
                <w:sz w:val="13"/>
                <w:szCs w:val="13"/>
                <w:color w:val="auto"/>
              </w:rPr>
            </w:pPr>
          </w:p>
        </w:tc>
        <w:tc>
          <w:tcPr>
            <w:tcW w:w="24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F-4</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52"/>
        </w:trPr>
        <w:tc>
          <w:tcPr>
            <w:tcW w:w="100" w:type="dxa"/>
            <w:vAlign w:val="bottom"/>
          </w:tcPr>
          <w:p>
            <w:pPr>
              <w:spacing w:after="0"/>
              <w:rPr>
                <w:sz w:val="13"/>
                <w:szCs w:val="13"/>
                <w:color w:val="auto"/>
              </w:rPr>
            </w:pPr>
          </w:p>
        </w:tc>
        <w:tc>
          <w:tcPr>
            <w:tcW w:w="4820" w:type="dxa"/>
            <w:vAlign w:val="bottom"/>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Consolidated Statements of Shareholders’ Equity</w:t>
            </w:r>
          </w:p>
        </w:tc>
        <w:tc>
          <w:tcPr>
            <w:tcW w:w="180" w:type="dxa"/>
            <w:vAlign w:val="bottom"/>
          </w:tcPr>
          <w:p>
            <w:pPr>
              <w:spacing w:after="0"/>
              <w:rPr>
                <w:sz w:val="13"/>
                <w:szCs w:val="13"/>
                <w:color w:val="auto"/>
              </w:rPr>
            </w:pPr>
          </w:p>
        </w:tc>
        <w:tc>
          <w:tcPr>
            <w:tcW w:w="24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F-5</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52"/>
        </w:trPr>
        <w:tc>
          <w:tcPr>
            <w:tcW w:w="100" w:type="dxa"/>
            <w:vAlign w:val="bottom"/>
          </w:tcPr>
          <w:p>
            <w:pPr>
              <w:spacing w:after="0"/>
              <w:rPr>
                <w:sz w:val="13"/>
                <w:szCs w:val="13"/>
                <w:color w:val="auto"/>
              </w:rPr>
            </w:pPr>
          </w:p>
        </w:tc>
        <w:tc>
          <w:tcPr>
            <w:tcW w:w="4820" w:type="dxa"/>
            <w:vAlign w:val="bottom"/>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Consolidated Statements of Cash Flows</w:t>
            </w:r>
          </w:p>
        </w:tc>
        <w:tc>
          <w:tcPr>
            <w:tcW w:w="180" w:type="dxa"/>
            <w:vAlign w:val="bottom"/>
          </w:tcPr>
          <w:p>
            <w:pPr>
              <w:spacing w:after="0"/>
              <w:rPr>
                <w:sz w:val="13"/>
                <w:szCs w:val="13"/>
                <w:color w:val="auto"/>
              </w:rPr>
            </w:pPr>
          </w:p>
        </w:tc>
        <w:tc>
          <w:tcPr>
            <w:tcW w:w="24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F-6</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52"/>
        </w:trPr>
        <w:tc>
          <w:tcPr>
            <w:tcW w:w="100" w:type="dxa"/>
            <w:vAlign w:val="bottom"/>
          </w:tcPr>
          <w:p>
            <w:pPr>
              <w:spacing w:after="0"/>
              <w:rPr>
                <w:sz w:val="13"/>
                <w:szCs w:val="13"/>
                <w:color w:val="auto"/>
              </w:rPr>
            </w:pPr>
          </w:p>
        </w:tc>
        <w:tc>
          <w:tcPr>
            <w:tcW w:w="4820" w:type="dxa"/>
            <w:vAlign w:val="bottom"/>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180" w:type="dxa"/>
            <w:vAlign w:val="bottom"/>
          </w:tcPr>
          <w:p>
            <w:pPr>
              <w:spacing w:after="0"/>
              <w:rPr>
                <w:sz w:val="13"/>
                <w:szCs w:val="13"/>
                <w:color w:val="auto"/>
              </w:rPr>
            </w:pPr>
          </w:p>
        </w:tc>
        <w:tc>
          <w:tcPr>
            <w:tcW w:w="24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F-7</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93" w:lineRule="exact"/>
        <w:rPr>
          <w:sz w:val="20"/>
          <w:szCs w:val="20"/>
          <w:color w:val="auto"/>
        </w:rPr>
      </w:pPr>
    </w:p>
    <w:p>
      <w:pPr>
        <w:ind w:left="1340" w:right="759" w:hanging="351"/>
        <w:spacing w:after="0" w:line="292" w:lineRule="auto"/>
        <w:tabs>
          <w:tab w:leader="none" w:pos="12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Schedules—All schedules have been omitted because the absence of conditions under which they are required or because the required information is included in the consolidated financial statements or notes thereto.</w:t>
      </w:r>
    </w:p>
    <w:p>
      <w:pPr>
        <w:spacing w:after="0" w:line="37" w:lineRule="exact"/>
        <w:rPr>
          <w:rFonts w:ascii="Times New Roman" w:cs="Times New Roman" w:eastAsia="Times New Roman" w:hAnsi="Times New Roman"/>
          <w:sz w:val="14"/>
          <w:szCs w:val="14"/>
          <w:color w:val="auto"/>
        </w:rPr>
      </w:pPr>
    </w:p>
    <w:p>
      <w:pPr>
        <w:ind w:left="1340" w:right="799" w:hanging="351"/>
        <w:spacing w:after="0" w:line="292" w:lineRule="auto"/>
        <w:tabs>
          <w:tab w:leader="none" w:pos="12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listed in the below Exhibit Index are filed or furnished as part of this Annual Report or are incorporated into this Annual Report by reference.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INDEX</w:t>
      </w:r>
    </w:p>
    <w:p>
      <w:pPr>
        <w:sectPr>
          <w:pgSz w:w="11900" w:h="16838" w:orient="portrait"/>
          <w:cols w:equalWidth="0" w:num="1">
            <w:col w:w="9019"/>
          </w:cols>
          <w:pgMar w:left="1440" w:top="950" w:right="1440" w:bottom="1440" w:gutter="0" w:footer="0" w:header="0"/>
        </w:sectPr>
      </w:pPr>
    </w:p>
    <w:p>
      <w:pPr>
        <w:spacing w:after="0" w:line="37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4"/>
          </w:tcPr>
          <w:p>
            <w:pPr>
              <w:ind w:left="14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130"/>
        </w:trPr>
        <w:tc>
          <w:tcPr>
            <w:tcW w:w="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2.1 §</w:t>
            </w:r>
          </w:p>
        </w:tc>
        <w:tc>
          <w:tcPr>
            <w:tcW w:w="160" w:type="dxa"/>
            <w:vAlign w:val="bottom"/>
          </w:tcPr>
          <w:p>
            <w:pPr>
              <w:spacing w:after="0"/>
              <w:rPr>
                <w:sz w:val="11"/>
                <w:szCs w:val="11"/>
                <w:color w:val="auto"/>
              </w:rPr>
            </w:pPr>
          </w:p>
        </w:tc>
        <w:tc>
          <w:tcPr>
            <w:tcW w:w="3660" w:type="dxa"/>
            <w:vAlign w:val="bottom"/>
            <w:tcBorders>
              <w:bottom w:val="single" w:sz="8" w:color="0000FF"/>
            </w:tcBorders>
            <w:gridSpan w:val="15"/>
          </w:tcPr>
          <w:p>
            <w:pPr>
              <w:spacing w:after="0" w:line="131"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Separation Agreement, dated as of November 13, 2023, by and</w:t>
              </w:r>
            </w:hyperlink>
          </w:p>
        </w:tc>
        <w:tc>
          <w:tcPr>
            <w:tcW w:w="6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between Alkermes plc and Mural Oncology plc.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2.2 §</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Transaction Agreement, dated as of October 22, 2025 by and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among Alkermes plc and Avadel Pharmaceuticals plc.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2.2A</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Amendment No. 1 to the Transaction Agreement, dated as of</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November 18, 2025, by and between Alkermes plc and Avadel</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Pharmaceuticals plc.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2.2B</w:t>
            </w:r>
          </w:p>
        </w:tc>
        <w:tc>
          <w:tcPr>
            <w:tcW w:w="160" w:type="dxa"/>
            <w:vAlign w:val="bottom"/>
          </w:tcPr>
          <w:p>
            <w:pPr>
              <w:spacing w:after="0"/>
              <w:rPr>
                <w:sz w:val="16"/>
                <w:szCs w:val="16"/>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Appendix III to the Rule 2.7 Announcement, dated as of October</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22, 2025 (Conditions Appendix).</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Memorandum and Articles of Association of Alkermes plc.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5"/>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4.1 #</w:t>
            </w:r>
          </w:p>
        </w:tc>
        <w:tc>
          <w:tcPr>
            <w:tcW w:w="160" w:type="dxa"/>
            <w:vAlign w:val="bottom"/>
          </w:tcPr>
          <w:p>
            <w:pPr>
              <w:spacing w:after="0"/>
              <w:rPr>
                <w:sz w:val="24"/>
                <w:szCs w:val="24"/>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Description of Securities.</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6"/>
                <w:szCs w:val="16"/>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Lease, dated March 23, 2018, by and between Alkermes, Inc.</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and PDM 900 Unit, LLC.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EE"/>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10.1A</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First Amendment to Lease, dated June 21, 2018, by and between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Alkermes, Inc. and PDM 900 Unit, LLC.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10.1B</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Second Amendment to Lease, dated May 10, 2019, by and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between Alkermes, Inc. and PDM 900 Unit, LLC.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License Agreement, dated as of February 13, 1996, between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Medisorb Technologies International L.P. and Janssen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Pharmaceutica Inc. (United States) (assigned to Alkermes, Inc.</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in July 2006).</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10.2A *</w:t>
            </w:r>
          </w:p>
        </w:tc>
        <w:tc>
          <w:tcPr>
            <w:tcW w:w="160" w:type="dxa"/>
            <w:vAlign w:val="bottom"/>
          </w:tcPr>
          <w:p>
            <w:pPr>
              <w:spacing w:after="0"/>
              <w:rPr>
                <w:sz w:val="17"/>
                <w:szCs w:val="17"/>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Third Amendment to Development Agreement, Second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gridSpan w:val="10"/>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Amendment to Manufacturing and Supply Agreement and First</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Amendment to License Agreements by and between Janssen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1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Pharmaceutica International, Janssen Pharmaceutica Inc. and</w:t>
              </w:r>
            </w:hyperlink>
          </w:p>
        </w:tc>
      </w:tr>
      <w:tr>
        <w:trPr>
          <w:trHeight w:val="38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Borders>
              <w:top w:val="single" w:sz="8" w:color="0000EE"/>
            </w:tcBorders>
            <w:gridSpan w:val="8"/>
          </w:tcPr>
          <w:p>
            <w:pPr>
              <w:jc w:val="right"/>
              <w:ind w:right="20"/>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369570</wp:posOffset>
            </wp:positionV>
            <wp:extent cx="56038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148"/>
        </w:trPr>
        <w:tc>
          <w:tcPr>
            <w:tcW w:w="20" w:type="dxa"/>
            <w:vAlign w:val="bottom"/>
          </w:tcPr>
          <w:p>
            <w:pPr>
              <w:spacing w:after="0"/>
              <w:rPr>
                <w:sz w:val="12"/>
                <w:szCs w:val="12"/>
                <w:color w:val="auto"/>
              </w:rPr>
            </w:pPr>
          </w:p>
        </w:tc>
        <w:tc>
          <w:tcPr>
            <w:tcW w:w="17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Exhibit 2.1 to the Alkermes</w:t>
            </w:r>
          </w:p>
        </w:tc>
        <w:tc>
          <w:tcPr>
            <w:tcW w:w="16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November 15,</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Current Report on Form</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2023</w:t>
            </w: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8-K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2.1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22, 2025</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Current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8-K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2.1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November 19,</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Current Report on Form</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2025</w:t>
            </w: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8-K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2.2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22, 2025</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Current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8-K (File No. 001-35299)</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3.1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1, 2024</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6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10.4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26,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011-35299)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26,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25, 2019</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25, 2016</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Annual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10-K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4"/>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10.5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8, 2005</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 Quarterly Report on</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10-Q (File No. 001-</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14131)</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ectPr>
          <w:pgSz w:w="11900" w:h="16838" w:orient="portrait"/>
          <w:cols w:equalWidth="0" w:num="2">
            <w:col w:w="5220" w:space="160"/>
            <w:col w:w="3639"/>
          </w:cols>
          <w:pgMar w:left="1440" w:top="950" w:right="1440" w:bottom="1440" w:gutter="0" w:footer="0" w:header="0"/>
          <w:type w:val="continuous"/>
        </w:sectPr>
      </w:pPr>
    </w:p>
    <w:bookmarkStart w:id="79" w:name="page80"/>
    <w:bookmarkEnd w:id="79"/>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14"/>
          </w:tcPr>
          <w:p>
            <w:pPr>
              <w:ind w:left="26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130"/>
        </w:trPr>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tcBorders>
              <w:bottom w:val="single" w:sz="8" w:color="0000FF"/>
            </w:tcBorders>
            <w:gridSpan w:val="15"/>
          </w:tcPr>
          <w:p>
            <w:pPr>
              <w:spacing w:after="0" w:line="131"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Alkermes Controlled Therapeutics Inc. II, dated April 1, 2000</w:t>
              </w:r>
            </w:hyperlink>
          </w:p>
        </w:tc>
        <w:tc>
          <w:tcPr>
            <w:tcW w:w="140" w:type="dxa"/>
            <w:vAlign w:val="bottom"/>
            <w:gridSpan w:val="2"/>
          </w:tcPr>
          <w:p>
            <w:pPr>
              <w:spacing w:after="0"/>
              <w:rPr>
                <w:sz w:val="11"/>
                <w:szCs w:val="1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(assigned to Alkermes, Inc. in July 2006).</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10.2B *</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Second Amendment, dated as of August 16, 2012, to the License</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Agreement, dated as of February 13, 1996, as amended, by and</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between Alkermes, Inc. and Janssen Pharmaceutica Inc. and the</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License Agreement, dated as of February 21, 1996, as amended,</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by and between Alkermes, Inc. and JPI Pharmaceutica</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International, and the Fifth Amendment, dated as of August 16,</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2012, to the Manufacturing and Supply Agreement, dated as of</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August 6, 1997, as amended, by and between Alkermes, Inc.,</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Janssen Pharmaceutica Inc. and JPI Pharmaceutica International.</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License Agreement, dated as of February 21, 1996, between</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Medisorb Technologies International L.P. and Janssen</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Pharmaceutica International (worldwide except United States)</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(assigned to Alkermes, Inc. in July 2006).</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Manufacturing and Supply Agreement, dated August 6, 1997, by</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and among JPI Pharmaceutica International, Janssen</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Pharmaceutica, Inc. and Alkermes Controlled Therapeutics Inc.</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II (assigned to Alkermes, Inc. in July 2006).</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10.4A *</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Fourth Amendment to Development Agreement and First</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Amendment to Manufacturing and Supply Agreement by and</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between Janssen Pharmaceutica International, Janssen</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Pharmaceutica Products, L.P. and Alkermes Controlled</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Therapeutics Inc. II, dated December 20, 2000 (assigned to</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Alkermes, Inc. in July 2006).</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10.4B</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Addendum to the Manufacturing and Supply Agreement by and</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among JPI Pharmaceutica International, Janssen Pharmaceutica</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Inc. and Alkermes Controlled Therapeutics Inc. II, dated August</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spacing w:after="0" w:line="152" w:lineRule="exact"/>
              <w:rPr>
                <w:rFonts w:ascii="Times New Roman" w:cs="Times New Roman" w:eastAsia="Times New Roman" w:hAnsi="Times New Roman"/>
                <w:sz w:val="14"/>
                <w:szCs w:val="14"/>
                <w:color w:val="0000FF"/>
                <w:w w:val="96"/>
              </w:rPr>
            </w:pPr>
            <w:hyperlink r:id="rId296">
              <w:r>
                <w:rPr>
                  <w:rFonts w:ascii="Times New Roman" w:cs="Times New Roman" w:eastAsia="Times New Roman" w:hAnsi="Times New Roman"/>
                  <w:sz w:val="14"/>
                  <w:szCs w:val="14"/>
                  <w:color w:val="0000FF"/>
                  <w:w w:val="96"/>
                </w:rPr>
                <w:t>1, 2001.</w:t>
              </w:r>
            </w:hyperlink>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10.4C</w:t>
            </w:r>
          </w:p>
        </w:tc>
        <w:tc>
          <w:tcPr>
            <w:tcW w:w="160" w:type="dxa"/>
            <w:vAlign w:val="bottom"/>
          </w:tcPr>
          <w:p>
            <w:pPr>
              <w:spacing w:after="0"/>
              <w:rPr>
                <w:sz w:val="16"/>
                <w:szCs w:val="16"/>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Letter Agreement and Exhibits to Manufacturing and Supply</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Agreement, dated February 1, 2002, by and among JPI</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Pharmaceutica International, Janssen Pharmaceutica Inc. and</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Alkermes Controlled Therapeutics Inc. II (assigned to Alkermes,</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Inc. in July 2006).</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10.4D *</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Amendment to Manufacturing and Supply Agreement by and</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between JPI Pharmaceutica International, Janssen Pharmaceutica</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Inc. and Alkermes Controlled Therapeutics Inc. II, dated</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December 22, 2003 (assigned to Alkermes, Inc. in July 2006).</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10.4E *</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Fourth Amendment to Manufacturing and Supply Agreement by</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and between JPI Pharmaceutica International, Janssen</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Pharmaceutica Inc. and Alkermes Controlled Therapeutics Inc.</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II, dated January 10, 2005 (assigned to Alkermes, Inc. in July</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line="152" w:lineRule="exact"/>
              <w:rPr>
                <w:rFonts w:ascii="Times New Roman" w:cs="Times New Roman" w:eastAsia="Times New Roman" w:hAnsi="Times New Roman"/>
                <w:sz w:val="14"/>
                <w:szCs w:val="14"/>
                <w:color w:val="0000FF"/>
                <w:w w:val="93"/>
              </w:rPr>
            </w:pPr>
            <w:hyperlink r:id="rId299">
              <w:r>
                <w:rPr>
                  <w:rFonts w:ascii="Times New Roman" w:cs="Times New Roman" w:eastAsia="Times New Roman" w:hAnsi="Times New Roman"/>
                  <w:sz w:val="14"/>
                  <w:szCs w:val="14"/>
                  <w:color w:val="0000FF"/>
                  <w:w w:val="93"/>
                </w:rPr>
                <w:t>2006).</w:t>
              </w:r>
            </w:hyperlink>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10.4F *</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Sixth Amendment to Manufacturing and Supply Agreement by</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and between JPI Pharmaceutica International, Janssen</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Pharmaceutica Inc. and Alkermes Controlled Therapeutics Inc.</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II (assigned to Alkermes, Inc. in July 2006), effective as of July</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spacing w:after="0" w:line="152" w:lineRule="exact"/>
              <w:rPr>
                <w:rFonts w:ascii="Times New Roman" w:cs="Times New Roman" w:eastAsia="Times New Roman" w:hAnsi="Times New Roman"/>
                <w:sz w:val="14"/>
                <w:szCs w:val="14"/>
                <w:color w:val="0000FF"/>
                <w:w w:val="96"/>
              </w:rPr>
            </w:pPr>
            <w:hyperlink r:id="rId300">
              <w:r>
                <w:rPr>
                  <w:rFonts w:ascii="Times New Roman" w:cs="Times New Roman" w:eastAsia="Times New Roman" w:hAnsi="Times New Roman"/>
                  <w:sz w:val="14"/>
                  <w:szCs w:val="14"/>
                  <w:color w:val="0000FF"/>
                  <w:w w:val="96"/>
                </w:rPr>
                <w:t>1, 2018.</w:t>
              </w:r>
            </w:hyperlink>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10.5 *</w:t>
            </w:r>
          </w:p>
        </w:tc>
        <w:tc>
          <w:tcPr>
            <w:tcW w:w="160" w:type="dxa"/>
            <w:vAlign w:val="bottom"/>
          </w:tcPr>
          <w:p>
            <w:pPr>
              <w:spacing w:after="0"/>
              <w:rPr>
                <w:sz w:val="14"/>
                <w:szCs w:val="14"/>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Agreement by and between JPI Pharmaceutica International,</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Janssen Pharmaceutica Inc. and Alkermes Controlled</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8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Therapeutics Inc. II, dated December 21, 2002 (assigned to</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Alkermes, Inc. in July 2006).</w:t>
              </w:r>
            </w:hyperlink>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EE"/>
            </w:tcBorders>
            <w:gridSpan w:val="4"/>
            <w:shd w:val="clear" w:color="auto" w:fill="0000FF"/>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10.5A *</w:t>
            </w:r>
          </w:p>
        </w:tc>
        <w:tc>
          <w:tcPr>
            <w:tcW w:w="160" w:type="dxa"/>
            <w:vAlign w:val="bottom"/>
          </w:tcPr>
          <w:p>
            <w:pPr>
              <w:spacing w:after="0"/>
              <w:rPr>
                <w:sz w:val="16"/>
                <w:szCs w:val="16"/>
                <w:color w:val="auto"/>
              </w:rPr>
            </w:pPr>
          </w:p>
        </w:tc>
        <w:tc>
          <w:tcPr>
            <w:tcW w:w="3720" w:type="dxa"/>
            <w:vAlign w:val="bottom"/>
            <w:gridSpan w:val="17"/>
          </w:tcPr>
          <w:p>
            <w:pPr>
              <w:spacing w:after="0"/>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Amendment to Agreement by and between JPI Pharmaceutica</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International, Janssen Pharmaceutica Inc. and Alkermes</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10"/>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Controlled Therapeutics Inc. II, dated December 16, 2003</w:t>
              </w:r>
            </w:hyperlink>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12"/>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7"/>
          </w:tcPr>
          <w:p>
            <w:pPr>
              <w:spacing w:after="0" w:line="152"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(assigned to Alkermes, Inc. in July 2006).</w:t>
              </w:r>
            </w:hyperlink>
          </w:p>
        </w:tc>
      </w:tr>
      <w:tr>
        <w:trPr>
          <w:trHeight w:val="387"/>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tcBorders>
              <w:top w:val="single" w:sz="8" w:color="0000FF"/>
            </w:tcBorders>
            <w:gridSpan w:val="5"/>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369570</wp:posOffset>
            </wp:positionV>
            <wp:extent cx="560387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6" w:lineRule="exact"/>
        <w:rPr>
          <w:sz w:val="20"/>
          <w:szCs w:val="20"/>
          <w:color w:val="auto"/>
        </w:rPr>
      </w:pPr>
    </w:p>
    <w:p>
      <w:pPr>
        <w:ind w:left="720"/>
        <w:spacing w:after="0"/>
        <w:tabs>
          <w:tab w:leader="none" w:pos="2300" w:val="left"/>
        </w:tabs>
        <w:rPr>
          <w:sz w:val="20"/>
          <w:szCs w:val="20"/>
          <w:color w:val="auto"/>
        </w:rPr>
      </w:pP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41" w:lineRule="exact"/>
        <w:rPr>
          <w:sz w:val="20"/>
          <w:szCs w:val="20"/>
          <w:color w:val="auto"/>
        </w:rPr>
      </w:pPr>
    </w:p>
    <w:p>
      <w:pPr>
        <w:ind w:right="699"/>
        <w:spacing w:after="0" w:line="274" w:lineRule="auto"/>
        <w:rPr>
          <w:sz w:val="20"/>
          <w:szCs w:val="20"/>
          <w:color w:val="auto"/>
        </w:rPr>
      </w:pPr>
      <w:r>
        <w:rPr>
          <w:rFonts w:ascii="Times New Roman" w:cs="Times New Roman" w:eastAsia="Times New Roman" w:hAnsi="Times New Roman"/>
          <w:sz w:val="14"/>
          <w:szCs w:val="14"/>
          <w:color w:val="auto"/>
        </w:rPr>
        <w:t>Exhibit 10.3 to the Alkermes November 1, 2012 plc Quarterly Report on Form 10-Q (File No. 001-35299)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19"/>
        <w:spacing w:after="0" w:line="285" w:lineRule="auto"/>
        <w:rPr>
          <w:sz w:val="20"/>
          <w:szCs w:val="20"/>
          <w:color w:val="auto"/>
        </w:rPr>
      </w:pPr>
      <w:r>
        <w:rPr>
          <w:rFonts w:ascii="Times New Roman" w:cs="Times New Roman" w:eastAsia="Times New Roman" w:hAnsi="Times New Roman"/>
          <w:sz w:val="14"/>
          <w:szCs w:val="14"/>
          <w:color w:val="auto"/>
        </w:rPr>
        <w:t>Exhibit 10.3 to the Alkermes February 25, 2016 plc Annual Report on Form 10-K (File No. 001-35299)</w:t>
      </w:r>
    </w:p>
    <w:p>
      <w:pPr>
        <w:spacing w:after="0" w:line="316" w:lineRule="exact"/>
        <w:rPr>
          <w:sz w:val="20"/>
          <w:szCs w:val="20"/>
          <w:color w:val="auto"/>
        </w:rPr>
      </w:pPr>
    </w:p>
    <w:p>
      <w:pPr>
        <w:ind w:right="719"/>
        <w:spacing w:after="0" w:line="285" w:lineRule="auto"/>
        <w:rPr>
          <w:sz w:val="20"/>
          <w:szCs w:val="20"/>
          <w:color w:val="auto"/>
        </w:rPr>
      </w:pPr>
      <w:r>
        <w:rPr>
          <w:rFonts w:ascii="Times New Roman" w:cs="Times New Roman" w:eastAsia="Times New Roman" w:hAnsi="Times New Roman"/>
          <w:sz w:val="14"/>
          <w:szCs w:val="14"/>
          <w:color w:val="auto"/>
        </w:rPr>
        <w:t>Exhibit 10.4 to the Alkermes February 25, 2016 plc Annual Report on Form 10-K (File No. 001-35299)</w:t>
      </w:r>
    </w:p>
    <w:p>
      <w:pPr>
        <w:spacing w:after="0" w:line="316"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10.4 to the Alkermes,</w:t>
        <w:tab/>
        <w:t>February 8, 2005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 Quarterly Report 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10-Q (File No. 001-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14131)</w:t>
      </w:r>
    </w:p>
    <w:p>
      <w:pPr>
        <w:spacing w:after="0" w:line="352"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10.4.2 to the</w:t>
      </w:r>
      <w:r>
        <w:rPr>
          <w:sz w:val="20"/>
          <w:szCs w:val="20"/>
          <w:color w:val="auto"/>
        </w:rPr>
        <w:tab/>
      </w:r>
      <w:r>
        <w:rPr>
          <w:rFonts w:ascii="Times New Roman" w:cs="Times New Roman" w:eastAsia="Times New Roman" w:hAnsi="Times New Roman"/>
          <w:sz w:val="14"/>
          <w:szCs w:val="14"/>
          <w:color w:val="auto"/>
        </w:rPr>
        <w:t>February 25, 2016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Alkermes plc Annual Report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Form 10-K (File No. 001-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35299)</w:t>
      </w:r>
    </w:p>
    <w:p>
      <w:pPr>
        <w:spacing w:after="0" w:line="2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10.4.3 to the</w:t>
      </w:r>
      <w:r>
        <w:rPr>
          <w:sz w:val="20"/>
          <w:szCs w:val="20"/>
          <w:color w:val="auto"/>
        </w:rPr>
        <w:tab/>
      </w:r>
      <w:r>
        <w:rPr>
          <w:rFonts w:ascii="Times New Roman" w:cs="Times New Roman" w:eastAsia="Times New Roman" w:hAnsi="Times New Roman"/>
          <w:sz w:val="14"/>
          <w:szCs w:val="14"/>
          <w:color w:val="auto"/>
        </w:rPr>
        <w:t>February 25, 2016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Alkermes plc Annual Report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Form 10-K (File No. 001-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35299)</w:t>
      </w:r>
    </w:p>
    <w:p>
      <w:pPr>
        <w:spacing w:after="0" w:line="180" w:lineRule="exact"/>
        <w:rPr>
          <w:sz w:val="20"/>
          <w:szCs w:val="20"/>
          <w:color w:val="auto"/>
        </w:rPr>
      </w:pPr>
    </w:p>
    <w:p>
      <w:pPr>
        <w:ind w:right="999"/>
        <w:spacing w:after="0" w:line="274" w:lineRule="auto"/>
        <w:rPr>
          <w:sz w:val="20"/>
          <w:szCs w:val="20"/>
          <w:color w:val="auto"/>
        </w:rPr>
      </w:pPr>
      <w:r>
        <w:rPr>
          <w:rFonts w:ascii="Times New Roman" w:cs="Times New Roman" w:eastAsia="Times New Roman" w:hAnsi="Times New Roman"/>
          <w:sz w:val="14"/>
          <w:szCs w:val="14"/>
          <w:color w:val="auto"/>
        </w:rPr>
        <w:t>Exhibit 10.6 to the Alkermes July 30, 2015 plc Quarterly Report on Form 10-Q (File No. 011-35299)</w:t>
      </w:r>
    </w:p>
    <w:p>
      <w:pPr>
        <w:spacing w:after="0" w:line="14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10.9 to the Alkermes,</w:t>
        <w:tab/>
        <w:t>February 8, 2005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 Quarterly Report 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10-Q (File No. 001-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14131)</w:t>
      </w:r>
    </w:p>
    <w:p>
      <w:pPr>
        <w:spacing w:after="0" w:line="180" w:lineRule="exact"/>
        <w:rPr>
          <w:sz w:val="20"/>
          <w:szCs w:val="20"/>
          <w:color w:val="auto"/>
        </w:rPr>
      </w:pPr>
    </w:p>
    <w:p>
      <w:pPr>
        <w:ind w:right="759"/>
        <w:spacing w:after="0" w:line="274" w:lineRule="auto"/>
        <w:rPr>
          <w:sz w:val="20"/>
          <w:szCs w:val="20"/>
          <w:color w:val="auto"/>
        </w:rPr>
      </w:pPr>
      <w:r>
        <w:rPr>
          <w:rFonts w:ascii="Times New Roman" w:cs="Times New Roman" w:eastAsia="Times New Roman" w:hAnsi="Times New Roman"/>
          <w:sz w:val="14"/>
          <w:szCs w:val="14"/>
          <w:color w:val="auto"/>
        </w:rPr>
        <w:t>Exhibit 10.11 to the Alkermes October 23, 2018 plc Quarterly Report on Form 10-Q (File No. 011-35299)</w:t>
      </w:r>
    </w:p>
    <w:p>
      <w:pPr>
        <w:spacing w:after="0" w:line="31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10.6 to the Alkermes,</w:t>
        <w:tab/>
        <w:t>February 8, 2005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 Quarterly Report 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10-Q (File No. 001-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14131)</w:t>
      </w:r>
    </w:p>
    <w:p>
      <w:pPr>
        <w:spacing w:after="0" w:line="2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10.7 to the Alkermes,</w:t>
        <w:tab/>
        <w:t>February 8, 2005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 Quarterly Report 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10-Q (File No. 001-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14131)</w:t>
      </w:r>
    </w:p>
    <w:p>
      <w:pPr>
        <w:sectPr>
          <w:pgSz w:w="11900" w:h="16838" w:orient="portrait"/>
          <w:cols w:equalWidth="0" w:num="2">
            <w:col w:w="5220" w:space="160"/>
            <w:col w:w="3639"/>
          </w:cols>
          <w:pgMar w:left="1440" w:top="958" w:right="1440" w:bottom="1440" w:gutter="0" w:footer="0" w:header="0"/>
        </w:sectPr>
      </w:pPr>
    </w:p>
    <w:bookmarkStart w:id="80" w:name="page81"/>
    <w:bookmarkEnd w:id="80"/>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130"/>
        </w:trPr>
        <w:tc>
          <w:tcPr>
            <w:tcW w:w="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10.6 **</w:t>
            </w:r>
          </w:p>
        </w:tc>
        <w:tc>
          <w:tcPr>
            <w:tcW w:w="160" w:type="dxa"/>
            <w:vAlign w:val="bottom"/>
          </w:tcPr>
          <w:p>
            <w:pPr>
              <w:spacing w:after="0"/>
              <w:rPr>
                <w:sz w:val="11"/>
                <w:szCs w:val="11"/>
                <w:color w:val="auto"/>
              </w:rPr>
            </w:pPr>
          </w:p>
        </w:tc>
        <w:tc>
          <w:tcPr>
            <w:tcW w:w="3220" w:type="dxa"/>
            <w:vAlign w:val="bottom"/>
            <w:tcBorders>
              <w:bottom w:val="single" w:sz="8" w:color="0000FF"/>
            </w:tcBorders>
            <w:gridSpan w:val="9"/>
          </w:tcPr>
          <w:p>
            <w:pPr>
              <w:spacing w:after="0" w:line="131"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License Agreement by and among Elan Pharmaceutical</w:t>
              </w:r>
            </w:hyperlink>
          </w:p>
        </w:tc>
        <w:tc>
          <w:tcPr>
            <w:tcW w:w="500" w:type="dxa"/>
            <w:vAlign w:val="bottom"/>
            <w:gridSpan w:val="4"/>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Research Corp., d/b/a Nanosystems and Elan Pharma</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International Limited and Janssen Pharmaceutica N.V. dated as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of March 31, 1999.</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10.6A</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First Amendment, dated as of July 31, 2003, to the License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Agreement by and among Elan Drug Delivery, Inc. (formerly</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Elan Pharmaceutical Research Corp.) and Elan Pharma</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International Limited and Janssen Pharmaceutica NV dated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March 31, 1999.</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10.6B **</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Agreement Amendment No. 2, dated as of July 31, 2009, to the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License Agreement by and among Elan Pharmaceutical</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Research Corp., d/b/a Nanosystems and Elan Pharma</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International Limited and Janssen Pharmaceutica N.V. dated as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of March 31, 1999, as amended by the First Amendment, dated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as of July 31, 2003.</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 *</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License and Collaboration Agreement, dated November 27,</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2017, by and between Alkermes Pharma Ireland Limited and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Biogen International GmbH (as successor to Biogen Swiss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Manufacturing GmbH).</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10.7A *</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First Amendment to License and Collaboration Agreement</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between Alkermes Pharma Ireland Limited and Biogen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International GmbH (as successor to Biogen Swiss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Manufacturing GmbH), effective as of October 3, 2018.</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10.7B</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Second Amendment to License and Collaboration Agreement</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between Alkermes Pharma Ireland Limited and Biogen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International GmbH (as successor to Biogen Swiss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Manufacturing GmbH), effective as of January 31, 2019.</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10.7C **</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Third Amendment to License and Collaboration Agreement</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between Alkermes Pharma Ireland Limited and Biogen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International GmbH (as successor to Biogen Swiss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Manufacturing GmbH), effective as of October 30, 2019.</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10.7D **</w:t>
            </w:r>
          </w:p>
        </w:tc>
        <w:tc>
          <w:tcPr>
            <w:tcW w:w="160" w:type="dxa"/>
            <w:vAlign w:val="bottom"/>
          </w:tcPr>
          <w:p>
            <w:pPr>
              <w:spacing w:after="0"/>
              <w:rPr>
                <w:sz w:val="16"/>
                <w:szCs w:val="16"/>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Fourth Amendment to License and Collaboration Agreement</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between Alkermes Pharma Ireland Limited and Biogen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International GmbH (as successor to Biogen Swiss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Manufacturing GmbH), effective as of August 25, 2022.</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10.7E **</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Fifth Amendment to License and Collaboration Agreement</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between Alkermes Pharma Ireland Limited and Biogen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International GmbH (as successor to Biogen Swiss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Manufacturing GmbH), effective as of June 7, 2024.</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10.8 **</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Confidential Settlement and License Agreement, dated August</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29, 2023, by and among Alkermes, Inc., Alkermes Pharma</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Ireland Limited and Teva Pharmaceuticals USA, Inc.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10.9 §</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Tax Matters Agreement, dated November 13, 2023, by and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between Alkermes plc and Mural Oncology plc.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10.10 **§</w:t>
            </w:r>
          </w:p>
        </w:tc>
        <w:tc>
          <w:tcPr>
            <w:tcW w:w="160" w:type="dxa"/>
            <w:vAlign w:val="bottom"/>
          </w:tcPr>
          <w:p>
            <w:pPr>
              <w:spacing w:after="0"/>
              <w:rPr>
                <w:sz w:val="24"/>
                <w:szCs w:val="2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Asset Purchase Agreement, dated December 13, 2023, by and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between Alkermes Pharma Ireland Limited, Novo Nordisk</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Production Ireland Limited and Novo Nordisk A/S.</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52"/>
        </w:trPr>
        <w:tc>
          <w:tcPr>
            <w:tcW w:w="7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10.11 **§</w:t>
            </w: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Authorized Generic Product Supply Agreement, dated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September 9, 2025, by and between Alkermes Pharma Ireland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Limited and Amneal Pharmaceuticals LLC.</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10.12 §</w:t>
            </w:r>
          </w:p>
        </w:tc>
        <w:tc>
          <w:tcPr>
            <w:tcW w:w="160" w:type="dxa"/>
            <w:vAlign w:val="bottom"/>
          </w:tcPr>
          <w:p>
            <w:pPr>
              <w:spacing w:after="0"/>
              <w:rPr>
                <w:sz w:val="14"/>
                <w:szCs w:val="14"/>
                <w:color w:val="auto"/>
              </w:rPr>
            </w:pPr>
          </w:p>
        </w:tc>
        <w:tc>
          <w:tcPr>
            <w:tcW w:w="3720" w:type="dxa"/>
            <w:vAlign w:val="bottom"/>
            <w:gridSpan w:val="13"/>
          </w:tcPr>
          <w:p>
            <w:pPr>
              <w:spacing w:after="0"/>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Credit Agreement, dated as of February 12, 2026, by and among</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Alkermes plc, as the TopCo Borrower, Alkermes, Inc., as the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U.S. Borrower, Alkermes Finance LLC, as the U.S. Co-</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14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Borrower, JPMorgan Chase Bank, N.A., as Administrative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9"/>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3"/>
          </w:tcPr>
          <w:p>
            <w:pPr>
              <w:spacing w:after="0" w:line="152"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Agent, Joint Lead Arranger and Joint Bookrunner, BofA</w:t>
              </w:r>
            </w:hyperlink>
          </w:p>
        </w:tc>
      </w:tr>
      <w:tr>
        <w:trPr>
          <w:trHeight w:val="35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Borders>
              <w:top w:val="single" w:sz="8" w:color="0000EE"/>
            </w:tcBorders>
            <w:gridSpan w:val="8"/>
          </w:tcPr>
          <w:p>
            <w:pPr>
              <w:jc w:val="right"/>
              <w:ind w:right="6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369570</wp:posOffset>
            </wp:positionV>
            <wp:extent cx="56038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1">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780" w:type="dxa"/>
            <w:vAlign w:val="bottom"/>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80" w:type="dxa"/>
            <w:vAlign w:val="bottom"/>
          </w:tcPr>
          <w:p>
            <w:pPr>
              <w:spacing w:after="0"/>
              <w:rPr>
                <w:sz w:val="11"/>
                <w:szCs w:val="11"/>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148"/>
        </w:trPr>
        <w:tc>
          <w:tcPr>
            <w:tcW w:w="20" w:type="dxa"/>
            <w:vAlign w:val="bottom"/>
          </w:tcPr>
          <w:p>
            <w:pPr>
              <w:spacing w:after="0"/>
              <w:rPr>
                <w:sz w:val="12"/>
                <w:szCs w:val="12"/>
                <w:color w:val="auto"/>
              </w:rPr>
            </w:pPr>
          </w:p>
        </w:tc>
        <w:tc>
          <w:tcPr>
            <w:tcW w:w="170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Exhibit 10.1 to the Alkermes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April 26, 2023</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1"/>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10.24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May 23, 2013</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Annual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10-K (File No. 001-35299)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13"/>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10.2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April 26, 2023</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84"/>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10.10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February 16, 2018</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Annual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10-K (File No. 011-35299)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1"/>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10.12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10-Q (File No. 011-35299)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1"/>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April 25, 2019</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10-Q (File No. 011-35299)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1"/>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10.10.3 to the</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Alkermes plc Annual Report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on Form 10-K (File No. 011-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35299)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November 2, 2022</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10-Q (File No. 011-35299)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1"/>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July 24, 2024</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10-Q (File No. 011-35299)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1"/>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25, 2023</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3"/>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November 15,</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Current Report on Form</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2023</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8-K (File No. 001-35299)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10.16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February 21, 2024</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Annual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10-K (File No. 001-35299)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28, 2025</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3"/>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February 12, 2026</w:t>
            </w:r>
          </w:p>
        </w:tc>
      </w:tr>
      <w:tr>
        <w:trPr>
          <w:trHeight w:val="172"/>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plc Current Report on Form</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8-K (File No. 001-35299)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ectPr>
          <w:pgSz w:w="11900" w:h="16838" w:orient="portrait"/>
          <w:cols w:equalWidth="0" w:num="2">
            <w:col w:w="5220" w:space="160"/>
            <w:col w:w="3639"/>
          </w:cols>
          <w:pgMar w:left="1440" w:top="958" w:right="1440" w:bottom="1440" w:gutter="0" w:footer="0" w:header="0"/>
        </w:sectPr>
      </w:pPr>
    </w:p>
    <w:bookmarkStart w:id="81" w:name="page82"/>
    <w:bookmarkEnd w:id="81"/>
    <w:p>
      <w:pPr>
        <w:spacing w:after="0" w:line="183" w:lineRule="exact"/>
        <w:rPr>
          <w:sz w:val="20"/>
          <w:szCs w:val="20"/>
          <w:color w:val="auto"/>
        </w:rPr>
      </w:pPr>
    </w:p>
    <w:p>
      <w:pPr>
        <w:ind w:left="720"/>
        <w:spacing w:after="0"/>
        <w:tabs>
          <w:tab w:leader="none" w:pos="2800" w:val="left"/>
        </w:tabs>
        <w:rPr>
          <w:sz w:val="20"/>
          <w:szCs w:val="20"/>
          <w:color w:val="auto"/>
        </w:rPr>
      </w:pPr>
      <w:r>
        <w:rPr>
          <w:rFonts w:ascii="Times New Roman" w:cs="Times New Roman" w:eastAsia="Times New Roman" w:hAnsi="Times New Roman"/>
          <w:sz w:val="11"/>
          <w:szCs w:val="11"/>
          <w:b w:val="1"/>
          <w:bCs w:val="1"/>
          <w:color w:val="auto"/>
        </w:rPr>
        <w:t>Exhibit No.</w:t>
      </w:r>
      <w:r>
        <w:rPr>
          <w:sz w:val="20"/>
          <w:szCs w:val="20"/>
          <w:color w:val="auto"/>
        </w:rPr>
        <w:tab/>
      </w:r>
      <w:r>
        <w:rPr>
          <w:rFonts w:ascii="Times New Roman" w:cs="Times New Roman" w:eastAsia="Times New Roman" w:hAnsi="Times New Roman"/>
          <w:sz w:val="11"/>
          <w:szCs w:val="11"/>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6985</wp:posOffset>
            </wp:positionV>
            <wp:extent cx="291211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2912110" cy="6985"/>
                    </a:xfrm>
                    <a:prstGeom prst="rect">
                      <a:avLst/>
                    </a:prstGeom>
                    <a:noFill/>
                  </pic:spPr>
                </pic:pic>
              </a:graphicData>
            </a:graphic>
          </wp:anchor>
        </w:drawing>
      </w:r>
    </w:p>
    <w:p>
      <w:pPr>
        <w:spacing w:after="0" w:line="3" w:lineRule="exact"/>
        <w:rPr>
          <w:sz w:val="20"/>
          <w:szCs w:val="20"/>
          <w:color w:val="auto"/>
        </w:rPr>
      </w:pPr>
    </w:p>
    <w:p>
      <w:pPr>
        <w:ind w:left="1480" w:right="180"/>
        <w:spacing w:after="0" w:line="254" w:lineRule="auto"/>
        <w:rPr>
          <w:rFonts w:ascii="Times New Roman" w:cs="Times New Roman" w:eastAsia="Times New Roman" w:hAnsi="Times New Roman"/>
          <w:sz w:val="14"/>
          <w:szCs w:val="14"/>
          <w:u w:val="single" w:color="auto"/>
          <w:color w:val="0000FF"/>
        </w:rPr>
      </w:pPr>
      <w:hyperlink r:id="rId319">
        <w:r>
          <w:rPr>
            <w:rFonts w:ascii="Times New Roman" w:cs="Times New Roman" w:eastAsia="Times New Roman" w:hAnsi="Times New Roman"/>
            <w:sz w:val="14"/>
            <w:szCs w:val="14"/>
            <w:u w:val="single" w:color="auto"/>
            <w:color w:val="0000FF"/>
          </w:rPr>
          <w:t>Securities, Inc., as Joint Lead Arranger and Joint Bookrunner,</w:t>
        </w:r>
      </w:hyperlink>
      <w:r>
        <w:rPr>
          <w:rFonts w:ascii="Times New Roman" w:cs="Times New Roman" w:eastAsia="Times New Roman" w:hAnsi="Times New Roman"/>
          <w:sz w:val="14"/>
          <w:szCs w:val="14"/>
          <w:u w:val="single" w:color="auto"/>
          <w:color w:val="0000FF"/>
        </w:rPr>
        <w:t xml:space="preserve"> </w:t>
      </w:r>
      <w:hyperlink r:id="rId319">
        <w:r>
          <w:rPr>
            <w:rFonts w:ascii="Times New Roman" w:cs="Times New Roman" w:eastAsia="Times New Roman" w:hAnsi="Times New Roman"/>
            <w:sz w:val="14"/>
            <w:szCs w:val="14"/>
            <w:u w:val="single" w:color="auto"/>
            <w:color w:val="0000FF"/>
          </w:rPr>
          <w:t>and the lenders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-127635</wp:posOffset>
            </wp:positionV>
            <wp:extent cx="227393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227393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-19050</wp:posOffset>
            </wp:positionV>
            <wp:extent cx="105727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4">
                      <a:extLst>
                        <a:ext uri="{28A0092B-C50C-407E-A947-70E740481C1C}"/>
                      </a:extLst>
                    </a:blip>
                    <a:srcRect/>
                    <a:stretch>
                      <a:fillRect/>
                    </a:stretch>
                  </pic:blipFill>
                  <pic:spPr bwMode="auto">
                    <a:xfrm>
                      <a:off x="0" y="0"/>
                      <a:ext cx="1057275" cy="6985"/>
                    </a:xfrm>
                    <a:prstGeom prst="rect">
                      <a:avLst/>
                    </a:prstGeom>
                    <a:noFill/>
                  </pic:spPr>
                </pic:pic>
              </a:graphicData>
            </a:graphic>
          </wp:anchor>
        </w:drawing>
      </w:r>
    </w:p>
    <w:p>
      <w:pPr>
        <w:ind w:left="1480" w:right="80" w:hanging="847"/>
        <w:spacing w:after="0" w:line="256"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10.13</w:t>
      </w:r>
      <w:r>
        <w:rPr>
          <w:sz w:val="20"/>
          <w:szCs w:val="20"/>
          <w:color w:val="auto"/>
        </w:rPr>
        <w:tab/>
      </w:r>
      <w:hyperlink r:id="rId325">
        <w:r>
          <w:rPr>
            <w:rFonts w:ascii="Times New Roman" w:cs="Times New Roman" w:eastAsia="Times New Roman" w:hAnsi="Times New Roman"/>
            <w:sz w:val="14"/>
            <w:szCs w:val="14"/>
            <w:u w:val="single" w:color="auto"/>
            <w:color w:val="0000FF"/>
          </w:rPr>
          <w:t>Settlement and License Agreement by and between Jazz</w:t>
        </w:r>
      </w:hyperlink>
      <w:r>
        <w:rPr>
          <w:rFonts w:ascii="Times New Roman" w:cs="Times New Roman" w:eastAsia="Times New Roman" w:hAnsi="Times New Roman"/>
          <w:sz w:val="14"/>
          <w:szCs w:val="14"/>
          <w:u w:val="single" w:color="auto"/>
          <w:color w:val="0000FF"/>
        </w:rPr>
        <w:t xml:space="preserve"> </w:t>
      </w:r>
      <w:hyperlink r:id="rId325">
        <w:r>
          <w:rPr>
            <w:rFonts w:ascii="Times New Roman" w:cs="Times New Roman" w:eastAsia="Times New Roman" w:hAnsi="Times New Roman"/>
            <w:sz w:val="14"/>
            <w:szCs w:val="14"/>
            <w:u w:val="single" w:color="auto"/>
            <w:color w:val="0000FF"/>
          </w:rPr>
          <w:t>Pharmaceuticals, Inc. and Jazz Pharmaceuticals Ireland Limited</w:t>
        </w:r>
      </w:hyperlink>
      <w:r>
        <w:rPr>
          <w:rFonts w:ascii="Times New Roman" w:cs="Times New Roman" w:eastAsia="Times New Roman" w:hAnsi="Times New Roman"/>
          <w:sz w:val="14"/>
          <w:szCs w:val="14"/>
          <w:u w:val="single" w:color="auto"/>
          <w:color w:val="0000FF"/>
        </w:rPr>
        <w:t xml:space="preserve"> </w:t>
      </w:r>
      <w:hyperlink r:id="rId325">
        <w:r>
          <w:rPr>
            <w:rFonts w:ascii="Times New Roman" w:cs="Times New Roman" w:eastAsia="Times New Roman" w:hAnsi="Times New Roman"/>
            <w:sz w:val="14"/>
            <w:szCs w:val="14"/>
            <w:u w:val="single" w:color="auto"/>
            <w:color w:val="0000FF"/>
          </w:rPr>
          <w:t>and Avadel CNS Pharmaceuticals, LLC and Flamel Ireland</w:t>
        </w:r>
      </w:hyperlink>
      <w:r>
        <w:rPr>
          <w:rFonts w:ascii="Times New Roman" w:cs="Times New Roman" w:eastAsia="Times New Roman" w:hAnsi="Times New Roman"/>
          <w:sz w:val="14"/>
          <w:szCs w:val="14"/>
          <w:u w:val="single" w:color="auto"/>
          <w:color w:val="0000FF"/>
        </w:rPr>
        <w:t xml:space="preserve"> </w:t>
      </w:r>
      <w:hyperlink r:id="rId325">
        <w:r>
          <w:rPr>
            <w:rFonts w:ascii="Times New Roman" w:cs="Times New Roman" w:eastAsia="Times New Roman" w:hAnsi="Times New Roman"/>
            <w:sz w:val="14"/>
            <w:szCs w:val="14"/>
            <w:u w:val="single" w:color="auto"/>
            <w:color w:val="0000FF"/>
          </w:rPr>
          <w:t>Limited.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-346075</wp:posOffset>
            </wp:positionV>
            <wp:extent cx="206946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206946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-236855</wp:posOffset>
            </wp:positionV>
            <wp:extent cx="234442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234442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-128270</wp:posOffset>
            </wp:positionV>
            <wp:extent cx="218313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218313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-19050</wp:posOffset>
            </wp:positionV>
            <wp:extent cx="31051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310515" cy="6985"/>
                    </a:xfrm>
                    <a:prstGeom prst="rect">
                      <a:avLst/>
                    </a:prstGeom>
                    <a:noFill/>
                  </pic:spPr>
                </pic:pic>
              </a:graphicData>
            </a:graphic>
          </wp:anchor>
        </w:drawing>
      </w:r>
    </w:p>
    <w:p>
      <w:pPr>
        <w:ind w:left="1480" w:right="2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 †</w:t>
      </w:r>
      <w:r>
        <w:rPr>
          <w:sz w:val="20"/>
          <w:szCs w:val="20"/>
          <w:color w:val="auto"/>
        </w:rPr>
        <w:tab/>
      </w:r>
      <w:hyperlink r:id="rId330">
        <w:r>
          <w:rPr>
            <w:rFonts w:ascii="Times New Roman" w:cs="Times New Roman" w:eastAsia="Times New Roman" w:hAnsi="Times New Roman"/>
            <w:sz w:val="14"/>
            <w:szCs w:val="14"/>
            <w:u w:val="single" w:color="auto"/>
            <w:color w:val="0000FF"/>
          </w:rPr>
          <w:t>Employment Agreement, dated as of December 12, 2007, by and</w:t>
        </w:r>
      </w:hyperlink>
      <w:r>
        <w:rPr>
          <w:rFonts w:ascii="Times New Roman" w:cs="Times New Roman" w:eastAsia="Times New Roman" w:hAnsi="Times New Roman"/>
          <w:sz w:val="14"/>
          <w:szCs w:val="14"/>
          <w:u w:val="single" w:color="auto"/>
          <w:color w:val="0000FF"/>
        </w:rPr>
        <w:t xml:space="preserve"> </w:t>
      </w:r>
      <w:hyperlink r:id="rId330">
        <w:r>
          <w:rPr>
            <w:rFonts w:ascii="Times New Roman" w:cs="Times New Roman" w:eastAsia="Times New Roman" w:hAnsi="Times New Roman"/>
            <w:sz w:val="14"/>
            <w:szCs w:val="14"/>
            <w:u w:val="single" w:color="auto"/>
            <w:color w:val="0000FF"/>
          </w:rPr>
          <w:t>between Richard F. Pops and Alkermes,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-141605</wp:posOffset>
            </wp:positionV>
            <wp:extent cx="237299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237299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-33020</wp:posOffset>
            </wp:positionV>
            <wp:extent cx="162306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1623060" cy="6985"/>
                    </a:xfrm>
                    <a:prstGeom prst="rect">
                      <a:avLst/>
                    </a:prstGeom>
                    <a:noFill/>
                  </pic:spPr>
                </pic:pic>
              </a:graphicData>
            </a:graphic>
          </wp:anchor>
        </w:drawing>
      </w:r>
    </w:p>
    <w:p>
      <w:pPr>
        <w:spacing w:after="0" w:line="321" w:lineRule="exact"/>
        <w:rPr>
          <w:sz w:val="20"/>
          <w:szCs w:val="20"/>
          <w:color w:val="auto"/>
        </w:rPr>
      </w:pPr>
    </w:p>
    <w:p>
      <w:pPr>
        <w:ind w:left="640"/>
        <w:spacing w:after="0"/>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10.14A †</w:t>
      </w:r>
      <w:r>
        <w:rPr>
          <w:sz w:val="20"/>
          <w:szCs w:val="20"/>
          <w:color w:val="auto"/>
        </w:rPr>
        <w:tab/>
      </w:r>
      <w:hyperlink r:id="rId333">
        <w:r>
          <w:rPr>
            <w:rFonts w:ascii="Times New Roman" w:cs="Times New Roman" w:eastAsia="Times New Roman" w:hAnsi="Times New Roman"/>
            <w:sz w:val="14"/>
            <w:szCs w:val="14"/>
            <w:u w:val="single" w:color="auto"/>
            <w:color w:val="0000FF"/>
          </w:rPr>
          <w:t>Amendment to Employment Agreement, dated as of October 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-3810</wp:posOffset>
            </wp:positionV>
            <wp:extent cx="232981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4">
                      <a:extLst>
                        <a:ext uri="{28A0092B-C50C-407E-A947-70E740481C1C}"/>
                      </a:extLst>
                    </a:blip>
                    <a:srcRect/>
                    <a:stretch>
                      <a:fillRect/>
                    </a:stretch>
                  </pic:blipFill>
                  <pic:spPr bwMode="auto">
                    <a:xfrm>
                      <a:off x="0" y="0"/>
                      <a:ext cx="2329815" cy="6985"/>
                    </a:xfrm>
                    <a:prstGeom prst="rect">
                      <a:avLst/>
                    </a:prstGeom>
                    <a:noFill/>
                  </pic:spPr>
                </pic:pic>
              </a:graphicData>
            </a:graphic>
          </wp:anchor>
        </w:drawing>
      </w:r>
    </w:p>
    <w:p>
      <w:pPr>
        <w:spacing w:after="0" w:line="5" w:lineRule="exact"/>
        <w:rPr>
          <w:sz w:val="20"/>
          <w:szCs w:val="20"/>
          <w:color w:val="auto"/>
        </w:rPr>
      </w:pPr>
    </w:p>
    <w:p>
      <w:pPr>
        <w:ind w:left="1480"/>
        <w:spacing w:after="0"/>
        <w:rPr>
          <w:rFonts w:ascii="Times New Roman" w:cs="Times New Roman" w:eastAsia="Times New Roman" w:hAnsi="Times New Roman"/>
          <w:sz w:val="14"/>
          <w:szCs w:val="14"/>
          <w:u w:val="single" w:color="auto"/>
          <w:color w:val="0000FF"/>
        </w:rPr>
      </w:pPr>
      <w:hyperlink r:id="rId333">
        <w:r>
          <w:rPr>
            <w:rFonts w:ascii="Times New Roman" w:cs="Times New Roman" w:eastAsia="Times New Roman" w:hAnsi="Times New Roman"/>
            <w:sz w:val="14"/>
            <w:szCs w:val="14"/>
            <w:u w:val="single" w:color="auto"/>
            <w:color w:val="0000FF"/>
          </w:rPr>
          <w:t>2008, by and between Alkermes, Inc. and Richard F. Pops.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-12065</wp:posOffset>
            </wp:positionV>
            <wp:extent cx="214058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5">
                      <a:extLst>
                        <a:ext uri="{28A0092B-C50C-407E-A947-70E740481C1C}"/>
                      </a:extLst>
                    </a:blip>
                    <a:srcRect/>
                    <a:stretch>
                      <a:fillRect/>
                    </a:stretch>
                  </pic:blipFill>
                  <pic:spPr bwMode="auto">
                    <a:xfrm>
                      <a:off x="0" y="0"/>
                      <a:ext cx="2140585" cy="6985"/>
                    </a:xfrm>
                    <a:prstGeom prst="rect">
                      <a:avLst/>
                    </a:prstGeom>
                    <a:noFill/>
                  </pic:spPr>
                </pic:pic>
              </a:graphicData>
            </a:graphic>
          </wp:anchor>
        </w:drawing>
      </w:r>
    </w:p>
    <w:p>
      <w:pPr>
        <w:spacing w:after="0" w:line="181" w:lineRule="exact"/>
        <w:rPr>
          <w:sz w:val="20"/>
          <w:szCs w:val="20"/>
          <w:color w:val="auto"/>
        </w:rPr>
      </w:pPr>
    </w:p>
    <w:p>
      <w:pPr>
        <w:jc w:val="both"/>
        <w:ind w:left="1480" w:right="38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10.14B †</w:t>
      </w:r>
      <w:r>
        <w:rPr>
          <w:sz w:val="20"/>
          <w:szCs w:val="20"/>
          <w:color w:val="auto"/>
        </w:rPr>
        <w:tab/>
      </w:r>
      <w:hyperlink r:id="rId336">
        <w:r>
          <w:rPr>
            <w:rFonts w:ascii="Times New Roman" w:cs="Times New Roman" w:eastAsia="Times New Roman" w:hAnsi="Times New Roman"/>
            <w:sz w:val="14"/>
            <w:szCs w:val="14"/>
            <w:u w:val="single" w:color="auto"/>
            <w:color w:val="0000FF"/>
          </w:rPr>
          <w:t>Amendment No. 2 to Employment Agreement, dated as of</w:t>
        </w:r>
      </w:hyperlink>
      <w:r>
        <w:rPr>
          <w:rFonts w:ascii="Times New Roman" w:cs="Times New Roman" w:eastAsia="Times New Roman" w:hAnsi="Times New Roman"/>
          <w:sz w:val="14"/>
          <w:szCs w:val="14"/>
          <w:u w:val="single" w:color="auto"/>
          <w:color w:val="0000FF"/>
        </w:rPr>
        <w:t xml:space="preserve"> </w:t>
      </w:r>
      <w:hyperlink r:id="rId336">
        <w:r>
          <w:rPr>
            <w:rFonts w:ascii="Times New Roman" w:cs="Times New Roman" w:eastAsia="Times New Roman" w:hAnsi="Times New Roman"/>
            <w:sz w:val="14"/>
            <w:szCs w:val="14"/>
            <w:u w:val="single" w:color="auto"/>
            <w:color w:val="0000FF"/>
          </w:rPr>
          <w:t>September 10, 2009 by and between Richard F. Pops and</w:t>
        </w:r>
      </w:hyperlink>
      <w:r>
        <w:rPr>
          <w:rFonts w:ascii="Times New Roman" w:cs="Times New Roman" w:eastAsia="Times New Roman" w:hAnsi="Times New Roman"/>
          <w:sz w:val="14"/>
          <w:szCs w:val="14"/>
          <w:u w:val="single" w:color="auto"/>
          <w:color w:val="0000FF"/>
        </w:rPr>
        <w:t xml:space="preserve"> </w:t>
      </w:r>
      <w:hyperlink r:id="rId336">
        <w:r>
          <w:rPr>
            <w:rFonts w:ascii="Times New Roman" w:cs="Times New Roman" w:eastAsia="Times New Roman" w:hAnsi="Times New Roman"/>
            <w:sz w:val="14"/>
            <w:szCs w:val="14"/>
            <w:u w:val="single" w:color="auto"/>
            <w:color w:val="0000FF"/>
          </w:rPr>
          <w:t>Alkermes, Inc.</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14820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214820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10502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210502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53784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537845" cy="6985"/>
                    </a:xfrm>
                    <a:prstGeom prst="rect">
                      <a:avLst/>
                    </a:prstGeom>
                    <a:noFill/>
                  </pic:spPr>
                </pic:pic>
              </a:graphicData>
            </a:graphic>
          </wp:anchor>
        </w:drawing>
      </w:r>
    </w:p>
    <w:p>
      <w:pPr>
        <w:ind w:left="1480" w:right="180" w:hanging="847"/>
        <w:spacing w:after="0" w:line="268"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10.15 †</w:t>
      </w:r>
      <w:r>
        <w:rPr>
          <w:sz w:val="20"/>
          <w:szCs w:val="20"/>
          <w:color w:val="auto"/>
        </w:rPr>
        <w:tab/>
      </w:r>
      <w:hyperlink r:id="rId340">
        <w:r>
          <w:rPr>
            <w:rFonts w:ascii="Times New Roman" w:cs="Times New Roman" w:eastAsia="Times New Roman" w:hAnsi="Times New Roman"/>
            <w:sz w:val="14"/>
            <w:szCs w:val="14"/>
            <w:u w:val="single" w:color="auto"/>
            <w:color w:val="0000FF"/>
          </w:rPr>
          <w:t>Form of Employment Agreement, as amended by the Form of</w:t>
        </w:r>
      </w:hyperlink>
      <w:r>
        <w:rPr>
          <w:rFonts w:ascii="Times New Roman" w:cs="Times New Roman" w:eastAsia="Times New Roman" w:hAnsi="Times New Roman"/>
          <w:sz w:val="14"/>
          <w:szCs w:val="14"/>
          <w:u w:val="single" w:color="auto"/>
          <w:color w:val="0000FF"/>
        </w:rPr>
        <w:t xml:space="preserve"> </w:t>
      </w:r>
      <w:hyperlink r:id="rId340">
        <w:r>
          <w:rPr>
            <w:rFonts w:ascii="Times New Roman" w:cs="Times New Roman" w:eastAsia="Times New Roman" w:hAnsi="Times New Roman"/>
            <w:sz w:val="14"/>
            <w:szCs w:val="14"/>
            <w:u w:val="single" w:color="auto"/>
            <w:color w:val="0000FF"/>
          </w:rPr>
          <w:t>Amendment to Employment Agreement set forth in 10.12.1,</w:t>
        </w:r>
      </w:hyperlink>
      <w:r>
        <w:rPr>
          <w:rFonts w:ascii="Times New Roman" w:cs="Times New Roman" w:eastAsia="Times New Roman" w:hAnsi="Times New Roman"/>
          <w:sz w:val="14"/>
          <w:szCs w:val="14"/>
          <w:u w:val="single" w:color="auto"/>
          <w:color w:val="0000FF"/>
        </w:rPr>
        <w:t xml:space="preserve"> </w:t>
      </w:r>
      <w:hyperlink r:id="rId340">
        <w:r>
          <w:rPr>
            <w:rFonts w:ascii="Times New Roman" w:cs="Times New Roman" w:eastAsia="Times New Roman" w:hAnsi="Times New Roman"/>
            <w:sz w:val="14"/>
            <w:szCs w:val="14"/>
            <w:u w:val="single" w:color="auto"/>
            <w:color w:val="0000FF"/>
          </w:rPr>
          <w:t>entered into by and between Alkermes, Inc. and Blair C.</w:t>
        </w:r>
      </w:hyperlink>
      <w:r>
        <w:rPr>
          <w:rFonts w:ascii="Times New Roman" w:cs="Times New Roman" w:eastAsia="Times New Roman" w:hAnsi="Times New Roman"/>
          <w:sz w:val="14"/>
          <w:szCs w:val="14"/>
          <w:u w:val="single" w:color="auto"/>
          <w:color w:val="0000FF"/>
        </w:rPr>
        <w:t xml:space="preserve"> </w:t>
      </w:r>
      <w:hyperlink r:id="rId340">
        <w:r>
          <w:rPr>
            <w:rFonts w:ascii="Times New Roman" w:cs="Times New Roman" w:eastAsia="Times New Roman" w:hAnsi="Times New Roman"/>
            <w:sz w:val="14"/>
            <w:szCs w:val="14"/>
            <w:u w:val="single" w:color="auto"/>
            <w:color w:val="0000FF"/>
          </w:rPr>
          <w:t>Jackson.</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-358140</wp:posOffset>
            </wp:positionV>
            <wp:extent cx="227393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1">
                      <a:extLst>
                        <a:ext uri="{28A0092B-C50C-407E-A947-70E740481C1C}"/>
                      </a:extLst>
                    </a:blip>
                    <a:srcRect/>
                    <a:stretch>
                      <a:fillRect/>
                    </a:stretch>
                  </pic:blipFill>
                  <pic:spPr bwMode="auto">
                    <a:xfrm>
                      <a:off x="0" y="0"/>
                      <a:ext cx="227393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-248920</wp:posOffset>
            </wp:positionV>
            <wp:extent cx="221869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2">
                      <a:extLst>
                        <a:ext uri="{28A0092B-C50C-407E-A947-70E740481C1C}"/>
                      </a:extLst>
                    </a:blip>
                    <a:srcRect/>
                    <a:stretch>
                      <a:fillRect/>
                    </a:stretch>
                  </pic:blipFill>
                  <pic:spPr bwMode="auto">
                    <a:xfrm>
                      <a:off x="0" y="0"/>
                      <a:ext cx="221869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07200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3">
                      <a:extLst>
                        <a:ext uri="{28A0092B-C50C-407E-A947-70E740481C1C}"/>
                      </a:extLst>
                    </a:blip>
                    <a:srcRect/>
                    <a:stretch>
                      <a:fillRect/>
                    </a:stretch>
                  </pic:blipFill>
                  <pic:spPr bwMode="auto">
                    <a:xfrm>
                      <a:off x="0" y="0"/>
                      <a:ext cx="207200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31051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4">
                      <a:extLst>
                        <a:ext uri="{28A0092B-C50C-407E-A947-70E740481C1C}"/>
                      </a:extLst>
                    </a:blip>
                    <a:srcRect/>
                    <a:stretch>
                      <a:fillRect/>
                    </a:stretch>
                  </pic:blipFill>
                  <pic:spPr bwMode="auto">
                    <a:xfrm>
                      <a:off x="0" y="0"/>
                      <a:ext cx="310515" cy="6985"/>
                    </a:xfrm>
                    <a:prstGeom prst="rect">
                      <a:avLst/>
                    </a:prstGeom>
                    <a:noFill/>
                  </pic:spPr>
                </pic:pic>
              </a:graphicData>
            </a:graphic>
          </wp:anchor>
        </w:drawing>
      </w:r>
    </w:p>
    <w:p>
      <w:pPr>
        <w:ind w:left="1480" w:right="20" w:hanging="847"/>
        <w:spacing w:after="0" w:line="29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10.15A †</w:t>
      </w:r>
      <w:r>
        <w:rPr>
          <w:sz w:val="20"/>
          <w:szCs w:val="20"/>
          <w:color w:val="auto"/>
        </w:rPr>
        <w:tab/>
      </w:r>
      <w:hyperlink r:id="rId345">
        <w:r>
          <w:rPr>
            <w:rFonts w:ascii="Times New Roman" w:cs="Times New Roman" w:eastAsia="Times New Roman" w:hAnsi="Times New Roman"/>
            <w:sz w:val="14"/>
            <w:szCs w:val="14"/>
            <w:u w:val="single" w:color="auto"/>
            <w:color w:val="0000FF"/>
          </w:rPr>
          <w:t>Form of Amendment to Employment Agreement with Alkermes,</w:t>
        </w:r>
      </w:hyperlink>
      <w:r>
        <w:rPr>
          <w:rFonts w:ascii="Times New Roman" w:cs="Times New Roman" w:eastAsia="Times New Roman" w:hAnsi="Times New Roman"/>
          <w:sz w:val="14"/>
          <w:szCs w:val="14"/>
          <w:u w:val="single" w:color="auto"/>
          <w:color w:val="0000FF"/>
        </w:rPr>
        <w:t xml:space="preserve"> </w:t>
      </w:r>
      <w:hyperlink r:id="rId345">
        <w:r>
          <w:rPr>
            <w:rFonts w:ascii="Times New Roman" w:cs="Times New Roman" w:eastAsia="Times New Roman" w:hAnsi="Times New Roman"/>
            <w:sz w:val="14"/>
            <w:szCs w:val="14"/>
            <w:u w:val="single" w:color="auto"/>
            <w:color w:val="0000FF"/>
          </w:rPr>
          <w:t>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-149860</wp:posOffset>
            </wp:positionV>
            <wp:extent cx="237299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237299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-41275</wp:posOffset>
            </wp:positionV>
            <wp:extent cx="16129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161290" cy="6985"/>
                    </a:xfrm>
                    <a:prstGeom prst="rect">
                      <a:avLst/>
                    </a:prstGeom>
                    <a:noFill/>
                  </pic:spPr>
                </pic:pic>
              </a:graphicData>
            </a:graphic>
          </wp:anchor>
        </w:drawing>
      </w:r>
    </w:p>
    <w:p>
      <w:pPr>
        <w:spacing w:after="0" w:line="136" w:lineRule="exact"/>
        <w:rPr>
          <w:sz w:val="20"/>
          <w:szCs w:val="20"/>
          <w:color w:val="auto"/>
        </w:rPr>
      </w:pPr>
    </w:p>
    <w:p>
      <w:pPr>
        <w:ind w:left="1480" w:right="2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10.16 †</w:t>
      </w:r>
      <w:r>
        <w:rPr>
          <w:sz w:val="20"/>
          <w:szCs w:val="20"/>
          <w:color w:val="auto"/>
        </w:rPr>
        <w:tab/>
      </w:r>
      <w:hyperlink r:id="rId348">
        <w:r>
          <w:rPr>
            <w:rFonts w:ascii="Times New Roman" w:cs="Times New Roman" w:eastAsia="Times New Roman" w:hAnsi="Times New Roman"/>
            <w:sz w:val="14"/>
            <w:szCs w:val="14"/>
            <w:u w:val="single" w:color="auto"/>
            <w:color w:val="0000FF"/>
          </w:rPr>
          <w:t>Form of Employment Agreement entered into by and between</w:t>
        </w:r>
      </w:hyperlink>
      <w:r>
        <w:rPr>
          <w:rFonts w:ascii="Times New Roman" w:cs="Times New Roman" w:eastAsia="Times New Roman" w:hAnsi="Times New Roman"/>
          <w:sz w:val="14"/>
          <w:szCs w:val="14"/>
          <w:u w:val="single" w:color="auto"/>
          <w:color w:val="0000FF"/>
        </w:rPr>
        <w:t xml:space="preserve"> </w:t>
      </w:r>
      <w:hyperlink r:id="rId348">
        <w:r>
          <w:rPr>
            <w:rFonts w:ascii="Times New Roman" w:cs="Times New Roman" w:eastAsia="Times New Roman" w:hAnsi="Times New Roman"/>
            <w:sz w:val="14"/>
            <w:szCs w:val="14"/>
            <w:u w:val="single" w:color="auto"/>
            <w:color w:val="0000FF"/>
          </w:rPr>
          <w:t>Alkermes, Inc. and each of David J. Gaffin, Craig C. Hopkinson,</w:t>
        </w:r>
      </w:hyperlink>
      <w:r>
        <w:rPr>
          <w:rFonts w:ascii="Times New Roman" w:cs="Times New Roman" w:eastAsia="Times New Roman" w:hAnsi="Times New Roman"/>
          <w:sz w:val="14"/>
          <w:szCs w:val="14"/>
          <w:u w:val="single" w:color="auto"/>
          <w:color w:val="0000FF"/>
        </w:rPr>
        <w:t xml:space="preserve"> </w:t>
      </w:r>
      <w:hyperlink r:id="rId348">
        <w:r>
          <w:rPr>
            <w:rFonts w:ascii="Times New Roman" w:cs="Times New Roman" w:eastAsia="Times New Roman" w:hAnsi="Times New Roman"/>
            <w:sz w:val="14"/>
            <w:szCs w:val="14"/>
            <w:u w:val="single" w:color="auto"/>
            <w:color w:val="0000FF"/>
          </w:rPr>
          <w:t>M.D. Christian Todd Nichols and Joshua Reed.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28409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9">
                      <a:extLst>
                        <a:ext uri="{28A0092B-C50C-407E-A947-70E740481C1C}"/>
                      </a:extLst>
                    </a:blip>
                    <a:srcRect/>
                    <a:stretch>
                      <a:fillRect/>
                    </a:stretch>
                  </pic:blipFill>
                  <pic:spPr bwMode="auto">
                    <a:xfrm>
                      <a:off x="0" y="0"/>
                      <a:ext cx="228409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37299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0">
                      <a:extLst>
                        <a:ext uri="{28A0092B-C50C-407E-A947-70E740481C1C}"/>
                      </a:extLst>
                    </a:blip>
                    <a:srcRect/>
                    <a:stretch>
                      <a:fillRect/>
                    </a:stretch>
                  </pic:blipFill>
                  <pic:spPr bwMode="auto">
                    <a:xfrm>
                      <a:off x="0" y="0"/>
                      <a:ext cx="237299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172402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1">
                      <a:extLst>
                        <a:ext uri="{28A0092B-C50C-407E-A947-70E740481C1C}"/>
                      </a:extLst>
                    </a:blip>
                    <a:srcRect/>
                    <a:stretch>
                      <a:fillRect/>
                    </a:stretch>
                  </pic:blipFill>
                  <pic:spPr bwMode="auto">
                    <a:xfrm>
                      <a:off x="0" y="0"/>
                      <a:ext cx="1724025" cy="6985"/>
                    </a:xfrm>
                    <a:prstGeom prst="rect">
                      <a:avLst/>
                    </a:prstGeom>
                    <a:noFill/>
                  </pic:spPr>
                </pic:pic>
              </a:graphicData>
            </a:graphic>
          </wp:anchor>
        </w:drawing>
      </w:r>
    </w:p>
    <w:p>
      <w:pPr>
        <w:jc w:val="center"/>
        <w:ind w:left="320"/>
        <w:spacing w:after="0"/>
        <w:tabs>
          <w:tab w:leader="none" w:pos="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10.17†</w:t>
      </w:r>
      <w:r>
        <w:rPr>
          <w:sz w:val="20"/>
          <w:szCs w:val="20"/>
          <w:color w:val="auto"/>
        </w:rPr>
        <w:tab/>
      </w:r>
      <w:hyperlink r:id="rId352">
        <w:r>
          <w:rPr>
            <w:rFonts w:ascii="Times New Roman" w:cs="Times New Roman" w:eastAsia="Times New Roman" w:hAnsi="Times New Roman"/>
            <w:sz w:val="14"/>
            <w:szCs w:val="14"/>
            <w:u w:val="single" w:color="auto"/>
            <w:color w:val="0000FF"/>
          </w:rPr>
          <w:t>Offer Letter, effective as of April 24, 2017, by and between</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-3810</wp:posOffset>
            </wp:positionV>
            <wp:extent cx="219075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2190750" cy="6985"/>
                    </a:xfrm>
                    <a:prstGeom prst="rect">
                      <a:avLst/>
                    </a:prstGeom>
                    <a:noFill/>
                  </pic:spPr>
                </pic:pic>
              </a:graphicData>
            </a:graphic>
          </wp:anchor>
        </w:drawing>
      </w:r>
    </w:p>
    <w:p>
      <w:pPr>
        <w:spacing w:after="0" w:line="5" w:lineRule="exact"/>
        <w:rPr>
          <w:rFonts w:ascii="Times New Roman" w:cs="Times New Roman" w:eastAsia="Times New Roman" w:hAnsi="Times New Roman"/>
          <w:sz w:val="14"/>
          <w:szCs w:val="14"/>
          <w:u w:val="single" w:color="auto"/>
          <w:color w:val="0000FF"/>
        </w:rPr>
      </w:pPr>
    </w:p>
    <w:p>
      <w:pPr>
        <w:jc w:val="center"/>
        <w:ind w:left="360"/>
        <w:spacing w:after="0"/>
        <w:rPr>
          <w:rFonts w:ascii="Times New Roman" w:cs="Times New Roman" w:eastAsia="Times New Roman" w:hAnsi="Times New Roman"/>
          <w:sz w:val="14"/>
          <w:szCs w:val="14"/>
          <w:u w:val="single" w:color="auto"/>
          <w:color w:val="0000FF"/>
        </w:rPr>
      </w:pPr>
      <w:hyperlink r:id="rId352">
        <w:r>
          <w:rPr>
            <w:rFonts w:ascii="Times New Roman" w:cs="Times New Roman" w:eastAsia="Times New Roman" w:hAnsi="Times New Roman"/>
            <w:sz w:val="14"/>
            <w:szCs w:val="14"/>
            <w:u w:val="single" w:color="auto"/>
            <w:color w:val="0000FF"/>
          </w:rPr>
          <w:t>Alkermes, Inc. and Craig C. Hopkinson M.D.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-12065</wp:posOffset>
            </wp:positionV>
            <wp:extent cx="165862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1658620" cy="6985"/>
                    </a:xfrm>
                    <a:prstGeom prst="rect">
                      <a:avLst/>
                    </a:prstGeom>
                    <a:noFill/>
                  </pic:spPr>
                </pic:pic>
              </a:graphicData>
            </a:graphic>
          </wp:anchor>
        </w:drawing>
      </w:r>
    </w:p>
    <w:p>
      <w:pPr>
        <w:spacing w:after="0" w:line="353" w:lineRule="exact"/>
        <w:rPr>
          <w:rFonts w:ascii="Times New Roman" w:cs="Times New Roman" w:eastAsia="Times New Roman" w:hAnsi="Times New Roman"/>
          <w:sz w:val="14"/>
          <w:szCs w:val="14"/>
          <w:u w:val="single" w:color="auto"/>
          <w:color w:val="0000FF"/>
        </w:rPr>
      </w:pPr>
    </w:p>
    <w:p>
      <w:pPr>
        <w:ind w:left="1480" w:right="120" w:hanging="847"/>
        <w:spacing w:after="0" w:line="29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10.18 †</w:t>
      </w:r>
      <w:r>
        <w:rPr>
          <w:sz w:val="20"/>
          <w:szCs w:val="20"/>
          <w:color w:val="auto"/>
        </w:rPr>
        <w:tab/>
      </w:r>
      <w:hyperlink r:id="rId355">
        <w:r>
          <w:rPr>
            <w:rFonts w:ascii="Times New Roman" w:cs="Times New Roman" w:eastAsia="Times New Roman" w:hAnsi="Times New Roman"/>
            <w:sz w:val="14"/>
            <w:szCs w:val="14"/>
            <w:u w:val="single" w:color="auto"/>
            <w:color w:val="0000FF"/>
          </w:rPr>
          <w:t>Offer Letter, dated March 29, 2019, by and between Alkermes,</w:t>
        </w:r>
      </w:hyperlink>
      <w:r>
        <w:rPr>
          <w:rFonts w:ascii="Times New Roman" w:cs="Times New Roman" w:eastAsia="Times New Roman" w:hAnsi="Times New Roman"/>
          <w:sz w:val="14"/>
          <w:szCs w:val="14"/>
          <w:u w:val="single" w:color="auto"/>
          <w:color w:val="0000FF"/>
        </w:rPr>
        <w:t xml:space="preserve"> </w:t>
      </w:r>
      <w:hyperlink r:id="rId355">
        <w:r>
          <w:rPr>
            <w:rFonts w:ascii="Times New Roman" w:cs="Times New Roman" w:eastAsia="Times New Roman" w:hAnsi="Times New Roman"/>
            <w:sz w:val="14"/>
            <w:szCs w:val="14"/>
            <w:u w:val="single" w:color="auto"/>
            <w:color w:val="0000FF"/>
          </w:rPr>
          <w:t>Inc. and Christian Todd Nichols.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-149860</wp:posOffset>
            </wp:positionV>
            <wp:extent cx="231648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231648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-41275</wp:posOffset>
            </wp:positionV>
            <wp:extent cx="119126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1191260" cy="6985"/>
                    </a:xfrm>
                    <a:prstGeom prst="rect">
                      <a:avLst/>
                    </a:prstGeom>
                    <a:noFill/>
                  </pic:spPr>
                </pic:pic>
              </a:graphicData>
            </a:graphic>
          </wp:anchor>
        </w:drawing>
      </w:r>
    </w:p>
    <w:p>
      <w:pPr>
        <w:spacing w:after="0" w:line="136" w:lineRule="exact"/>
        <w:rPr>
          <w:sz w:val="20"/>
          <w:szCs w:val="20"/>
          <w:color w:val="auto"/>
        </w:rPr>
      </w:pPr>
    </w:p>
    <w:p>
      <w:pPr>
        <w:ind w:left="1480" w:right="80" w:hanging="847"/>
        <w:spacing w:after="0" w:line="29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10.19 †</w:t>
      </w:r>
      <w:r>
        <w:rPr>
          <w:sz w:val="20"/>
          <w:szCs w:val="20"/>
          <w:color w:val="auto"/>
        </w:rPr>
        <w:tab/>
      </w:r>
      <w:hyperlink r:id="rId358">
        <w:r>
          <w:rPr>
            <w:rFonts w:ascii="Times New Roman" w:cs="Times New Roman" w:eastAsia="Times New Roman" w:hAnsi="Times New Roman"/>
            <w:sz w:val="14"/>
            <w:szCs w:val="14"/>
            <w:u w:val="single" w:color="auto"/>
            <w:color w:val="0000FF"/>
          </w:rPr>
          <w:t>Offer Letter, dated August 27, 2025, by and between Alkermes,</w:t>
        </w:r>
      </w:hyperlink>
      <w:r>
        <w:rPr>
          <w:rFonts w:ascii="Times New Roman" w:cs="Times New Roman" w:eastAsia="Times New Roman" w:hAnsi="Times New Roman"/>
          <w:sz w:val="14"/>
          <w:szCs w:val="14"/>
          <w:u w:val="single" w:color="auto"/>
          <w:color w:val="0000FF"/>
        </w:rPr>
        <w:t xml:space="preserve"> </w:t>
      </w:r>
      <w:hyperlink r:id="rId358">
        <w:r>
          <w:rPr>
            <w:rFonts w:ascii="Times New Roman" w:cs="Times New Roman" w:eastAsia="Times New Roman" w:hAnsi="Times New Roman"/>
            <w:sz w:val="14"/>
            <w:szCs w:val="14"/>
            <w:u w:val="single" w:color="auto"/>
            <w:color w:val="0000FF"/>
          </w:rPr>
          <w:t>Inc. and Joshua Reed.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-149860</wp:posOffset>
            </wp:positionV>
            <wp:extent cx="234188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234188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-41275</wp:posOffset>
            </wp:positionV>
            <wp:extent cx="79502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795020" cy="6985"/>
                    </a:xfrm>
                    <a:prstGeom prst="rect">
                      <a:avLst/>
                    </a:prstGeom>
                    <a:noFill/>
                  </pic:spPr>
                </pic:pic>
              </a:graphicData>
            </a:graphic>
          </wp:anchor>
        </w:drawing>
      </w:r>
    </w:p>
    <w:p>
      <w:pPr>
        <w:spacing w:after="0" w:line="136" w:lineRule="exact"/>
        <w:rPr>
          <w:sz w:val="20"/>
          <w:szCs w:val="20"/>
          <w:color w:val="auto"/>
        </w:rPr>
      </w:pPr>
    </w:p>
    <w:p>
      <w:pPr>
        <w:ind w:left="148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10.20 †</w:t>
      </w:r>
      <w:r>
        <w:rPr>
          <w:sz w:val="20"/>
          <w:szCs w:val="20"/>
          <w:color w:val="auto"/>
        </w:rPr>
        <w:tab/>
      </w:r>
      <w:hyperlink r:id="rId361">
        <w:r>
          <w:rPr>
            <w:rFonts w:ascii="Times New Roman" w:cs="Times New Roman" w:eastAsia="Times New Roman" w:hAnsi="Times New Roman"/>
            <w:sz w:val="14"/>
            <w:szCs w:val="14"/>
            <w:u w:val="single" w:color="auto"/>
            <w:color w:val="0000FF"/>
          </w:rPr>
          <w:t>Form of Indemnification Agreement entered into by and between</w:t>
        </w:r>
      </w:hyperlink>
      <w:r>
        <w:rPr>
          <w:rFonts w:ascii="Times New Roman" w:cs="Times New Roman" w:eastAsia="Times New Roman" w:hAnsi="Times New Roman"/>
          <w:sz w:val="14"/>
          <w:szCs w:val="14"/>
          <w:u w:val="single" w:color="auto"/>
          <w:color w:val="0000FF"/>
        </w:rPr>
        <w:t xml:space="preserve"> </w:t>
      </w:r>
      <w:hyperlink r:id="rId361">
        <w:r>
          <w:rPr>
            <w:rFonts w:ascii="Times New Roman" w:cs="Times New Roman" w:eastAsia="Times New Roman" w:hAnsi="Times New Roman"/>
            <w:sz w:val="14"/>
            <w:szCs w:val="14"/>
            <w:u w:val="single" w:color="auto"/>
            <w:color w:val="0000FF"/>
          </w:rPr>
          <w:t>Alkermes, Inc. and each of the Directors and Secretaries of</w:t>
        </w:r>
      </w:hyperlink>
      <w:r>
        <w:rPr>
          <w:rFonts w:ascii="Times New Roman" w:cs="Times New Roman" w:eastAsia="Times New Roman" w:hAnsi="Times New Roman"/>
          <w:sz w:val="14"/>
          <w:szCs w:val="14"/>
          <w:u w:val="single" w:color="auto"/>
          <w:color w:val="0000FF"/>
        </w:rPr>
        <w:t xml:space="preserve"> </w:t>
      </w:r>
      <w:hyperlink r:id="rId361">
        <w:r>
          <w:rPr>
            <w:rFonts w:ascii="Times New Roman" w:cs="Times New Roman" w:eastAsia="Times New Roman" w:hAnsi="Times New Roman"/>
            <w:sz w:val="14"/>
            <w:szCs w:val="14"/>
            <w:u w:val="single" w:color="auto"/>
            <w:color w:val="0000FF"/>
          </w:rPr>
          <w:t>Alkermes plc and its Irish subsidiaries.</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37299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2">
                      <a:extLst>
                        <a:ext uri="{28A0092B-C50C-407E-A947-70E740481C1C}"/>
                      </a:extLst>
                    </a:blip>
                    <a:srcRect/>
                    <a:stretch>
                      <a:fillRect/>
                    </a:stretch>
                  </pic:blipFill>
                  <pic:spPr bwMode="auto">
                    <a:xfrm>
                      <a:off x="0" y="0"/>
                      <a:ext cx="237299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17043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3">
                      <a:extLst>
                        <a:ext uri="{28A0092B-C50C-407E-A947-70E740481C1C}"/>
                      </a:extLst>
                    </a:blip>
                    <a:srcRect/>
                    <a:stretch>
                      <a:fillRect/>
                    </a:stretch>
                  </pic:blipFill>
                  <pic:spPr bwMode="auto">
                    <a:xfrm>
                      <a:off x="0" y="0"/>
                      <a:ext cx="217043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141351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4">
                      <a:extLst>
                        <a:ext uri="{28A0092B-C50C-407E-A947-70E740481C1C}"/>
                      </a:extLst>
                    </a:blip>
                    <a:srcRect/>
                    <a:stretch>
                      <a:fillRect/>
                    </a:stretch>
                  </pic:blipFill>
                  <pic:spPr bwMode="auto">
                    <a:xfrm>
                      <a:off x="0" y="0"/>
                      <a:ext cx="1413510" cy="6985"/>
                    </a:xfrm>
                    <a:prstGeom prst="rect">
                      <a:avLst/>
                    </a:prstGeom>
                    <a:noFill/>
                  </pic:spPr>
                </pic:pic>
              </a:graphicData>
            </a:graphic>
          </wp:anchor>
        </w:drawing>
      </w:r>
    </w:p>
    <w:p>
      <w:pPr>
        <w:ind w:left="1480" w:right="18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10.21 †</w:t>
      </w:r>
      <w:r>
        <w:rPr>
          <w:sz w:val="20"/>
          <w:szCs w:val="20"/>
          <w:color w:val="auto"/>
        </w:rPr>
        <w:tab/>
      </w:r>
      <w:hyperlink r:id="rId365">
        <w:r>
          <w:rPr>
            <w:rFonts w:ascii="Times New Roman" w:cs="Times New Roman" w:eastAsia="Times New Roman" w:hAnsi="Times New Roman"/>
            <w:sz w:val="14"/>
            <w:szCs w:val="14"/>
            <w:u w:val="single" w:color="auto"/>
            <w:color w:val="0000FF"/>
          </w:rPr>
          <w:t>Form of Deed of Indemnification entered into by and between</w:t>
        </w:r>
      </w:hyperlink>
      <w:r>
        <w:rPr>
          <w:rFonts w:ascii="Times New Roman" w:cs="Times New Roman" w:eastAsia="Times New Roman" w:hAnsi="Times New Roman"/>
          <w:sz w:val="14"/>
          <w:szCs w:val="14"/>
          <w:u w:val="single" w:color="auto"/>
          <w:color w:val="0000FF"/>
        </w:rPr>
        <w:t xml:space="preserve"> </w:t>
      </w:r>
      <w:hyperlink r:id="rId365">
        <w:r>
          <w:rPr>
            <w:rFonts w:ascii="Times New Roman" w:cs="Times New Roman" w:eastAsia="Times New Roman" w:hAnsi="Times New Roman"/>
            <w:sz w:val="14"/>
            <w:szCs w:val="14"/>
            <w:u w:val="single" w:color="auto"/>
            <w:color w:val="0000FF"/>
          </w:rPr>
          <w:t>each of the Directors, Secretaries and executive officers of</w:t>
        </w:r>
      </w:hyperlink>
      <w:r>
        <w:rPr>
          <w:rFonts w:ascii="Times New Roman" w:cs="Times New Roman" w:eastAsia="Times New Roman" w:hAnsi="Times New Roman"/>
          <w:sz w:val="14"/>
          <w:szCs w:val="14"/>
          <w:u w:val="single" w:color="auto"/>
          <w:color w:val="0000FF"/>
        </w:rPr>
        <w:t xml:space="preserve"> </w:t>
      </w:r>
      <w:hyperlink r:id="rId365">
        <w:r>
          <w:rPr>
            <w:rFonts w:ascii="Times New Roman" w:cs="Times New Roman" w:eastAsia="Times New Roman" w:hAnsi="Times New Roman"/>
            <w:sz w:val="14"/>
            <w:szCs w:val="14"/>
            <w:u w:val="single" w:color="auto"/>
            <w:color w:val="0000FF"/>
          </w:rPr>
          <w:t>Alkermes plc and its subsidiaries.</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28155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6">
                      <a:extLst>
                        <a:ext uri="{28A0092B-C50C-407E-A947-70E740481C1C}"/>
                      </a:extLst>
                    </a:blip>
                    <a:srcRect/>
                    <a:stretch>
                      <a:fillRect/>
                    </a:stretch>
                  </pic:blipFill>
                  <pic:spPr bwMode="auto">
                    <a:xfrm>
                      <a:off x="0" y="0"/>
                      <a:ext cx="228155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15011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7">
                      <a:extLst>
                        <a:ext uri="{28A0092B-C50C-407E-A947-70E740481C1C}"/>
                      </a:extLst>
                    </a:blip>
                    <a:srcRect/>
                    <a:stretch>
                      <a:fillRect/>
                    </a:stretch>
                  </pic:blipFill>
                  <pic:spPr bwMode="auto">
                    <a:xfrm>
                      <a:off x="0" y="0"/>
                      <a:ext cx="215011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122428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8">
                      <a:extLst>
                        <a:ext uri="{28A0092B-C50C-407E-A947-70E740481C1C}"/>
                      </a:extLst>
                    </a:blip>
                    <a:srcRect/>
                    <a:stretch>
                      <a:fillRect/>
                    </a:stretch>
                  </pic:blipFill>
                  <pic:spPr bwMode="auto">
                    <a:xfrm>
                      <a:off x="0" y="0"/>
                      <a:ext cx="1224280" cy="6985"/>
                    </a:xfrm>
                    <a:prstGeom prst="rect">
                      <a:avLst/>
                    </a:prstGeom>
                    <a:noFill/>
                  </pic:spPr>
                </pic:pic>
              </a:graphicData>
            </a:graphic>
          </wp:anchor>
        </w:drawing>
      </w:r>
    </w:p>
    <w:p>
      <w:pPr>
        <w:ind w:left="1480" w:right="240" w:hanging="847"/>
        <w:spacing w:after="0" w:line="29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w:t>
      </w:r>
      <w:r>
        <w:rPr>
          <w:sz w:val="20"/>
          <w:szCs w:val="20"/>
          <w:color w:val="auto"/>
        </w:rPr>
        <w:tab/>
      </w:r>
      <w:hyperlink r:id="rId369">
        <w:r>
          <w:rPr>
            <w:rFonts w:ascii="Times New Roman" w:cs="Times New Roman" w:eastAsia="Times New Roman" w:hAnsi="Times New Roman"/>
            <w:sz w:val="14"/>
            <w:szCs w:val="14"/>
            <w:u w:val="single" w:color="auto"/>
            <w:color w:val="0000FF"/>
          </w:rPr>
          <w:t>Alkermes plc Amended and Restated 2008 Stock Option and</w:t>
        </w:r>
      </w:hyperlink>
      <w:r>
        <w:rPr>
          <w:rFonts w:ascii="Times New Roman" w:cs="Times New Roman" w:eastAsia="Times New Roman" w:hAnsi="Times New Roman"/>
          <w:sz w:val="14"/>
          <w:szCs w:val="14"/>
          <w:u w:val="single" w:color="auto"/>
          <w:color w:val="0000FF"/>
        </w:rPr>
        <w:t xml:space="preserve"> </w:t>
      </w:r>
      <w:hyperlink r:id="rId369">
        <w:r>
          <w:rPr>
            <w:rFonts w:ascii="Times New Roman" w:cs="Times New Roman" w:eastAsia="Times New Roman" w:hAnsi="Times New Roman"/>
            <w:sz w:val="14"/>
            <w:szCs w:val="14"/>
            <w:u w:val="single" w:color="auto"/>
            <w:color w:val="0000FF"/>
          </w:rPr>
          <w:t>Incentive Plan,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-149860</wp:posOffset>
            </wp:positionV>
            <wp:extent cx="223901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223901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-41275</wp:posOffset>
            </wp:positionV>
            <wp:extent cx="101727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1017270"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480" w:right="140" w:hanging="847"/>
        <w:spacing w:after="0" w:line="274"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10.22A †</w:t>
      </w:r>
      <w:r>
        <w:rPr>
          <w:sz w:val="20"/>
          <w:szCs w:val="20"/>
          <w:color w:val="auto"/>
        </w:rPr>
        <w:tab/>
      </w:r>
      <w:hyperlink r:id="rId372">
        <w:r>
          <w:rPr>
            <w:rFonts w:ascii="Times New Roman" w:cs="Times New Roman" w:eastAsia="Times New Roman" w:hAnsi="Times New Roman"/>
            <w:sz w:val="14"/>
            <w:szCs w:val="14"/>
            <w:u w:val="single" w:color="auto"/>
            <w:color w:val="0000FF"/>
          </w:rPr>
          <w:t>Form of Stock Option Award Certificate (Non-Employee</w:t>
        </w:r>
      </w:hyperlink>
      <w:r>
        <w:rPr>
          <w:rFonts w:ascii="Times New Roman" w:cs="Times New Roman" w:eastAsia="Times New Roman" w:hAnsi="Times New Roman"/>
          <w:sz w:val="14"/>
          <w:szCs w:val="14"/>
          <w:u w:val="single" w:color="auto"/>
          <w:color w:val="0000FF"/>
        </w:rPr>
        <w:t xml:space="preserve"> </w:t>
      </w:r>
      <w:hyperlink r:id="rId372">
        <w:r>
          <w:rPr>
            <w:rFonts w:ascii="Times New Roman" w:cs="Times New Roman" w:eastAsia="Times New Roman" w:hAnsi="Times New Roman"/>
            <w:sz w:val="14"/>
            <w:szCs w:val="14"/>
            <w:u w:val="single" w:color="auto"/>
            <w:color w:val="0000FF"/>
          </w:rPr>
          <w:t>Director) under the Alkermes plc Amended and Restated 2008</w:t>
        </w:r>
      </w:hyperlink>
      <w:r>
        <w:rPr>
          <w:rFonts w:ascii="Times New Roman" w:cs="Times New Roman" w:eastAsia="Times New Roman" w:hAnsi="Times New Roman"/>
          <w:sz w:val="14"/>
          <w:szCs w:val="14"/>
          <w:u w:val="single" w:color="auto"/>
          <w:color w:val="0000FF"/>
        </w:rPr>
        <w:t xml:space="preserve"> </w:t>
      </w:r>
      <w:hyperlink r:id="rId372">
        <w:r>
          <w:rPr>
            <w:rFonts w:ascii="Times New Roman" w:cs="Times New Roman" w:eastAsia="Times New Roman" w:hAnsi="Times New Roman"/>
            <w:sz w:val="14"/>
            <w:szCs w:val="14"/>
            <w:u w:val="single" w:color="auto"/>
            <w:color w:val="0000FF"/>
          </w:rPr>
          <w:t>Stock Option and 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-251460</wp:posOffset>
            </wp:positionV>
            <wp:extent cx="210756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210756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-142240</wp:posOffset>
            </wp:positionV>
            <wp:extent cx="229933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229933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-33020</wp:posOffset>
            </wp:positionV>
            <wp:extent cx="167576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1675765" cy="6985"/>
                    </a:xfrm>
                    <a:prstGeom prst="rect">
                      <a:avLst/>
                    </a:prstGeom>
                    <a:noFill/>
                  </pic:spPr>
                </pic:pic>
              </a:graphicData>
            </a:graphic>
          </wp:anchor>
        </w:drawing>
      </w:r>
    </w:p>
    <w:p>
      <w:pPr>
        <w:spacing w:after="0" w:line="320" w:lineRule="exact"/>
        <w:rPr>
          <w:rFonts w:ascii="Times New Roman" w:cs="Times New Roman" w:eastAsia="Times New Roman" w:hAnsi="Times New Roman"/>
          <w:sz w:val="14"/>
          <w:szCs w:val="14"/>
          <w:u w:val="single" w:color="auto"/>
          <w:color w:val="0000FF"/>
        </w:rPr>
      </w:pPr>
    </w:p>
    <w:p>
      <w:pPr>
        <w:ind w:left="1480" w:right="60" w:hanging="847"/>
        <w:spacing w:after="0" w:line="274"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10.22B †</w:t>
      </w:r>
      <w:r>
        <w:rPr>
          <w:sz w:val="20"/>
          <w:szCs w:val="20"/>
          <w:color w:val="auto"/>
        </w:rPr>
        <w:tab/>
      </w:r>
      <w:hyperlink r:id="rId376">
        <w:r>
          <w:rPr>
            <w:rFonts w:ascii="Times New Roman" w:cs="Times New Roman" w:eastAsia="Times New Roman" w:hAnsi="Times New Roman"/>
            <w:sz w:val="14"/>
            <w:szCs w:val="14"/>
            <w:u w:val="single" w:color="auto"/>
            <w:color w:val="0000FF"/>
          </w:rPr>
          <w:t>Form of Restricted Stock Unit Award Certificate (Time Vesting</w:t>
        </w:r>
      </w:hyperlink>
      <w:r>
        <w:rPr>
          <w:rFonts w:ascii="Times New Roman" w:cs="Times New Roman" w:eastAsia="Times New Roman" w:hAnsi="Times New Roman"/>
          <w:sz w:val="14"/>
          <w:szCs w:val="14"/>
          <w:u w:val="single" w:color="auto"/>
          <w:color w:val="0000FF"/>
        </w:rPr>
        <w:t xml:space="preserve"> </w:t>
      </w:r>
      <w:hyperlink r:id="rId376">
        <w:r>
          <w:rPr>
            <w:rFonts w:ascii="Times New Roman" w:cs="Times New Roman" w:eastAsia="Times New Roman" w:hAnsi="Times New Roman"/>
            <w:sz w:val="14"/>
            <w:szCs w:val="14"/>
            <w:u w:val="single" w:color="auto"/>
            <w:color w:val="0000FF"/>
          </w:rPr>
          <w:t>Only – Irish) under the Alkermes plc Amended and Restated</w:t>
        </w:r>
      </w:hyperlink>
      <w:r>
        <w:rPr>
          <w:rFonts w:ascii="Times New Roman" w:cs="Times New Roman" w:eastAsia="Times New Roman" w:hAnsi="Times New Roman"/>
          <w:sz w:val="14"/>
          <w:szCs w:val="14"/>
          <w:u w:val="single" w:color="auto"/>
          <w:color w:val="0000FF"/>
        </w:rPr>
        <w:t xml:space="preserve"> </w:t>
      </w:r>
      <w:hyperlink r:id="rId376">
        <w:r>
          <w:rPr>
            <w:rFonts w:ascii="Times New Roman" w:cs="Times New Roman" w:eastAsia="Times New Roman" w:hAnsi="Times New Roman"/>
            <w:sz w:val="14"/>
            <w:szCs w:val="14"/>
            <w:u w:val="single" w:color="auto"/>
            <w:color w:val="0000FF"/>
          </w:rPr>
          <w:t>2008 Stock Option and 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-251460</wp:posOffset>
            </wp:positionV>
            <wp:extent cx="235013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235013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-142240</wp:posOffset>
            </wp:positionV>
            <wp:extent cx="223139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223139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-33020</wp:posOffset>
            </wp:positionV>
            <wp:extent cx="188023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1880235" cy="6985"/>
                    </a:xfrm>
                    <a:prstGeom prst="rect">
                      <a:avLst/>
                    </a:prstGeom>
                    <a:noFill/>
                  </pic:spPr>
                </pic:pic>
              </a:graphicData>
            </a:graphic>
          </wp:anchor>
        </w:drawing>
      </w:r>
    </w:p>
    <w:p>
      <w:pPr>
        <w:spacing w:after="0" w:line="200" w:lineRule="exact"/>
        <w:rPr>
          <w:rFonts w:ascii="Times New Roman" w:cs="Times New Roman" w:eastAsia="Times New Roman" w:hAnsi="Times New Roman"/>
          <w:sz w:val="14"/>
          <w:szCs w:val="14"/>
          <w:u w:val="single" w:color="auto"/>
          <w:color w:val="0000FF"/>
        </w:rPr>
      </w:pPr>
    </w:p>
    <w:p>
      <w:pPr>
        <w:spacing w:after="0" w:line="292" w:lineRule="exact"/>
        <w:rPr>
          <w:rFonts w:ascii="Times New Roman" w:cs="Times New Roman" w:eastAsia="Times New Roman" w:hAnsi="Times New Roman"/>
          <w:sz w:val="14"/>
          <w:szCs w:val="14"/>
          <w:u w:val="single" w:color="auto"/>
          <w:color w:val="0000FF"/>
        </w:rPr>
      </w:pPr>
    </w:p>
    <w:p>
      <w:pPr>
        <w:ind w:left="444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6" w:lineRule="exact"/>
        <w:rPr>
          <w:rFonts w:ascii="Times New Roman" w:cs="Times New Roman" w:eastAsia="Times New Roman" w:hAnsi="Times New Roman"/>
          <w:sz w:val="14"/>
          <w:szCs w:val="14"/>
          <w:u w:val="single" w:color="auto"/>
          <w:color w:val="0000FF"/>
        </w:rPr>
      </w:pPr>
    </w:p>
    <w:p>
      <w:pPr>
        <w:ind w:left="720"/>
        <w:spacing w:after="0"/>
        <w:tabs>
          <w:tab w:leader="none" w:pos="2300" w:val="left"/>
        </w:tabs>
        <w:rPr>
          <w:sz w:val="20"/>
          <w:szCs w:val="20"/>
          <w:color w:val="auto"/>
        </w:rPr>
      </w:pP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31" w:lineRule="exact"/>
        <w:rPr>
          <w:rFonts w:ascii="Times New Roman" w:cs="Times New Roman" w:eastAsia="Times New Roman" w:hAnsi="Times New Roman"/>
          <w:sz w:val="14"/>
          <w:szCs w:val="14"/>
          <w:u w:val="single" w:color="auto"/>
          <w:color w:val="0000FF"/>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10.3 to the Avadel</w:t>
      </w:r>
      <w:r>
        <w:rPr>
          <w:sz w:val="20"/>
          <w:szCs w:val="20"/>
          <w:color w:val="auto"/>
        </w:rPr>
        <w:tab/>
      </w:r>
      <w:r>
        <w:rPr>
          <w:rFonts w:ascii="Times New Roman" w:cs="Times New Roman" w:eastAsia="Times New Roman" w:hAnsi="Times New Roman"/>
          <w:sz w:val="14"/>
          <w:szCs w:val="14"/>
          <w:color w:val="auto"/>
        </w:rPr>
        <w:t>November 4, 2025</w:t>
      </w:r>
    </w:p>
    <w:p>
      <w:pPr>
        <w:spacing w:after="0" w:line="25"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Pharmaceuticals plc</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Quarterly Report on Form 10-</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Q (File No. 001-37977)</w:t>
      </w:r>
    </w:p>
    <w:p>
      <w:pPr>
        <w:spacing w:after="0" w:line="11" w:lineRule="exact"/>
        <w:rPr>
          <w:rFonts w:ascii="Times New Roman" w:cs="Times New Roman" w:eastAsia="Times New Roman" w:hAnsi="Times New Roman"/>
          <w:sz w:val="14"/>
          <w:szCs w:val="14"/>
          <w:u w:val="single" w:color="auto"/>
          <w:color w:val="0000FF"/>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10.1 to the Alkermes,</w:t>
        <w:tab/>
        <w:t>February 11, 2008</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Inc. Quarterly Report on</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Form 10-Q (File No. 001-</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14131)</w:t>
      </w:r>
    </w:p>
    <w:p>
      <w:pPr>
        <w:spacing w:after="0" w:line="29" w:lineRule="exact"/>
        <w:rPr>
          <w:rFonts w:ascii="Times New Roman" w:cs="Times New Roman" w:eastAsia="Times New Roman" w:hAnsi="Times New Roman"/>
          <w:sz w:val="14"/>
          <w:szCs w:val="14"/>
          <w:u w:val="single" w:color="auto"/>
          <w:color w:val="0000FF"/>
        </w:rPr>
      </w:pPr>
    </w:p>
    <w:p>
      <w:pPr>
        <w:ind w:right="839"/>
        <w:spacing w:after="0" w:line="272" w:lineRule="auto"/>
        <w:rPr>
          <w:sz w:val="20"/>
          <w:szCs w:val="20"/>
          <w:color w:val="auto"/>
        </w:rPr>
      </w:pPr>
      <w:r>
        <w:rPr>
          <w:rFonts w:ascii="Times New Roman" w:cs="Times New Roman" w:eastAsia="Times New Roman" w:hAnsi="Times New Roman"/>
          <w:sz w:val="14"/>
          <w:szCs w:val="14"/>
          <w:color w:val="auto"/>
        </w:rPr>
        <w:t>Exhibit 10.5 to the Alkermes, October 7, 2008 Inc. Current Report on Form 8-K (File No. 001-14131)</w:t>
      </w:r>
    </w:p>
    <w:p>
      <w:pPr>
        <w:ind w:right="939"/>
        <w:spacing w:after="0" w:line="272" w:lineRule="auto"/>
        <w:rPr>
          <w:sz w:val="20"/>
          <w:szCs w:val="20"/>
          <w:color w:val="auto"/>
        </w:rPr>
      </w:pPr>
      <w:r>
        <w:rPr>
          <w:rFonts w:ascii="Times New Roman" w:cs="Times New Roman" w:eastAsia="Times New Roman" w:hAnsi="Times New Roman"/>
          <w:sz w:val="14"/>
          <w:szCs w:val="14"/>
          <w:color w:val="auto"/>
        </w:rPr>
        <w:t>Exhibit 10.2 to the Alkermes, September 11, Inc. Current Report on Form 2009 8-K (File No. 001-14131)</w:t>
      </w: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10.3 to the Alkermes,</w:t>
        <w:tab/>
        <w:t>February 11, 2008</w:t>
      </w:r>
    </w:p>
    <w:p>
      <w:pPr>
        <w:spacing w:after="0" w:line="25"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Inc. Quarterly Report on</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Form 10-Q (File No. 001-</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14131)</w:t>
      </w:r>
    </w:p>
    <w:p>
      <w:pPr>
        <w:spacing w:after="0" w:line="29" w:lineRule="exact"/>
        <w:rPr>
          <w:rFonts w:ascii="Times New Roman" w:cs="Times New Roman" w:eastAsia="Times New Roman" w:hAnsi="Times New Roman"/>
          <w:sz w:val="14"/>
          <w:szCs w:val="14"/>
          <w:u w:val="single" w:color="auto"/>
          <w:color w:val="0000FF"/>
        </w:rPr>
      </w:pPr>
    </w:p>
    <w:p>
      <w:pPr>
        <w:ind w:right="839"/>
        <w:spacing w:after="0" w:line="272" w:lineRule="auto"/>
        <w:rPr>
          <w:sz w:val="20"/>
          <w:szCs w:val="20"/>
          <w:color w:val="auto"/>
        </w:rPr>
      </w:pPr>
      <w:r>
        <w:rPr>
          <w:rFonts w:ascii="Times New Roman" w:cs="Times New Roman" w:eastAsia="Times New Roman" w:hAnsi="Times New Roman"/>
          <w:sz w:val="14"/>
          <w:szCs w:val="14"/>
          <w:color w:val="auto"/>
        </w:rPr>
        <w:t>Exhibit 10.7 to the Alkermes, October 7, 2008 Inc. Current Report on Form 8-K (File No. 001-14131)</w:t>
      </w:r>
    </w:p>
    <w:p>
      <w:pPr>
        <w:ind w:right="699"/>
        <w:spacing w:after="0" w:line="272" w:lineRule="auto"/>
        <w:rPr>
          <w:sz w:val="20"/>
          <w:szCs w:val="20"/>
          <w:color w:val="auto"/>
        </w:rPr>
      </w:pPr>
      <w:r>
        <w:rPr>
          <w:rFonts w:ascii="Times New Roman" w:cs="Times New Roman" w:eastAsia="Times New Roman" w:hAnsi="Times New Roman"/>
          <w:sz w:val="14"/>
          <w:szCs w:val="14"/>
          <w:color w:val="auto"/>
        </w:rPr>
        <w:t>Exhibit 10.1 to the Alkermes November 2, 2016 plc Quarterly Report on Form 10-Q (File No. 011-35299)</w:t>
      </w: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10.17.1 to the</w:t>
      </w:r>
      <w:r>
        <w:rPr>
          <w:sz w:val="20"/>
          <w:szCs w:val="20"/>
          <w:color w:val="auto"/>
        </w:rPr>
        <w:tab/>
      </w:r>
      <w:r>
        <w:rPr>
          <w:rFonts w:ascii="Times New Roman" w:cs="Times New Roman" w:eastAsia="Times New Roman" w:hAnsi="Times New Roman"/>
          <w:sz w:val="14"/>
          <w:szCs w:val="14"/>
          <w:color w:val="auto"/>
        </w:rPr>
        <w:t>February 16, 2018</w:t>
      </w:r>
    </w:p>
    <w:p>
      <w:pPr>
        <w:spacing w:after="0" w:line="25"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Alkermes plc Annual Report</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on Form 10-K (File No. 011-</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35299)</w:t>
      </w:r>
    </w:p>
    <w:p>
      <w:pPr>
        <w:spacing w:after="0" w:line="29" w:lineRule="exact"/>
        <w:rPr>
          <w:rFonts w:ascii="Times New Roman" w:cs="Times New Roman" w:eastAsia="Times New Roman" w:hAnsi="Times New Roman"/>
          <w:sz w:val="14"/>
          <w:szCs w:val="14"/>
          <w:u w:val="single" w:color="auto"/>
          <w:color w:val="0000FF"/>
        </w:rPr>
      </w:pPr>
    </w:p>
    <w:p>
      <w:pPr>
        <w:ind w:right="999"/>
        <w:spacing w:after="0" w:line="272" w:lineRule="auto"/>
        <w:rPr>
          <w:sz w:val="20"/>
          <w:szCs w:val="20"/>
          <w:color w:val="auto"/>
        </w:rPr>
      </w:pPr>
      <w:r>
        <w:rPr>
          <w:rFonts w:ascii="Times New Roman" w:cs="Times New Roman" w:eastAsia="Times New Roman" w:hAnsi="Times New Roman"/>
          <w:sz w:val="14"/>
          <w:szCs w:val="14"/>
          <w:color w:val="auto"/>
        </w:rPr>
        <w:t>Exhibit 10.1 to the Alkermes July 29, 2020 plc Quarterly Report on Form 10-Q (File No. 011-35299)</w:t>
      </w:r>
    </w:p>
    <w:p>
      <w:pPr>
        <w:ind w:right="759"/>
        <w:spacing w:after="0" w:line="272" w:lineRule="auto"/>
        <w:rPr>
          <w:sz w:val="20"/>
          <w:szCs w:val="20"/>
          <w:color w:val="auto"/>
        </w:rPr>
      </w:pPr>
      <w:r>
        <w:rPr>
          <w:rFonts w:ascii="Times New Roman" w:cs="Times New Roman" w:eastAsia="Times New Roman" w:hAnsi="Times New Roman"/>
          <w:sz w:val="14"/>
          <w:szCs w:val="14"/>
          <w:color w:val="auto"/>
        </w:rPr>
        <w:t>Exhibit 10.3 to the Alkermes October 28, 2025 plc Quarterly Report on Form 10-Q (File No. 011-35299)</w:t>
      </w:r>
    </w:p>
    <w:p>
      <w:pPr>
        <w:ind w:right="919"/>
        <w:spacing w:after="0" w:line="272" w:lineRule="auto"/>
        <w:rPr>
          <w:sz w:val="20"/>
          <w:szCs w:val="20"/>
          <w:color w:val="auto"/>
        </w:rPr>
      </w:pPr>
      <w:r>
        <w:rPr>
          <w:rFonts w:ascii="Times New Roman" w:cs="Times New Roman" w:eastAsia="Times New Roman" w:hAnsi="Times New Roman"/>
          <w:sz w:val="14"/>
          <w:szCs w:val="14"/>
          <w:color w:val="auto"/>
        </w:rPr>
        <w:t>Exhibit 10.2 to the Alkermes April 29, 2020 plc Quarterly Report on Form 10-Q (File No. 001-35299)</w:t>
      </w:r>
    </w:p>
    <w:p>
      <w:pPr>
        <w:ind w:right="919"/>
        <w:spacing w:after="0" w:line="272" w:lineRule="auto"/>
        <w:rPr>
          <w:sz w:val="20"/>
          <w:szCs w:val="20"/>
          <w:color w:val="auto"/>
        </w:rPr>
      </w:pPr>
      <w:r>
        <w:rPr>
          <w:rFonts w:ascii="Times New Roman" w:cs="Times New Roman" w:eastAsia="Times New Roman" w:hAnsi="Times New Roman"/>
          <w:sz w:val="14"/>
          <w:szCs w:val="14"/>
          <w:color w:val="auto"/>
        </w:rPr>
        <w:t>Exhibit 10.1 to the Alkermes April 29, 2020 plc Quarterly Report on Form 10-Q (File No. 001-35299)</w:t>
      </w:r>
    </w:p>
    <w:p>
      <w:pPr>
        <w:ind w:right="919"/>
        <w:spacing w:after="0" w:line="271" w:lineRule="auto"/>
        <w:rPr>
          <w:sz w:val="20"/>
          <w:szCs w:val="20"/>
          <w:color w:val="auto"/>
        </w:rPr>
      </w:pPr>
      <w:r>
        <w:rPr>
          <w:rFonts w:ascii="Times New Roman" w:cs="Times New Roman" w:eastAsia="Times New Roman" w:hAnsi="Times New Roman"/>
          <w:sz w:val="14"/>
          <w:szCs w:val="14"/>
          <w:color w:val="auto"/>
        </w:rPr>
        <w:t>Exhibit 10.1 to the Alkermes April 27, 2017 plc Quarterly Report on Form 10-Q for the quarter ended March 31, 2017 (File No.</w:t>
      </w:r>
    </w:p>
    <w:p>
      <w:pPr>
        <w:spacing w:after="0" w:line="156"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001-35299)</w:t>
      </w:r>
    </w:p>
    <w:p>
      <w:pPr>
        <w:spacing w:after="0" w:line="29" w:lineRule="exact"/>
        <w:rPr>
          <w:rFonts w:ascii="Times New Roman" w:cs="Times New Roman" w:eastAsia="Times New Roman" w:hAnsi="Times New Roman"/>
          <w:sz w:val="14"/>
          <w:szCs w:val="14"/>
          <w:u w:val="single" w:color="auto"/>
          <w:color w:val="0000FF"/>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Exhibit 10.4 to the Alkermes</w:t>
        <w:tab/>
        <w:t>April 28, 2016</w:t>
      </w:r>
    </w:p>
    <w:p>
      <w:pPr>
        <w:spacing w:after="0" w:line="25"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plc Quarterly Report on Form</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10-Q for the quarter ended</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March 31, 2016 (File No.</w:t>
      </w:r>
    </w:p>
    <w:p>
      <w:pPr>
        <w:spacing w:after="0" w:line="1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001-35299)</w:t>
      </w:r>
    </w:p>
    <w:p>
      <w:pPr>
        <w:spacing w:after="0" w:line="29" w:lineRule="exact"/>
        <w:rPr>
          <w:rFonts w:ascii="Times New Roman" w:cs="Times New Roman" w:eastAsia="Times New Roman" w:hAnsi="Times New Roman"/>
          <w:sz w:val="14"/>
          <w:szCs w:val="14"/>
          <w:u w:val="single" w:color="auto"/>
          <w:color w:val="0000FF"/>
        </w:rPr>
      </w:pPr>
    </w:p>
    <w:p>
      <w:pPr>
        <w:ind w:right="919"/>
        <w:spacing w:after="0" w:line="271" w:lineRule="auto"/>
        <w:rPr>
          <w:sz w:val="20"/>
          <w:szCs w:val="20"/>
          <w:color w:val="auto"/>
        </w:rPr>
      </w:pPr>
      <w:r>
        <w:rPr>
          <w:rFonts w:ascii="Times New Roman" w:cs="Times New Roman" w:eastAsia="Times New Roman" w:hAnsi="Times New Roman"/>
          <w:sz w:val="14"/>
          <w:szCs w:val="14"/>
          <w:color w:val="auto"/>
        </w:rPr>
        <w:t>Exhibit 10.5 to the Alkermes April 28, 2016 plc Quarterly Report on Form 10-Q for the quarter ended March 31, 2016 (File No.</w:t>
      </w:r>
    </w:p>
    <w:p>
      <w:pPr>
        <w:spacing w:after="0" w:line="156"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001-35299)</w:t>
      </w:r>
    </w:p>
    <w:p>
      <w:pPr>
        <w:sectPr>
          <w:pgSz w:w="11900" w:h="16838" w:orient="portrait"/>
          <w:cols w:equalWidth="0" w:num="2">
            <w:col w:w="5220" w:space="160"/>
            <w:col w:w="3639"/>
          </w:cols>
          <w:pgMar w:left="1440" w:top="958" w:right="1440" w:bottom="1440" w:gutter="0" w:footer="0" w:header="0"/>
        </w:sectPr>
      </w:pPr>
    </w:p>
    <w:bookmarkStart w:id="82" w:name="page83"/>
    <w:bookmarkEnd w:id="82"/>
    <w:p>
      <w:pPr>
        <w:spacing w:after="0" w:line="183" w:lineRule="exact"/>
        <w:rPr>
          <w:sz w:val="20"/>
          <w:szCs w:val="20"/>
          <w:color w:val="auto"/>
        </w:rPr>
      </w:pPr>
    </w:p>
    <w:p>
      <w:pPr>
        <w:ind w:left="720"/>
        <w:spacing w:after="0"/>
        <w:tabs>
          <w:tab w:leader="none" w:pos="2800" w:val="left"/>
        </w:tabs>
        <w:rPr>
          <w:sz w:val="20"/>
          <w:szCs w:val="20"/>
          <w:color w:val="auto"/>
        </w:rPr>
      </w:pPr>
      <w:r>
        <w:rPr>
          <w:rFonts w:ascii="Times New Roman" w:cs="Times New Roman" w:eastAsia="Times New Roman" w:hAnsi="Times New Roman"/>
          <w:sz w:val="11"/>
          <w:szCs w:val="11"/>
          <w:b w:val="1"/>
          <w:bCs w:val="1"/>
          <w:color w:val="auto"/>
        </w:rPr>
        <w:t>Exhibit No.</w:t>
      </w:r>
      <w:r>
        <w:rPr>
          <w:sz w:val="20"/>
          <w:szCs w:val="20"/>
          <w:color w:val="auto"/>
        </w:rPr>
        <w:tab/>
      </w:r>
      <w:r>
        <w:rPr>
          <w:rFonts w:ascii="Times New Roman" w:cs="Times New Roman" w:eastAsia="Times New Roman" w:hAnsi="Times New Roman"/>
          <w:sz w:val="11"/>
          <w:szCs w:val="11"/>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6985</wp:posOffset>
            </wp:positionV>
            <wp:extent cx="291211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2912110" cy="6985"/>
                    </a:xfrm>
                    <a:prstGeom prst="rect">
                      <a:avLst/>
                    </a:prstGeom>
                    <a:noFill/>
                  </pic:spPr>
                </pic:pic>
              </a:graphicData>
            </a:graphic>
          </wp:anchor>
        </w:drawing>
      </w:r>
    </w:p>
    <w:p>
      <w:pPr>
        <w:spacing w:after="0" w:line="3" w:lineRule="exact"/>
        <w:rPr>
          <w:sz w:val="20"/>
          <w:szCs w:val="20"/>
          <w:color w:val="auto"/>
        </w:rPr>
      </w:pPr>
    </w:p>
    <w:p>
      <w:pPr>
        <w:ind w:left="1480" w:right="60" w:hanging="847"/>
        <w:spacing w:after="0" w:line="26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10.22C †</w:t>
      </w:r>
      <w:r>
        <w:rPr>
          <w:sz w:val="20"/>
          <w:szCs w:val="20"/>
          <w:color w:val="auto"/>
        </w:rPr>
        <w:tab/>
      </w:r>
      <w:hyperlink r:id="rId384">
        <w:r>
          <w:rPr>
            <w:rFonts w:ascii="Times New Roman" w:cs="Times New Roman" w:eastAsia="Times New Roman" w:hAnsi="Times New Roman"/>
            <w:sz w:val="14"/>
            <w:szCs w:val="14"/>
            <w:u w:val="single" w:color="auto"/>
            <w:color w:val="0000FF"/>
          </w:rPr>
          <w:t>Form of Restricted Stock Unit Award Certificate (Time Vesting</w:t>
        </w:r>
      </w:hyperlink>
      <w:r>
        <w:rPr>
          <w:rFonts w:ascii="Times New Roman" w:cs="Times New Roman" w:eastAsia="Times New Roman" w:hAnsi="Times New Roman"/>
          <w:sz w:val="14"/>
          <w:szCs w:val="14"/>
          <w:u w:val="single" w:color="auto"/>
          <w:color w:val="0000FF"/>
        </w:rPr>
        <w:t xml:space="preserve"> </w:t>
      </w:r>
      <w:hyperlink r:id="rId384">
        <w:r>
          <w:rPr>
            <w:rFonts w:ascii="Times New Roman" w:cs="Times New Roman" w:eastAsia="Times New Roman" w:hAnsi="Times New Roman"/>
            <w:sz w:val="14"/>
            <w:szCs w:val="14"/>
            <w:u w:val="single" w:color="auto"/>
            <w:color w:val="0000FF"/>
          </w:rPr>
          <w:t>Only – U.S.) under the Alkermes plc Amended and Restated</w:t>
        </w:r>
      </w:hyperlink>
      <w:r>
        <w:rPr>
          <w:rFonts w:ascii="Times New Roman" w:cs="Times New Roman" w:eastAsia="Times New Roman" w:hAnsi="Times New Roman"/>
          <w:sz w:val="14"/>
          <w:szCs w:val="14"/>
          <w:u w:val="single" w:color="auto"/>
          <w:color w:val="0000FF"/>
        </w:rPr>
        <w:t xml:space="preserve"> </w:t>
      </w:r>
      <w:hyperlink r:id="rId384">
        <w:r>
          <w:rPr>
            <w:rFonts w:ascii="Times New Roman" w:cs="Times New Roman" w:eastAsia="Times New Roman" w:hAnsi="Times New Roman"/>
            <w:sz w:val="14"/>
            <w:szCs w:val="14"/>
            <w:u w:val="single" w:color="auto"/>
            <w:color w:val="0000FF"/>
          </w:rPr>
          <w:t>2008 Stock Option and 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-246380</wp:posOffset>
            </wp:positionV>
            <wp:extent cx="235013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5">
                      <a:extLst>
                        <a:ext uri="{28A0092B-C50C-407E-A947-70E740481C1C}"/>
                      </a:extLst>
                    </a:blip>
                    <a:srcRect/>
                    <a:stretch>
                      <a:fillRect/>
                    </a:stretch>
                  </pic:blipFill>
                  <pic:spPr bwMode="auto">
                    <a:xfrm>
                      <a:off x="0" y="0"/>
                      <a:ext cx="235013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-137160</wp:posOffset>
            </wp:positionV>
            <wp:extent cx="222631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6">
                      <a:extLst>
                        <a:ext uri="{28A0092B-C50C-407E-A947-70E740481C1C}"/>
                      </a:extLst>
                    </a:blip>
                    <a:srcRect/>
                    <a:stretch>
                      <a:fillRect/>
                    </a:stretch>
                  </pic:blipFill>
                  <pic:spPr bwMode="auto">
                    <a:xfrm>
                      <a:off x="0" y="0"/>
                      <a:ext cx="222631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-27940</wp:posOffset>
            </wp:positionV>
            <wp:extent cx="188023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7">
                      <a:extLst>
                        <a:ext uri="{28A0092B-C50C-407E-A947-70E740481C1C}"/>
                      </a:extLst>
                    </a:blip>
                    <a:srcRect/>
                    <a:stretch>
                      <a:fillRect/>
                    </a:stretch>
                  </pic:blipFill>
                  <pic:spPr bwMode="auto">
                    <a:xfrm>
                      <a:off x="0" y="0"/>
                      <a:ext cx="1880235" cy="6985"/>
                    </a:xfrm>
                    <a:prstGeom prst="rect">
                      <a:avLst/>
                    </a:prstGeom>
                    <a:noFill/>
                  </pic:spPr>
                </pic:pic>
              </a:graphicData>
            </a:graphic>
          </wp:anchor>
        </w:drawing>
      </w:r>
    </w:p>
    <w:p>
      <w:pPr>
        <w:spacing w:after="0" w:line="328" w:lineRule="exact"/>
        <w:rPr>
          <w:rFonts w:ascii="Times New Roman" w:cs="Times New Roman" w:eastAsia="Times New Roman" w:hAnsi="Times New Roman"/>
          <w:sz w:val="14"/>
          <w:szCs w:val="14"/>
          <w:u w:val="single" w:color="auto"/>
          <w:color w:val="0000FF"/>
        </w:rPr>
      </w:pPr>
    </w:p>
    <w:p>
      <w:pPr>
        <w:ind w:left="1480" w:right="100" w:hanging="847"/>
        <w:spacing w:after="0" w:line="274"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10.22D †</w:t>
      </w:r>
      <w:r>
        <w:rPr>
          <w:sz w:val="20"/>
          <w:szCs w:val="20"/>
          <w:color w:val="auto"/>
        </w:rPr>
        <w:tab/>
      </w:r>
      <w:hyperlink r:id="rId388">
        <w:r>
          <w:rPr>
            <w:rFonts w:ascii="Times New Roman" w:cs="Times New Roman" w:eastAsia="Times New Roman" w:hAnsi="Times New Roman"/>
            <w:sz w:val="14"/>
            <w:szCs w:val="14"/>
            <w:u w:val="single" w:color="auto"/>
            <w:color w:val="0000FF"/>
          </w:rPr>
          <w:t>Form of Stock Option Award Certificate (Time Vesting Non-</w:t>
        </w:r>
      </w:hyperlink>
      <w:hyperlink r:id="rId388">
        <w:r>
          <w:rPr>
            <w:rFonts w:ascii="Times New Roman" w:cs="Times New Roman" w:eastAsia="Times New Roman" w:hAnsi="Times New Roman"/>
            <w:sz w:val="14"/>
            <w:szCs w:val="14"/>
            <w:u w:val="single" w:color="auto"/>
            <w:color w:val="0000FF"/>
          </w:rPr>
          <w:t>Qualified Option – Irish) under the Alkermes plc Amended and</w:t>
        </w:r>
      </w:hyperlink>
      <w:r>
        <w:rPr>
          <w:rFonts w:ascii="Times New Roman" w:cs="Times New Roman" w:eastAsia="Times New Roman" w:hAnsi="Times New Roman"/>
          <w:sz w:val="14"/>
          <w:szCs w:val="14"/>
          <w:u w:val="single" w:color="auto"/>
          <w:color w:val="0000FF"/>
        </w:rPr>
        <w:t xml:space="preserve"> </w:t>
      </w:r>
      <w:hyperlink r:id="rId388">
        <w:r>
          <w:rPr>
            <w:rFonts w:ascii="Times New Roman" w:cs="Times New Roman" w:eastAsia="Times New Roman" w:hAnsi="Times New Roman"/>
            <w:sz w:val="14"/>
            <w:szCs w:val="14"/>
            <w:u w:val="single" w:color="auto"/>
            <w:color w:val="0000FF"/>
          </w:rPr>
          <w:t>Restated 2008 Stock Option and 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-251460</wp:posOffset>
            </wp:positionV>
            <wp:extent cx="223647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9">
                      <a:extLst>
                        <a:ext uri="{28A0092B-C50C-407E-A947-70E740481C1C}"/>
                      </a:extLst>
                    </a:blip>
                    <a:srcRect/>
                    <a:stretch>
                      <a:fillRect/>
                    </a:stretch>
                  </pic:blipFill>
                  <pic:spPr bwMode="auto">
                    <a:xfrm>
                      <a:off x="0" y="0"/>
                      <a:ext cx="223647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-142240</wp:posOffset>
            </wp:positionV>
            <wp:extent cx="233235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0">
                      <a:extLst>
                        <a:ext uri="{28A0092B-C50C-407E-A947-70E740481C1C}"/>
                      </a:extLst>
                    </a:blip>
                    <a:srcRect/>
                    <a:stretch>
                      <a:fillRect/>
                    </a:stretch>
                  </pic:blipFill>
                  <pic:spPr bwMode="auto">
                    <a:xfrm>
                      <a:off x="0" y="0"/>
                      <a:ext cx="233235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-33020</wp:posOffset>
            </wp:positionV>
            <wp:extent cx="221615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1">
                      <a:extLst>
                        <a:ext uri="{28A0092B-C50C-407E-A947-70E740481C1C}"/>
                      </a:extLst>
                    </a:blip>
                    <a:srcRect/>
                    <a:stretch>
                      <a:fillRect/>
                    </a:stretch>
                  </pic:blipFill>
                  <pic:spPr bwMode="auto">
                    <a:xfrm>
                      <a:off x="0" y="0"/>
                      <a:ext cx="2216150" cy="6985"/>
                    </a:xfrm>
                    <a:prstGeom prst="rect">
                      <a:avLst/>
                    </a:prstGeom>
                    <a:noFill/>
                  </pic:spPr>
                </pic:pic>
              </a:graphicData>
            </a:graphic>
          </wp:anchor>
        </w:drawing>
      </w:r>
    </w:p>
    <w:p>
      <w:pPr>
        <w:spacing w:after="0" w:line="320" w:lineRule="exact"/>
        <w:rPr>
          <w:rFonts w:ascii="Times New Roman" w:cs="Times New Roman" w:eastAsia="Times New Roman" w:hAnsi="Times New Roman"/>
          <w:sz w:val="14"/>
          <w:szCs w:val="14"/>
          <w:u w:val="single" w:color="auto"/>
          <w:color w:val="0000FF"/>
        </w:rPr>
      </w:pPr>
    </w:p>
    <w:p>
      <w:pPr>
        <w:ind w:left="1480" w:right="100" w:hanging="847"/>
        <w:spacing w:after="0" w:line="274"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10.22E †</w:t>
      </w:r>
      <w:r>
        <w:rPr>
          <w:sz w:val="20"/>
          <w:szCs w:val="20"/>
          <w:color w:val="auto"/>
        </w:rPr>
        <w:tab/>
      </w:r>
      <w:hyperlink r:id="rId392">
        <w:r>
          <w:rPr>
            <w:rFonts w:ascii="Times New Roman" w:cs="Times New Roman" w:eastAsia="Times New Roman" w:hAnsi="Times New Roman"/>
            <w:sz w:val="14"/>
            <w:szCs w:val="14"/>
            <w:u w:val="single" w:color="auto"/>
            <w:color w:val="0000FF"/>
          </w:rPr>
          <w:t>Form Stock Option Award Certificate (Time Vesting Non-</w:t>
        </w:r>
      </w:hyperlink>
      <w:hyperlink r:id="rId392">
        <w:r>
          <w:rPr>
            <w:rFonts w:ascii="Times New Roman" w:cs="Times New Roman" w:eastAsia="Times New Roman" w:hAnsi="Times New Roman"/>
            <w:sz w:val="14"/>
            <w:szCs w:val="14"/>
            <w:u w:val="single" w:color="auto"/>
            <w:color w:val="0000FF"/>
          </w:rPr>
          <w:t>Qualified Option – U.S.) under the Alkermes plc Amended and</w:t>
        </w:r>
      </w:hyperlink>
      <w:r>
        <w:rPr>
          <w:rFonts w:ascii="Times New Roman" w:cs="Times New Roman" w:eastAsia="Times New Roman" w:hAnsi="Times New Roman"/>
          <w:sz w:val="14"/>
          <w:szCs w:val="14"/>
          <w:u w:val="single" w:color="auto"/>
          <w:color w:val="0000FF"/>
        </w:rPr>
        <w:t xml:space="preserve"> </w:t>
      </w:r>
      <w:hyperlink r:id="rId392">
        <w:r>
          <w:rPr>
            <w:rFonts w:ascii="Times New Roman" w:cs="Times New Roman" w:eastAsia="Times New Roman" w:hAnsi="Times New Roman"/>
            <w:sz w:val="14"/>
            <w:szCs w:val="14"/>
            <w:u w:val="single" w:color="auto"/>
            <w:color w:val="0000FF"/>
          </w:rPr>
          <w:t>Restated 2008 Stock Option and 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-251460</wp:posOffset>
            </wp:positionV>
            <wp:extent cx="213804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3">
                      <a:extLst>
                        <a:ext uri="{28A0092B-C50C-407E-A947-70E740481C1C}"/>
                      </a:extLst>
                    </a:blip>
                    <a:srcRect/>
                    <a:stretch>
                      <a:fillRect/>
                    </a:stretch>
                  </pic:blipFill>
                  <pic:spPr bwMode="auto">
                    <a:xfrm>
                      <a:off x="0" y="0"/>
                      <a:ext cx="213804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-142240</wp:posOffset>
            </wp:positionV>
            <wp:extent cx="232727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4">
                      <a:extLst>
                        <a:ext uri="{28A0092B-C50C-407E-A947-70E740481C1C}"/>
                      </a:extLst>
                    </a:blip>
                    <a:srcRect/>
                    <a:stretch>
                      <a:fillRect/>
                    </a:stretch>
                  </pic:blipFill>
                  <pic:spPr bwMode="auto">
                    <a:xfrm>
                      <a:off x="0" y="0"/>
                      <a:ext cx="232727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-33020</wp:posOffset>
            </wp:positionV>
            <wp:extent cx="221615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5">
                      <a:extLst>
                        <a:ext uri="{28A0092B-C50C-407E-A947-70E740481C1C}"/>
                      </a:extLst>
                    </a:blip>
                    <a:srcRect/>
                    <a:stretch>
                      <a:fillRect/>
                    </a:stretch>
                  </pic:blipFill>
                  <pic:spPr bwMode="auto">
                    <a:xfrm>
                      <a:off x="0" y="0"/>
                      <a:ext cx="2216150" cy="6985"/>
                    </a:xfrm>
                    <a:prstGeom prst="rect">
                      <a:avLst/>
                    </a:prstGeom>
                    <a:noFill/>
                  </pic:spPr>
                </pic:pic>
              </a:graphicData>
            </a:graphic>
          </wp:anchor>
        </w:drawing>
      </w:r>
    </w:p>
    <w:p>
      <w:pPr>
        <w:spacing w:after="0" w:line="320" w:lineRule="exact"/>
        <w:rPr>
          <w:rFonts w:ascii="Times New Roman" w:cs="Times New Roman" w:eastAsia="Times New Roman" w:hAnsi="Times New Roman"/>
          <w:sz w:val="14"/>
          <w:szCs w:val="14"/>
          <w:u w:val="single" w:color="auto"/>
          <w:color w:val="0000FF"/>
        </w:rPr>
      </w:pPr>
    </w:p>
    <w:p>
      <w:pPr>
        <w:ind w:left="640"/>
        <w:spacing w:after="0"/>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10.22F †</w:t>
      </w:r>
      <w:r>
        <w:rPr>
          <w:sz w:val="20"/>
          <w:szCs w:val="20"/>
          <w:color w:val="auto"/>
        </w:rPr>
        <w:tab/>
      </w:r>
      <w:hyperlink r:id="rId396">
        <w:r>
          <w:rPr>
            <w:rFonts w:ascii="Times New Roman" w:cs="Times New Roman" w:eastAsia="Times New Roman" w:hAnsi="Times New Roman"/>
            <w:sz w:val="14"/>
            <w:szCs w:val="14"/>
            <w:u w:val="single" w:color="auto"/>
            <w:color w:val="0000FF"/>
          </w:rPr>
          <w:t>Form of Stock Option Award Certificate (Incentive Stock Option</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-3810</wp:posOffset>
            </wp:positionV>
            <wp:extent cx="237299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7">
                      <a:extLst>
                        <a:ext uri="{28A0092B-C50C-407E-A947-70E740481C1C}"/>
                      </a:extLst>
                    </a:blip>
                    <a:srcRect/>
                    <a:stretch>
                      <a:fillRect/>
                    </a:stretch>
                  </pic:blipFill>
                  <pic:spPr bwMode="auto">
                    <a:xfrm>
                      <a:off x="0" y="0"/>
                      <a:ext cx="2372995" cy="6985"/>
                    </a:xfrm>
                    <a:prstGeom prst="rect">
                      <a:avLst/>
                    </a:prstGeom>
                    <a:noFill/>
                  </pic:spPr>
                </pic:pic>
              </a:graphicData>
            </a:graphic>
          </wp:anchor>
        </w:drawing>
      </w:r>
    </w:p>
    <w:p>
      <w:pPr>
        <w:spacing w:after="0" w:line="5" w:lineRule="exact"/>
        <w:rPr>
          <w:rFonts w:ascii="Times New Roman" w:cs="Times New Roman" w:eastAsia="Times New Roman" w:hAnsi="Times New Roman"/>
          <w:sz w:val="14"/>
          <w:szCs w:val="14"/>
          <w:u w:val="single" w:color="auto"/>
          <w:color w:val="0000FF"/>
        </w:rPr>
      </w:pPr>
    </w:p>
    <w:p>
      <w:pPr>
        <w:ind w:left="1480" w:right="260"/>
        <w:spacing w:after="0" w:line="272" w:lineRule="auto"/>
        <w:rPr>
          <w:rFonts w:ascii="Times New Roman" w:cs="Times New Roman" w:eastAsia="Times New Roman" w:hAnsi="Times New Roman"/>
          <w:sz w:val="14"/>
          <w:szCs w:val="14"/>
          <w:u w:val="single" w:color="auto"/>
          <w:color w:val="0000FF"/>
        </w:rPr>
      </w:pPr>
      <w:hyperlink r:id="rId396">
        <w:r>
          <w:rPr>
            <w:rFonts w:ascii="Times New Roman" w:cs="Times New Roman" w:eastAsia="Times New Roman" w:hAnsi="Times New Roman"/>
            <w:sz w:val="14"/>
            <w:szCs w:val="14"/>
            <w:u w:val="single" w:color="auto"/>
            <w:color w:val="0000FF"/>
          </w:rPr>
          <w:t>– U.S.) under the Alkermes plc Amended and Restated 2008</w:t>
        </w:r>
      </w:hyperlink>
      <w:r>
        <w:rPr>
          <w:rFonts w:ascii="Times New Roman" w:cs="Times New Roman" w:eastAsia="Times New Roman" w:hAnsi="Times New Roman"/>
          <w:sz w:val="14"/>
          <w:szCs w:val="14"/>
          <w:u w:val="single" w:color="auto"/>
          <w:color w:val="0000FF"/>
        </w:rPr>
        <w:t xml:space="preserve"> </w:t>
      </w:r>
      <w:hyperlink r:id="rId396">
        <w:r>
          <w:rPr>
            <w:rFonts w:ascii="Times New Roman" w:cs="Times New Roman" w:eastAsia="Times New Roman" w:hAnsi="Times New Roman"/>
            <w:sz w:val="14"/>
            <w:szCs w:val="14"/>
            <w:u w:val="single" w:color="auto"/>
            <w:color w:val="0000FF"/>
          </w:rPr>
          <w:t>Stock Option and 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-141605</wp:posOffset>
            </wp:positionV>
            <wp:extent cx="222631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8">
                      <a:extLst>
                        <a:ext uri="{28A0092B-C50C-407E-A947-70E740481C1C}"/>
                      </a:extLst>
                    </a:blip>
                    <a:srcRect/>
                    <a:stretch>
                      <a:fillRect/>
                    </a:stretch>
                  </pic:blipFill>
                  <pic:spPr bwMode="auto">
                    <a:xfrm>
                      <a:off x="0" y="0"/>
                      <a:ext cx="222631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-33020</wp:posOffset>
            </wp:positionV>
            <wp:extent cx="167576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9">
                      <a:extLst>
                        <a:ext uri="{28A0092B-C50C-407E-A947-70E740481C1C}"/>
                      </a:extLst>
                    </a:blip>
                    <a:srcRect/>
                    <a:stretch>
                      <a:fillRect/>
                    </a:stretch>
                  </pic:blipFill>
                  <pic:spPr bwMode="auto">
                    <a:xfrm>
                      <a:off x="0" y="0"/>
                      <a:ext cx="1675765" cy="6985"/>
                    </a:xfrm>
                    <a:prstGeom prst="rect">
                      <a:avLst/>
                    </a:prstGeom>
                    <a:noFill/>
                  </pic:spPr>
                </pic:pic>
              </a:graphicData>
            </a:graphic>
          </wp:anchor>
        </w:drawing>
      </w:r>
    </w:p>
    <w:p>
      <w:pPr>
        <w:spacing w:after="0" w:line="321" w:lineRule="exact"/>
        <w:rPr>
          <w:rFonts w:ascii="Times New Roman" w:cs="Times New Roman" w:eastAsia="Times New Roman" w:hAnsi="Times New Roman"/>
          <w:sz w:val="14"/>
          <w:szCs w:val="14"/>
          <w:u w:val="single" w:color="auto"/>
          <w:color w:val="0000FF"/>
        </w:rPr>
      </w:pPr>
    </w:p>
    <w:p>
      <w:pPr>
        <w:ind w:left="148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10.22G †</w:t>
      </w:r>
      <w:r>
        <w:rPr>
          <w:sz w:val="20"/>
          <w:szCs w:val="20"/>
          <w:color w:val="auto"/>
        </w:rPr>
        <w:tab/>
      </w:r>
      <w:hyperlink r:id="rId400">
        <w:r>
          <w:rPr>
            <w:rFonts w:ascii="Times New Roman" w:cs="Times New Roman" w:eastAsia="Times New Roman" w:hAnsi="Times New Roman"/>
            <w:sz w:val="14"/>
            <w:szCs w:val="14"/>
            <w:u w:val="single" w:color="auto"/>
            <w:color w:val="0000FF"/>
          </w:rPr>
          <w:t>Form of 2008 Restricted Stock Unit Award Certificate</w:t>
        </w:r>
      </w:hyperlink>
      <w:r>
        <w:rPr>
          <w:rFonts w:ascii="Times New Roman" w:cs="Times New Roman" w:eastAsia="Times New Roman" w:hAnsi="Times New Roman"/>
          <w:sz w:val="14"/>
          <w:szCs w:val="14"/>
          <w:u w:val="single" w:color="auto"/>
          <w:color w:val="0000FF"/>
        </w:rPr>
        <w:t xml:space="preserve"> </w:t>
      </w:r>
      <w:hyperlink r:id="rId400">
        <w:r>
          <w:rPr>
            <w:rFonts w:ascii="Times New Roman" w:cs="Times New Roman" w:eastAsia="Times New Roman" w:hAnsi="Times New Roman"/>
            <w:sz w:val="14"/>
            <w:szCs w:val="14"/>
            <w:u w:val="single" w:color="auto"/>
            <w:color w:val="0000FF"/>
          </w:rPr>
          <w:t>(Performance Vesting Only) under the Alkermes plc Amended</w:t>
        </w:r>
      </w:hyperlink>
      <w:r>
        <w:rPr>
          <w:rFonts w:ascii="Times New Roman" w:cs="Times New Roman" w:eastAsia="Times New Roman" w:hAnsi="Times New Roman"/>
          <w:sz w:val="14"/>
          <w:szCs w:val="14"/>
          <w:u w:val="single" w:color="auto"/>
          <w:color w:val="0000FF"/>
        </w:rPr>
        <w:t xml:space="preserve"> </w:t>
      </w:r>
      <w:hyperlink r:id="rId400">
        <w:r>
          <w:rPr>
            <w:rFonts w:ascii="Times New Roman" w:cs="Times New Roman" w:eastAsia="Times New Roman" w:hAnsi="Times New Roman"/>
            <w:sz w:val="14"/>
            <w:szCs w:val="14"/>
            <w:u w:val="single" w:color="auto"/>
            <w:color w:val="0000FF"/>
          </w:rPr>
          <w:t>and Restated 2008 Stock Option and 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00406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1">
                      <a:extLst>
                        <a:ext uri="{28A0092B-C50C-407E-A947-70E740481C1C}"/>
                      </a:extLst>
                    </a:blip>
                    <a:srcRect/>
                    <a:stretch>
                      <a:fillRect/>
                    </a:stretch>
                  </pic:blipFill>
                  <pic:spPr bwMode="auto">
                    <a:xfrm>
                      <a:off x="0" y="0"/>
                      <a:ext cx="200406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30695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2">
                      <a:extLst>
                        <a:ext uri="{28A0092B-C50C-407E-A947-70E740481C1C}"/>
                      </a:extLst>
                    </a:blip>
                    <a:srcRect/>
                    <a:stretch>
                      <a:fillRect/>
                    </a:stretch>
                  </pic:blipFill>
                  <pic:spPr bwMode="auto">
                    <a:xfrm>
                      <a:off x="0" y="0"/>
                      <a:ext cx="230695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236982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3">
                      <a:extLst>
                        <a:ext uri="{28A0092B-C50C-407E-A947-70E740481C1C}"/>
                      </a:extLst>
                    </a:blip>
                    <a:srcRect/>
                    <a:stretch>
                      <a:fillRect/>
                    </a:stretch>
                  </pic:blipFill>
                  <pic:spPr bwMode="auto">
                    <a:xfrm>
                      <a:off x="0" y="0"/>
                      <a:ext cx="2369820" cy="6985"/>
                    </a:xfrm>
                    <a:prstGeom prst="rect">
                      <a:avLst/>
                    </a:prstGeom>
                    <a:noFill/>
                  </pic:spPr>
                </pic:pic>
              </a:graphicData>
            </a:graphic>
          </wp:anchor>
        </w:drawing>
      </w:r>
    </w:p>
    <w:p>
      <w:pPr>
        <w:ind w:left="1480" w:right="560" w:hanging="847"/>
        <w:spacing w:after="0" w:line="29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10.23†</w:t>
      </w:r>
      <w:r>
        <w:rPr>
          <w:sz w:val="20"/>
          <w:szCs w:val="20"/>
          <w:color w:val="auto"/>
        </w:rPr>
        <w:tab/>
      </w:r>
      <w:hyperlink r:id="rId404">
        <w:r>
          <w:rPr>
            <w:rFonts w:ascii="Times New Roman" w:cs="Times New Roman" w:eastAsia="Times New Roman" w:hAnsi="Times New Roman"/>
            <w:sz w:val="14"/>
            <w:szCs w:val="14"/>
            <w:u w:val="single" w:color="auto"/>
            <w:color w:val="0000FF"/>
          </w:rPr>
          <w:t>Alkermes plc 2011 Stock Option and Incentive Plan, as</w:t>
        </w:r>
      </w:hyperlink>
      <w:r>
        <w:rPr>
          <w:rFonts w:ascii="Times New Roman" w:cs="Times New Roman" w:eastAsia="Times New Roman" w:hAnsi="Times New Roman"/>
          <w:sz w:val="14"/>
          <w:szCs w:val="14"/>
          <w:u w:val="single" w:color="auto"/>
          <w:color w:val="0000FF"/>
        </w:rPr>
        <w:t xml:space="preserve"> </w:t>
      </w:r>
      <w:hyperlink r:id="rId404">
        <w:r>
          <w:rPr>
            <w:rFonts w:ascii="Times New Roman" w:cs="Times New Roman" w:eastAsia="Times New Roman" w:hAnsi="Times New Roman"/>
            <w:sz w:val="14"/>
            <w:szCs w:val="14"/>
            <w:u w:val="single" w:color="auto"/>
            <w:color w:val="0000FF"/>
          </w:rPr>
          <w:t>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-149860</wp:posOffset>
            </wp:positionV>
            <wp:extent cx="203962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5">
                      <a:extLst>
                        <a:ext uri="{28A0092B-C50C-407E-A947-70E740481C1C}"/>
                      </a:extLst>
                    </a:blip>
                    <a:srcRect/>
                    <a:stretch>
                      <a:fillRect/>
                    </a:stretch>
                  </pic:blipFill>
                  <pic:spPr bwMode="auto">
                    <a:xfrm>
                      <a:off x="0" y="0"/>
                      <a:ext cx="203962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-41275</wp:posOffset>
            </wp:positionV>
            <wp:extent cx="35052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6">
                      <a:extLst>
                        <a:ext uri="{28A0092B-C50C-407E-A947-70E740481C1C}"/>
                      </a:extLst>
                    </a:blip>
                    <a:srcRect/>
                    <a:stretch>
                      <a:fillRect/>
                    </a:stretch>
                  </pic:blipFill>
                  <pic:spPr bwMode="auto">
                    <a:xfrm>
                      <a:off x="0" y="0"/>
                      <a:ext cx="350520" cy="6985"/>
                    </a:xfrm>
                    <a:prstGeom prst="rect">
                      <a:avLst/>
                    </a:prstGeom>
                    <a:noFill/>
                  </pic:spPr>
                </pic:pic>
              </a:graphicData>
            </a:graphic>
          </wp:anchor>
        </w:drawing>
      </w:r>
    </w:p>
    <w:p>
      <w:pPr>
        <w:spacing w:after="0" w:line="136" w:lineRule="exact"/>
        <w:rPr>
          <w:sz w:val="20"/>
          <w:szCs w:val="20"/>
          <w:color w:val="auto"/>
        </w:rPr>
      </w:pPr>
    </w:p>
    <w:p>
      <w:pPr>
        <w:ind w:left="1480" w:right="26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10.23A †</w:t>
      </w:r>
      <w:r>
        <w:rPr>
          <w:sz w:val="20"/>
          <w:szCs w:val="20"/>
          <w:color w:val="auto"/>
        </w:rPr>
        <w:tab/>
      </w:r>
      <w:hyperlink r:id="rId407">
        <w:r>
          <w:rPr>
            <w:rFonts w:ascii="Times New Roman" w:cs="Times New Roman" w:eastAsia="Times New Roman" w:hAnsi="Times New Roman"/>
            <w:sz w:val="14"/>
            <w:szCs w:val="14"/>
            <w:u w:val="single" w:color="auto"/>
            <w:color w:val="0000FF"/>
          </w:rPr>
          <w:t>Form of Incentive Stock Option Award Certificate under the</w:t>
        </w:r>
      </w:hyperlink>
      <w:r>
        <w:rPr>
          <w:rFonts w:ascii="Times New Roman" w:cs="Times New Roman" w:eastAsia="Times New Roman" w:hAnsi="Times New Roman"/>
          <w:sz w:val="14"/>
          <w:szCs w:val="14"/>
          <w:u w:val="single" w:color="auto"/>
          <w:color w:val="0000FF"/>
        </w:rPr>
        <w:t xml:space="preserve"> </w:t>
      </w:r>
      <w:hyperlink r:id="rId407">
        <w:r>
          <w:rPr>
            <w:rFonts w:ascii="Times New Roman" w:cs="Times New Roman" w:eastAsia="Times New Roman" w:hAnsi="Times New Roman"/>
            <w:sz w:val="14"/>
            <w:szCs w:val="14"/>
            <w:u w:val="single" w:color="auto"/>
            <w:color w:val="0000FF"/>
          </w:rPr>
          <w:t>Alkermes plc 2011 Stock Option and Incentive Plan, as</w:t>
        </w:r>
      </w:hyperlink>
      <w:r>
        <w:rPr>
          <w:rFonts w:ascii="Times New Roman" w:cs="Times New Roman" w:eastAsia="Times New Roman" w:hAnsi="Times New Roman"/>
          <w:sz w:val="14"/>
          <w:szCs w:val="14"/>
          <w:u w:val="single" w:color="auto"/>
          <w:color w:val="0000FF"/>
        </w:rPr>
        <w:t xml:space="preserve"> </w:t>
      </w:r>
      <w:hyperlink r:id="rId407">
        <w:r>
          <w:rPr>
            <w:rFonts w:ascii="Times New Roman" w:cs="Times New Roman" w:eastAsia="Times New Roman" w:hAnsi="Times New Roman"/>
            <w:sz w:val="14"/>
            <w:szCs w:val="14"/>
            <w:u w:val="single" w:color="auto"/>
            <w:color w:val="0000FF"/>
          </w:rPr>
          <w:t>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22377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8">
                      <a:extLst>
                        <a:ext uri="{28A0092B-C50C-407E-A947-70E740481C1C}"/>
                      </a:extLst>
                    </a:blip>
                    <a:srcRect/>
                    <a:stretch>
                      <a:fillRect/>
                    </a:stretch>
                  </pic:blipFill>
                  <pic:spPr bwMode="auto">
                    <a:xfrm>
                      <a:off x="0" y="0"/>
                      <a:ext cx="222377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03962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9">
                      <a:extLst>
                        <a:ext uri="{28A0092B-C50C-407E-A947-70E740481C1C}"/>
                      </a:extLst>
                    </a:blip>
                    <a:srcRect/>
                    <a:stretch>
                      <a:fillRect/>
                    </a:stretch>
                  </pic:blipFill>
                  <pic:spPr bwMode="auto">
                    <a:xfrm>
                      <a:off x="0" y="0"/>
                      <a:ext cx="203962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35052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0">
                      <a:extLst>
                        <a:ext uri="{28A0092B-C50C-407E-A947-70E740481C1C}"/>
                      </a:extLst>
                    </a:blip>
                    <a:srcRect/>
                    <a:stretch>
                      <a:fillRect/>
                    </a:stretch>
                  </pic:blipFill>
                  <pic:spPr bwMode="auto">
                    <a:xfrm>
                      <a:off x="0" y="0"/>
                      <a:ext cx="350520" cy="6985"/>
                    </a:xfrm>
                    <a:prstGeom prst="rect">
                      <a:avLst/>
                    </a:prstGeom>
                    <a:noFill/>
                  </pic:spPr>
                </pic:pic>
              </a:graphicData>
            </a:graphic>
          </wp:anchor>
        </w:drawing>
      </w:r>
    </w:p>
    <w:p>
      <w:pPr>
        <w:jc w:val="both"/>
        <w:ind w:left="1480" w:right="40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10.23B †</w:t>
      </w:r>
      <w:r>
        <w:rPr>
          <w:sz w:val="20"/>
          <w:szCs w:val="20"/>
          <w:color w:val="auto"/>
        </w:rPr>
        <w:tab/>
      </w:r>
      <w:hyperlink r:id="rId411">
        <w:r>
          <w:rPr>
            <w:rFonts w:ascii="Times New Roman" w:cs="Times New Roman" w:eastAsia="Times New Roman" w:hAnsi="Times New Roman"/>
            <w:sz w:val="14"/>
            <w:szCs w:val="14"/>
            <w:u w:val="single" w:color="auto"/>
            <w:color w:val="0000FF"/>
          </w:rPr>
          <w:t>Form of Non-Qualified Stock Option (Employee) Award</w:t>
        </w:r>
      </w:hyperlink>
      <w:r>
        <w:rPr>
          <w:rFonts w:ascii="Times New Roman" w:cs="Times New Roman" w:eastAsia="Times New Roman" w:hAnsi="Times New Roman"/>
          <w:sz w:val="14"/>
          <w:szCs w:val="14"/>
          <w:u w:val="single" w:color="auto"/>
          <w:color w:val="0000FF"/>
        </w:rPr>
        <w:t xml:space="preserve"> </w:t>
      </w:r>
      <w:hyperlink r:id="rId411">
        <w:r>
          <w:rPr>
            <w:rFonts w:ascii="Times New Roman" w:cs="Times New Roman" w:eastAsia="Times New Roman" w:hAnsi="Times New Roman"/>
            <w:sz w:val="14"/>
            <w:szCs w:val="14"/>
            <w:u w:val="single" w:color="auto"/>
            <w:color w:val="0000FF"/>
          </w:rPr>
          <w:t>Certificate under the Alkermes plc 2011 Stock Option and</w:t>
        </w:r>
      </w:hyperlink>
      <w:r>
        <w:rPr>
          <w:rFonts w:ascii="Times New Roman" w:cs="Times New Roman" w:eastAsia="Times New Roman" w:hAnsi="Times New Roman"/>
          <w:sz w:val="14"/>
          <w:szCs w:val="14"/>
          <w:u w:val="single" w:color="auto"/>
          <w:color w:val="0000FF"/>
        </w:rPr>
        <w:t xml:space="preserve"> </w:t>
      </w:r>
      <w:hyperlink r:id="rId411">
        <w:r>
          <w:rPr>
            <w:rFonts w:ascii="Times New Roman" w:cs="Times New Roman" w:eastAsia="Times New Roman" w:hAnsi="Times New Roman"/>
            <w:sz w:val="14"/>
            <w:szCs w:val="14"/>
            <w:u w:val="single" w:color="auto"/>
            <w:color w:val="0000FF"/>
          </w:rPr>
          <w:t>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09740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2">
                      <a:extLst>
                        <a:ext uri="{28A0092B-C50C-407E-A947-70E740481C1C}"/>
                      </a:extLst>
                    </a:blip>
                    <a:srcRect/>
                    <a:stretch>
                      <a:fillRect/>
                    </a:stretch>
                  </pic:blipFill>
                  <pic:spPr bwMode="auto">
                    <a:xfrm>
                      <a:off x="0" y="0"/>
                      <a:ext cx="209740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14312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3">
                      <a:extLst>
                        <a:ext uri="{28A0092B-C50C-407E-A947-70E740481C1C}"/>
                      </a:extLst>
                    </a:blip>
                    <a:srcRect/>
                    <a:stretch>
                      <a:fillRect/>
                    </a:stretch>
                  </pic:blipFill>
                  <pic:spPr bwMode="auto">
                    <a:xfrm>
                      <a:off x="0" y="0"/>
                      <a:ext cx="214312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101727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4">
                      <a:extLst>
                        <a:ext uri="{28A0092B-C50C-407E-A947-70E740481C1C}"/>
                      </a:extLst>
                    </a:blip>
                    <a:srcRect/>
                    <a:stretch>
                      <a:fillRect/>
                    </a:stretch>
                  </pic:blipFill>
                  <pic:spPr bwMode="auto">
                    <a:xfrm>
                      <a:off x="0" y="0"/>
                      <a:ext cx="1017270" cy="6985"/>
                    </a:xfrm>
                    <a:prstGeom prst="rect">
                      <a:avLst/>
                    </a:prstGeom>
                    <a:noFill/>
                  </pic:spPr>
                </pic:pic>
              </a:graphicData>
            </a:graphic>
          </wp:anchor>
        </w:drawing>
      </w:r>
    </w:p>
    <w:p>
      <w:pPr>
        <w:ind w:left="148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10.23C †</w:t>
      </w:r>
      <w:r>
        <w:rPr>
          <w:sz w:val="20"/>
          <w:szCs w:val="20"/>
          <w:color w:val="auto"/>
        </w:rPr>
        <w:tab/>
      </w:r>
      <w:hyperlink r:id="rId415">
        <w:r>
          <w:rPr>
            <w:rFonts w:ascii="Times New Roman" w:cs="Times New Roman" w:eastAsia="Times New Roman" w:hAnsi="Times New Roman"/>
            <w:sz w:val="14"/>
            <w:szCs w:val="14"/>
            <w:u w:val="single" w:color="auto"/>
            <w:color w:val="0000FF"/>
          </w:rPr>
          <w:t>Form of Restricted Stock Unit (Time-Vesting) Award Certificate</w:t>
        </w:r>
      </w:hyperlink>
      <w:r>
        <w:rPr>
          <w:rFonts w:ascii="Times New Roman" w:cs="Times New Roman" w:eastAsia="Times New Roman" w:hAnsi="Times New Roman"/>
          <w:sz w:val="14"/>
          <w:szCs w:val="14"/>
          <w:u w:val="single" w:color="auto"/>
          <w:color w:val="0000FF"/>
        </w:rPr>
        <w:t xml:space="preserve"> </w:t>
      </w:r>
      <w:hyperlink r:id="rId415">
        <w:r>
          <w:rPr>
            <w:rFonts w:ascii="Times New Roman" w:cs="Times New Roman" w:eastAsia="Times New Roman" w:hAnsi="Times New Roman"/>
            <w:sz w:val="14"/>
            <w:szCs w:val="14"/>
            <w:u w:val="single" w:color="auto"/>
            <w:color w:val="0000FF"/>
          </w:rPr>
          <w:t>under the Alkermes plc 2011 Stock Option and Incentive Plan,</w:t>
        </w:r>
      </w:hyperlink>
      <w:r>
        <w:rPr>
          <w:rFonts w:ascii="Times New Roman" w:cs="Times New Roman" w:eastAsia="Times New Roman" w:hAnsi="Times New Roman"/>
          <w:sz w:val="14"/>
          <w:szCs w:val="14"/>
          <w:u w:val="single" w:color="auto"/>
          <w:color w:val="0000FF"/>
        </w:rPr>
        <w:t xml:space="preserve"> </w:t>
      </w:r>
      <w:hyperlink r:id="rId415">
        <w:r>
          <w:rPr>
            <w:rFonts w:ascii="Times New Roman" w:cs="Times New Roman" w:eastAsia="Times New Roman" w:hAnsi="Times New Roman"/>
            <w:sz w:val="14"/>
            <w:szCs w:val="14"/>
            <w:u w:val="single" w:color="auto"/>
            <w:color w:val="0000FF"/>
          </w:rPr>
          <w:t>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37299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6">
                      <a:extLst>
                        <a:ext uri="{28A0092B-C50C-407E-A947-70E740481C1C}"/>
                      </a:extLst>
                    </a:blip>
                    <a:srcRect/>
                    <a:stretch>
                      <a:fillRect/>
                    </a:stretch>
                  </pic:blipFill>
                  <pic:spPr bwMode="auto">
                    <a:xfrm>
                      <a:off x="0" y="0"/>
                      <a:ext cx="237299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30441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7">
                      <a:extLst>
                        <a:ext uri="{28A0092B-C50C-407E-A947-70E740481C1C}"/>
                      </a:extLst>
                    </a:blip>
                    <a:srcRect/>
                    <a:stretch>
                      <a:fillRect/>
                    </a:stretch>
                  </pic:blipFill>
                  <pic:spPr bwMode="auto">
                    <a:xfrm>
                      <a:off x="0" y="0"/>
                      <a:ext cx="230441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44894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8">
                      <a:extLst>
                        <a:ext uri="{28A0092B-C50C-407E-A947-70E740481C1C}"/>
                      </a:extLst>
                    </a:blip>
                    <a:srcRect/>
                    <a:stretch>
                      <a:fillRect/>
                    </a:stretch>
                  </pic:blipFill>
                  <pic:spPr bwMode="auto">
                    <a:xfrm>
                      <a:off x="0" y="0"/>
                      <a:ext cx="448945" cy="6985"/>
                    </a:xfrm>
                    <a:prstGeom prst="rect">
                      <a:avLst/>
                    </a:prstGeom>
                    <a:noFill/>
                  </pic:spPr>
                </pic:pic>
              </a:graphicData>
            </a:graphic>
          </wp:anchor>
        </w:drawing>
      </w:r>
    </w:p>
    <w:p>
      <w:pPr>
        <w:ind w:left="1480" w:right="22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10.23D †</w:t>
      </w:r>
      <w:r>
        <w:rPr>
          <w:sz w:val="20"/>
          <w:szCs w:val="20"/>
          <w:color w:val="auto"/>
        </w:rPr>
        <w:tab/>
      </w:r>
      <w:hyperlink r:id="rId419">
        <w:r>
          <w:rPr>
            <w:rFonts w:ascii="Times New Roman" w:cs="Times New Roman" w:eastAsia="Times New Roman" w:hAnsi="Times New Roman"/>
            <w:sz w:val="14"/>
            <w:szCs w:val="14"/>
            <w:u w:val="single" w:color="auto"/>
            <w:color w:val="0000FF"/>
          </w:rPr>
          <w:t>Form of Restricted Stock Unit (Performance-Vesting) Award</w:t>
        </w:r>
      </w:hyperlink>
      <w:r>
        <w:rPr>
          <w:rFonts w:ascii="Times New Roman" w:cs="Times New Roman" w:eastAsia="Times New Roman" w:hAnsi="Times New Roman"/>
          <w:sz w:val="14"/>
          <w:szCs w:val="14"/>
          <w:u w:val="single" w:color="auto"/>
          <w:color w:val="0000FF"/>
        </w:rPr>
        <w:t xml:space="preserve"> </w:t>
      </w:r>
      <w:hyperlink r:id="rId419">
        <w:r>
          <w:rPr>
            <w:rFonts w:ascii="Times New Roman" w:cs="Times New Roman" w:eastAsia="Times New Roman" w:hAnsi="Times New Roman"/>
            <w:sz w:val="14"/>
            <w:szCs w:val="14"/>
            <w:u w:val="single" w:color="auto"/>
            <w:color w:val="0000FF"/>
          </w:rPr>
          <w:t>Certificate under the Alkermes plc 2011 Stock Option and</w:t>
        </w:r>
      </w:hyperlink>
      <w:r>
        <w:rPr>
          <w:rFonts w:ascii="Times New Roman" w:cs="Times New Roman" w:eastAsia="Times New Roman" w:hAnsi="Times New Roman"/>
          <w:sz w:val="14"/>
          <w:szCs w:val="14"/>
          <w:u w:val="single" w:color="auto"/>
          <w:color w:val="0000FF"/>
        </w:rPr>
        <w:t xml:space="preserve"> </w:t>
      </w:r>
      <w:hyperlink r:id="rId419">
        <w:r>
          <w:rPr>
            <w:rFonts w:ascii="Times New Roman" w:cs="Times New Roman" w:eastAsia="Times New Roman" w:hAnsi="Times New Roman"/>
            <w:sz w:val="14"/>
            <w:szCs w:val="14"/>
            <w:u w:val="single" w:color="auto"/>
            <w:color w:val="0000FF"/>
          </w:rPr>
          <w:t>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25361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0">
                      <a:extLst>
                        <a:ext uri="{28A0092B-C50C-407E-A947-70E740481C1C}"/>
                      </a:extLst>
                    </a:blip>
                    <a:srcRect/>
                    <a:stretch>
                      <a:fillRect/>
                    </a:stretch>
                  </pic:blipFill>
                  <pic:spPr bwMode="auto">
                    <a:xfrm>
                      <a:off x="0" y="0"/>
                      <a:ext cx="225361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14312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1">
                      <a:extLst>
                        <a:ext uri="{28A0092B-C50C-407E-A947-70E740481C1C}"/>
                      </a:extLst>
                    </a:blip>
                    <a:srcRect/>
                    <a:stretch>
                      <a:fillRect/>
                    </a:stretch>
                  </pic:blipFill>
                  <pic:spPr bwMode="auto">
                    <a:xfrm>
                      <a:off x="0" y="0"/>
                      <a:ext cx="214312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101727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2">
                      <a:extLst>
                        <a:ext uri="{28A0092B-C50C-407E-A947-70E740481C1C}"/>
                      </a:extLst>
                    </a:blip>
                    <a:srcRect/>
                    <a:stretch>
                      <a:fillRect/>
                    </a:stretch>
                  </pic:blipFill>
                  <pic:spPr bwMode="auto">
                    <a:xfrm>
                      <a:off x="0" y="0"/>
                      <a:ext cx="1017270" cy="6985"/>
                    </a:xfrm>
                    <a:prstGeom prst="rect">
                      <a:avLst/>
                    </a:prstGeom>
                    <a:noFill/>
                  </pic:spPr>
                </pic:pic>
              </a:graphicData>
            </a:graphic>
          </wp:anchor>
        </w:drawing>
      </w:r>
    </w:p>
    <w:p>
      <w:pPr>
        <w:ind w:left="1480" w:right="8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10.23E †</w:t>
      </w:r>
      <w:r>
        <w:rPr>
          <w:sz w:val="20"/>
          <w:szCs w:val="20"/>
          <w:color w:val="auto"/>
        </w:rPr>
        <w:tab/>
      </w:r>
      <w:hyperlink r:id="rId423">
        <w:r>
          <w:rPr>
            <w:rFonts w:ascii="Times New Roman" w:cs="Times New Roman" w:eastAsia="Times New Roman" w:hAnsi="Times New Roman"/>
            <w:sz w:val="14"/>
            <w:szCs w:val="14"/>
            <w:u w:val="single" w:color="auto"/>
            <w:color w:val="0000FF"/>
          </w:rPr>
          <w:t>Form of Non-Qualified Stock Option (Non-Employee Director)</w:t>
        </w:r>
      </w:hyperlink>
      <w:r>
        <w:rPr>
          <w:rFonts w:ascii="Times New Roman" w:cs="Times New Roman" w:eastAsia="Times New Roman" w:hAnsi="Times New Roman"/>
          <w:sz w:val="14"/>
          <w:szCs w:val="14"/>
          <w:u w:val="single" w:color="auto"/>
          <w:color w:val="0000FF"/>
        </w:rPr>
        <w:t xml:space="preserve"> </w:t>
      </w:r>
      <w:hyperlink r:id="rId423">
        <w:r>
          <w:rPr>
            <w:rFonts w:ascii="Times New Roman" w:cs="Times New Roman" w:eastAsia="Times New Roman" w:hAnsi="Times New Roman"/>
            <w:sz w:val="14"/>
            <w:szCs w:val="14"/>
            <w:u w:val="single" w:color="auto"/>
            <w:color w:val="0000FF"/>
          </w:rPr>
          <w:t>Award Certificate under the Alkermes plc 2011 Stock Option</w:t>
        </w:r>
      </w:hyperlink>
      <w:r>
        <w:rPr>
          <w:rFonts w:ascii="Times New Roman" w:cs="Times New Roman" w:eastAsia="Times New Roman" w:hAnsi="Times New Roman"/>
          <w:sz w:val="14"/>
          <w:szCs w:val="14"/>
          <w:u w:val="single" w:color="auto"/>
          <w:color w:val="0000FF"/>
        </w:rPr>
        <w:t xml:space="preserve"> </w:t>
      </w:r>
      <w:hyperlink r:id="rId423">
        <w:r>
          <w:rPr>
            <w:rFonts w:ascii="Times New Roman" w:cs="Times New Roman" w:eastAsia="Times New Roman" w:hAnsi="Times New Roman"/>
            <w:sz w:val="14"/>
            <w:szCs w:val="14"/>
            <w:u w:val="single" w:color="auto"/>
            <w:color w:val="0000FF"/>
          </w:rPr>
          <w:t>and 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33997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4">
                      <a:extLst>
                        <a:ext uri="{28A0092B-C50C-407E-A947-70E740481C1C}"/>
                      </a:extLst>
                    </a:blip>
                    <a:srcRect/>
                    <a:stretch>
                      <a:fillRect/>
                    </a:stretch>
                  </pic:blipFill>
                  <pic:spPr bwMode="auto">
                    <a:xfrm>
                      <a:off x="0" y="0"/>
                      <a:ext cx="233997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25869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5">
                      <a:extLst>
                        <a:ext uri="{28A0092B-C50C-407E-A947-70E740481C1C}"/>
                      </a:extLst>
                    </a:blip>
                    <a:srcRect/>
                    <a:stretch>
                      <a:fillRect/>
                    </a:stretch>
                  </pic:blipFill>
                  <pic:spPr bwMode="auto">
                    <a:xfrm>
                      <a:off x="0" y="0"/>
                      <a:ext cx="225869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117094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6">
                      <a:extLst>
                        <a:ext uri="{28A0092B-C50C-407E-A947-70E740481C1C}"/>
                      </a:extLst>
                    </a:blip>
                    <a:srcRect/>
                    <a:stretch>
                      <a:fillRect/>
                    </a:stretch>
                  </pic:blipFill>
                  <pic:spPr bwMode="auto">
                    <a:xfrm>
                      <a:off x="0" y="0"/>
                      <a:ext cx="1170940" cy="6985"/>
                    </a:xfrm>
                    <a:prstGeom prst="rect">
                      <a:avLst/>
                    </a:prstGeom>
                    <a:noFill/>
                  </pic:spPr>
                </pic:pic>
              </a:graphicData>
            </a:graphic>
          </wp:anchor>
        </w:drawing>
      </w:r>
    </w:p>
    <w:p>
      <w:pPr>
        <w:ind w:left="1480" w:right="560" w:hanging="847"/>
        <w:spacing w:after="0" w:line="266" w:lineRule="auto"/>
        <w:tabs>
          <w:tab w:leader="none" w:pos="1460" w:val="left"/>
        </w:tabs>
        <w:rPr>
          <w:sz w:val="20"/>
          <w:szCs w:val="20"/>
          <w:color w:val="auto"/>
        </w:rPr>
      </w:pPr>
      <w:r>
        <w:rPr>
          <w:rFonts w:ascii="Times New Roman" w:cs="Times New Roman" w:eastAsia="Times New Roman" w:hAnsi="Times New Roman"/>
          <w:sz w:val="14"/>
          <w:szCs w:val="14"/>
          <w:color w:val="auto"/>
        </w:rPr>
        <w:t>10.24 # †</w:t>
      </w:r>
      <w:r>
        <w:rPr>
          <w:sz w:val="20"/>
          <w:szCs w:val="20"/>
          <w:color w:val="auto"/>
        </w:rPr>
        <w:tab/>
      </w:r>
      <w:r>
        <w:rPr>
          <w:rFonts w:ascii="Times New Roman" w:cs="Times New Roman" w:eastAsia="Times New Roman" w:hAnsi="Times New Roman"/>
          <w:sz w:val="14"/>
          <w:szCs w:val="14"/>
          <w:u w:val="single" w:color="auto"/>
          <w:color w:val="0000FF"/>
        </w:rPr>
        <w:t>Alkermes plc 2018 Stock Option and Incentive Plan, as amended.</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-128270</wp:posOffset>
            </wp:positionV>
            <wp:extent cx="203962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7">
                      <a:extLst>
                        <a:ext uri="{28A0092B-C50C-407E-A947-70E740481C1C}"/>
                      </a:extLst>
                    </a:blip>
                    <a:srcRect/>
                    <a:stretch>
                      <a:fillRect/>
                    </a:stretch>
                  </pic:blipFill>
                  <pic:spPr bwMode="auto">
                    <a:xfrm>
                      <a:off x="0" y="0"/>
                      <a:ext cx="203962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-19050</wp:posOffset>
            </wp:positionV>
            <wp:extent cx="35052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8">
                      <a:extLst>
                        <a:ext uri="{28A0092B-C50C-407E-A947-70E740481C1C}"/>
                      </a:extLst>
                    </a:blip>
                    <a:srcRect/>
                    <a:stretch>
                      <a:fillRect/>
                    </a:stretch>
                  </pic:blipFill>
                  <pic:spPr bwMode="auto">
                    <a:xfrm>
                      <a:off x="0" y="0"/>
                      <a:ext cx="350520" cy="6985"/>
                    </a:xfrm>
                    <a:prstGeom prst="rect">
                      <a:avLst/>
                    </a:prstGeom>
                    <a:noFill/>
                  </pic:spPr>
                </pic:pic>
              </a:graphicData>
            </a:graphic>
          </wp:anchor>
        </w:drawing>
      </w:r>
    </w:p>
    <w:p>
      <w:pPr>
        <w:ind w:left="1480" w:right="260" w:hanging="847"/>
        <w:spacing w:after="0" w:line="270"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10.24A †</w:t>
      </w:r>
      <w:r>
        <w:rPr>
          <w:sz w:val="20"/>
          <w:szCs w:val="20"/>
          <w:color w:val="auto"/>
        </w:rPr>
        <w:tab/>
      </w:r>
      <w:hyperlink r:id="rId429">
        <w:r>
          <w:rPr>
            <w:rFonts w:ascii="Times New Roman" w:cs="Times New Roman" w:eastAsia="Times New Roman" w:hAnsi="Times New Roman"/>
            <w:sz w:val="14"/>
            <w:szCs w:val="14"/>
            <w:u w:val="single" w:color="auto"/>
            <w:color w:val="0000FF"/>
          </w:rPr>
          <w:t>Form of Incentive Stock Option Award Certificate under the</w:t>
        </w:r>
      </w:hyperlink>
      <w:r>
        <w:rPr>
          <w:rFonts w:ascii="Times New Roman" w:cs="Times New Roman" w:eastAsia="Times New Roman" w:hAnsi="Times New Roman"/>
          <w:sz w:val="14"/>
          <w:szCs w:val="14"/>
          <w:u w:val="single" w:color="auto"/>
          <w:color w:val="0000FF"/>
        </w:rPr>
        <w:t xml:space="preserve"> </w:t>
      </w:r>
      <w:hyperlink r:id="rId429">
        <w:r>
          <w:rPr>
            <w:rFonts w:ascii="Times New Roman" w:cs="Times New Roman" w:eastAsia="Times New Roman" w:hAnsi="Times New Roman"/>
            <w:sz w:val="14"/>
            <w:szCs w:val="14"/>
            <w:u w:val="single" w:color="auto"/>
            <w:color w:val="0000FF"/>
          </w:rPr>
          <w:t>Alkermes plc 2018 Stock Option and Incentive Plan, as</w:t>
        </w:r>
      </w:hyperlink>
      <w:r>
        <w:rPr>
          <w:rFonts w:ascii="Times New Roman" w:cs="Times New Roman" w:eastAsia="Times New Roman" w:hAnsi="Times New Roman"/>
          <w:sz w:val="14"/>
          <w:szCs w:val="14"/>
          <w:u w:val="single" w:color="auto"/>
          <w:color w:val="0000FF"/>
        </w:rPr>
        <w:t xml:space="preserve"> </w:t>
      </w:r>
      <w:hyperlink r:id="rId429">
        <w:r>
          <w:rPr>
            <w:rFonts w:ascii="Times New Roman" w:cs="Times New Roman" w:eastAsia="Times New Roman" w:hAnsi="Times New Roman"/>
            <w:sz w:val="14"/>
            <w:szCs w:val="14"/>
            <w:u w:val="single" w:color="auto"/>
            <w:color w:val="0000FF"/>
          </w:rPr>
          <w:t>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-248285</wp:posOffset>
            </wp:positionV>
            <wp:extent cx="222377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0">
                      <a:extLst>
                        <a:ext uri="{28A0092B-C50C-407E-A947-70E740481C1C}"/>
                      </a:extLst>
                    </a:blip>
                    <a:srcRect/>
                    <a:stretch>
                      <a:fillRect/>
                    </a:stretch>
                  </pic:blipFill>
                  <pic:spPr bwMode="auto">
                    <a:xfrm>
                      <a:off x="0" y="0"/>
                      <a:ext cx="222377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-139065</wp:posOffset>
            </wp:positionV>
            <wp:extent cx="203962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1">
                      <a:extLst>
                        <a:ext uri="{28A0092B-C50C-407E-A947-70E740481C1C}"/>
                      </a:extLst>
                    </a:blip>
                    <a:srcRect/>
                    <a:stretch>
                      <a:fillRect/>
                    </a:stretch>
                  </pic:blipFill>
                  <pic:spPr bwMode="auto">
                    <a:xfrm>
                      <a:off x="0" y="0"/>
                      <a:ext cx="2039620"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-29845</wp:posOffset>
            </wp:positionV>
            <wp:extent cx="35052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2">
                      <a:extLst>
                        <a:ext uri="{28A0092B-C50C-407E-A947-70E740481C1C}"/>
                      </a:extLst>
                    </a:blip>
                    <a:srcRect/>
                    <a:stretch>
                      <a:fillRect/>
                    </a:stretch>
                  </pic:blipFill>
                  <pic:spPr bwMode="auto">
                    <a:xfrm>
                      <a:off x="0" y="0"/>
                      <a:ext cx="350520" cy="6985"/>
                    </a:xfrm>
                    <a:prstGeom prst="rect">
                      <a:avLst/>
                    </a:prstGeom>
                    <a:noFill/>
                  </pic:spPr>
                </pic:pic>
              </a:graphicData>
            </a:graphic>
          </wp:anchor>
        </w:drawing>
      </w:r>
    </w:p>
    <w:p>
      <w:pPr>
        <w:jc w:val="both"/>
        <w:ind w:left="1480" w:right="40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10.24B †</w:t>
      </w:r>
      <w:r>
        <w:rPr>
          <w:sz w:val="20"/>
          <w:szCs w:val="20"/>
          <w:color w:val="auto"/>
        </w:rPr>
        <w:tab/>
      </w:r>
      <w:hyperlink r:id="rId433">
        <w:r>
          <w:rPr>
            <w:rFonts w:ascii="Times New Roman" w:cs="Times New Roman" w:eastAsia="Times New Roman" w:hAnsi="Times New Roman"/>
            <w:sz w:val="14"/>
            <w:szCs w:val="14"/>
            <w:u w:val="single" w:color="auto"/>
            <w:color w:val="0000FF"/>
          </w:rPr>
          <w:t>Form of Non-Qualified Stock Option (Employee) Award</w:t>
        </w:r>
      </w:hyperlink>
      <w:r>
        <w:rPr>
          <w:rFonts w:ascii="Times New Roman" w:cs="Times New Roman" w:eastAsia="Times New Roman" w:hAnsi="Times New Roman"/>
          <w:sz w:val="14"/>
          <w:szCs w:val="14"/>
          <w:u w:val="single" w:color="auto"/>
          <w:color w:val="0000FF"/>
        </w:rPr>
        <w:t xml:space="preserve"> </w:t>
      </w:r>
      <w:hyperlink r:id="rId433">
        <w:r>
          <w:rPr>
            <w:rFonts w:ascii="Times New Roman" w:cs="Times New Roman" w:eastAsia="Times New Roman" w:hAnsi="Times New Roman"/>
            <w:sz w:val="14"/>
            <w:szCs w:val="14"/>
            <w:u w:val="single" w:color="auto"/>
            <w:color w:val="0000FF"/>
          </w:rPr>
          <w:t>Certificate under the Alkermes plc 2018 Stock Option and</w:t>
        </w:r>
      </w:hyperlink>
      <w:r>
        <w:rPr>
          <w:rFonts w:ascii="Times New Roman" w:cs="Times New Roman" w:eastAsia="Times New Roman" w:hAnsi="Times New Roman"/>
          <w:sz w:val="14"/>
          <w:szCs w:val="14"/>
          <w:u w:val="single" w:color="auto"/>
          <w:color w:val="0000FF"/>
        </w:rPr>
        <w:t xml:space="preserve"> </w:t>
      </w:r>
      <w:hyperlink r:id="rId433">
        <w:r>
          <w:rPr>
            <w:rFonts w:ascii="Times New Roman" w:cs="Times New Roman" w:eastAsia="Times New Roman" w:hAnsi="Times New Roman"/>
            <w:sz w:val="14"/>
            <w:szCs w:val="14"/>
            <w:u w:val="single" w:color="auto"/>
            <w:color w:val="0000FF"/>
          </w:rPr>
          <w:t>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09740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4">
                      <a:extLst>
                        <a:ext uri="{28A0092B-C50C-407E-A947-70E740481C1C}"/>
                      </a:extLst>
                    </a:blip>
                    <a:srcRect/>
                    <a:stretch>
                      <a:fillRect/>
                    </a:stretch>
                  </pic:blipFill>
                  <pic:spPr bwMode="auto">
                    <a:xfrm>
                      <a:off x="0" y="0"/>
                      <a:ext cx="209740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14312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5">
                      <a:extLst>
                        <a:ext uri="{28A0092B-C50C-407E-A947-70E740481C1C}"/>
                      </a:extLst>
                    </a:blip>
                    <a:srcRect/>
                    <a:stretch>
                      <a:fillRect/>
                    </a:stretch>
                  </pic:blipFill>
                  <pic:spPr bwMode="auto">
                    <a:xfrm>
                      <a:off x="0" y="0"/>
                      <a:ext cx="214312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101727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6">
                      <a:extLst>
                        <a:ext uri="{28A0092B-C50C-407E-A947-70E740481C1C}"/>
                      </a:extLst>
                    </a:blip>
                    <a:srcRect/>
                    <a:stretch>
                      <a:fillRect/>
                    </a:stretch>
                  </pic:blipFill>
                  <pic:spPr bwMode="auto">
                    <a:xfrm>
                      <a:off x="0" y="0"/>
                      <a:ext cx="1017270" cy="6985"/>
                    </a:xfrm>
                    <a:prstGeom prst="rect">
                      <a:avLst/>
                    </a:prstGeom>
                    <a:noFill/>
                  </pic:spPr>
                </pic:pic>
              </a:graphicData>
            </a:graphic>
          </wp:anchor>
        </w:drawing>
      </w:r>
    </w:p>
    <w:p>
      <w:pPr>
        <w:ind w:left="1480" w:hanging="847"/>
        <w:spacing w:after="0" w:line="272"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10.24C †</w:t>
      </w:r>
      <w:r>
        <w:rPr>
          <w:sz w:val="20"/>
          <w:szCs w:val="20"/>
          <w:color w:val="auto"/>
        </w:rPr>
        <w:tab/>
      </w:r>
      <w:hyperlink r:id="rId437">
        <w:r>
          <w:rPr>
            <w:rFonts w:ascii="Times New Roman" w:cs="Times New Roman" w:eastAsia="Times New Roman" w:hAnsi="Times New Roman"/>
            <w:sz w:val="14"/>
            <w:szCs w:val="14"/>
            <w:u w:val="single" w:color="auto"/>
            <w:color w:val="0000FF"/>
          </w:rPr>
          <w:t>Form of Restricted Stock Unit (Time-Vesting) Award Certificate</w:t>
        </w:r>
      </w:hyperlink>
      <w:r>
        <w:rPr>
          <w:rFonts w:ascii="Times New Roman" w:cs="Times New Roman" w:eastAsia="Times New Roman" w:hAnsi="Times New Roman"/>
          <w:sz w:val="14"/>
          <w:szCs w:val="14"/>
          <w:u w:val="single" w:color="auto"/>
          <w:color w:val="0000FF"/>
        </w:rPr>
        <w:t xml:space="preserve"> </w:t>
      </w:r>
      <w:hyperlink r:id="rId437">
        <w:r>
          <w:rPr>
            <w:rFonts w:ascii="Times New Roman" w:cs="Times New Roman" w:eastAsia="Times New Roman" w:hAnsi="Times New Roman"/>
            <w:sz w:val="14"/>
            <w:szCs w:val="14"/>
            <w:u w:val="single" w:color="auto"/>
            <w:color w:val="0000FF"/>
          </w:rPr>
          <w:t>under the Alkermes plc 2018 Stock Option and Incentive Plan,</w:t>
        </w:r>
      </w:hyperlink>
      <w:r>
        <w:rPr>
          <w:rFonts w:ascii="Times New Roman" w:cs="Times New Roman" w:eastAsia="Times New Roman" w:hAnsi="Times New Roman"/>
          <w:sz w:val="14"/>
          <w:szCs w:val="14"/>
          <w:u w:val="single" w:color="auto"/>
          <w:color w:val="0000FF"/>
        </w:rPr>
        <w:t xml:space="preserve"> </w:t>
      </w:r>
      <w:hyperlink r:id="rId437">
        <w:r>
          <w:rPr>
            <w:rFonts w:ascii="Times New Roman" w:cs="Times New Roman" w:eastAsia="Times New Roman" w:hAnsi="Times New Roman"/>
            <w:sz w:val="14"/>
            <w:szCs w:val="14"/>
            <w:u w:val="single" w:color="auto"/>
            <w:color w:val="0000FF"/>
          </w:rPr>
          <w:t>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-248920</wp:posOffset>
            </wp:positionV>
            <wp:extent cx="237299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8">
                      <a:extLst>
                        <a:ext uri="{28A0092B-C50C-407E-A947-70E740481C1C}"/>
                      </a:extLst>
                    </a:blip>
                    <a:srcRect/>
                    <a:stretch>
                      <a:fillRect/>
                    </a:stretch>
                  </pic:blipFill>
                  <pic:spPr bwMode="auto">
                    <a:xfrm>
                      <a:off x="0" y="0"/>
                      <a:ext cx="237299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-139700</wp:posOffset>
            </wp:positionV>
            <wp:extent cx="230441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9">
                      <a:extLst>
                        <a:ext uri="{28A0092B-C50C-407E-A947-70E740481C1C}"/>
                      </a:extLst>
                    </a:blip>
                    <a:srcRect/>
                    <a:stretch>
                      <a:fillRect/>
                    </a:stretch>
                  </pic:blipFill>
                  <pic:spPr bwMode="auto">
                    <a:xfrm>
                      <a:off x="0" y="0"/>
                      <a:ext cx="230441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-30480</wp:posOffset>
            </wp:positionV>
            <wp:extent cx="44894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0">
                      <a:extLst>
                        <a:ext uri="{28A0092B-C50C-407E-A947-70E740481C1C}"/>
                      </a:extLst>
                    </a:blip>
                    <a:srcRect/>
                    <a:stretch>
                      <a:fillRect/>
                    </a:stretch>
                  </pic:blipFill>
                  <pic:spPr bwMode="auto">
                    <a:xfrm>
                      <a:off x="0" y="0"/>
                      <a:ext cx="448945" cy="6985"/>
                    </a:xfrm>
                    <a:prstGeom prst="rect">
                      <a:avLst/>
                    </a:prstGeom>
                    <a:noFill/>
                  </pic:spPr>
                </pic:pic>
              </a:graphicData>
            </a:graphic>
          </wp:anchor>
        </w:drawing>
      </w:r>
    </w:p>
    <w:p>
      <w:pPr>
        <w:ind w:left="1480" w:right="220" w:hanging="847"/>
        <w:spacing w:after="0" w:line="274" w:lineRule="auto"/>
        <w:tabs>
          <w:tab w:leader="none" w:pos="14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10.24D †</w:t>
      </w:r>
      <w:r>
        <w:rPr>
          <w:sz w:val="20"/>
          <w:szCs w:val="20"/>
          <w:color w:val="auto"/>
        </w:rPr>
        <w:tab/>
      </w:r>
      <w:hyperlink r:id="rId441">
        <w:r>
          <w:rPr>
            <w:rFonts w:ascii="Times New Roman" w:cs="Times New Roman" w:eastAsia="Times New Roman" w:hAnsi="Times New Roman"/>
            <w:sz w:val="14"/>
            <w:szCs w:val="14"/>
            <w:u w:val="single" w:color="auto"/>
            <w:color w:val="0000FF"/>
          </w:rPr>
          <w:t>Form of Restricted Stock Unit (Performance-Vesting) Award</w:t>
        </w:r>
      </w:hyperlink>
      <w:r>
        <w:rPr>
          <w:rFonts w:ascii="Times New Roman" w:cs="Times New Roman" w:eastAsia="Times New Roman" w:hAnsi="Times New Roman"/>
          <w:sz w:val="14"/>
          <w:szCs w:val="14"/>
          <w:u w:val="single" w:color="auto"/>
          <w:color w:val="0000FF"/>
        </w:rPr>
        <w:t xml:space="preserve"> </w:t>
      </w:r>
      <w:hyperlink r:id="rId441">
        <w:r>
          <w:rPr>
            <w:rFonts w:ascii="Times New Roman" w:cs="Times New Roman" w:eastAsia="Times New Roman" w:hAnsi="Times New Roman"/>
            <w:sz w:val="14"/>
            <w:szCs w:val="14"/>
            <w:u w:val="single" w:color="auto"/>
            <w:color w:val="0000FF"/>
          </w:rPr>
          <w:t>Certificate under the Alkermes plc 2018 Stock Option and</w:t>
        </w:r>
      </w:hyperlink>
      <w:r>
        <w:rPr>
          <w:rFonts w:ascii="Times New Roman" w:cs="Times New Roman" w:eastAsia="Times New Roman" w:hAnsi="Times New Roman"/>
          <w:sz w:val="14"/>
          <w:szCs w:val="14"/>
          <w:u w:val="single" w:color="auto"/>
          <w:color w:val="0000FF"/>
        </w:rPr>
        <w:t xml:space="preserve"> </w:t>
      </w:r>
      <w:hyperlink r:id="rId441">
        <w:r>
          <w:rPr>
            <w:rFonts w:ascii="Times New Roman" w:cs="Times New Roman" w:eastAsia="Times New Roman" w:hAnsi="Times New Roman"/>
            <w:sz w:val="14"/>
            <w:szCs w:val="14"/>
            <w:u w:val="single" w:color="auto"/>
            <w:color w:val="0000FF"/>
          </w:rPr>
          <w:t>Incentive Plan,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943610</wp:posOffset>
            </wp:positionH>
            <wp:positionV relativeFrom="paragraph">
              <wp:posOffset>-251460</wp:posOffset>
            </wp:positionV>
            <wp:extent cx="225361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2">
                      <a:extLst>
                        <a:ext uri="{28A0092B-C50C-407E-A947-70E740481C1C}"/>
                      </a:extLst>
                    </a:blip>
                    <a:srcRect/>
                    <a:stretch>
                      <a:fillRect/>
                    </a:stretch>
                  </pic:blipFill>
                  <pic:spPr bwMode="auto">
                    <a:xfrm>
                      <a:off x="0" y="0"/>
                      <a:ext cx="225361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-142240</wp:posOffset>
            </wp:positionV>
            <wp:extent cx="214312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3">
                      <a:extLst>
                        <a:ext uri="{28A0092B-C50C-407E-A947-70E740481C1C}"/>
                      </a:extLst>
                    </a:blip>
                    <a:srcRect/>
                    <a:stretch>
                      <a:fillRect/>
                    </a:stretch>
                  </pic:blipFill>
                  <pic:spPr bwMode="auto">
                    <a:xfrm>
                      <a:off x="0" y="0"/>
                      <a:ext cx="2143125" cy="698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-33020</wp:posOffset>
            </wp:positionV>
            <wp:extent cx="101727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4">
                      <a:extLst>
                        <a:ext uri="{28A0092B-C50C-407E-A947-70E740481C1C}"/>
                      </a:extLst>
                    </a:blip>
                    <a:srcRect/>
                    <a:stretch>
                      <a:fillRect/>
                    </a:stretch>
                  </pic:blipFill>
                  <pic:spPr bwMode="auto">
                    <a:xfrm>
                      <a:off x="0" y="0"/>
                      <a:ext cx="1017270" cy="6985"/>
                    </a:xfrm>
                    <a:prstGeom prst="rect">
                      <a:avLst/>
                    </a:prstGeom>
                    <a:noFill/>
                  </pic:spPr>
                </pic:pic>
              </a:graphicData>
            </a:graphic>
          </wp:anchor>
        </w:drawing>
      </w:r>
    </w:p>
    <w:p>
      <w:pPr>
        <w:spacing w:after="0" w:line="148" w:lineRule="exact"/>
        <w:rPr>
          <w:rFonts w:ascii="Times New Roman" w:cs="Times New Roman" w:eastAsia="Times New Roman" w:hAnsi="Times New Roman"/>
          <w:sz w:val="14"/>
          <w:szCs w:val="14"/>
          <w:u w:val="single" w:color="auto"/>
          <w:color w:val="0000FF"/>
        </w:rPr>
      </w:pPr>
    </w:p>
    <w:p>
      <w:pPr>
        <w:ind w:left="444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6">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6" w:lineRule="exact"/>
        <w:rPr>
          <w:rFonts w:ascii="Times New Roman" w:cs="Times New Roman" w:eastAsia="Times New Roman" w:hAnsi="Times New Roman"/>
          <w:sz w:val="14"/>
          <w:szCs w:val="14"/>
          <w:u w:val="single" w:color="auto"/>
          <w:color w:val="0000FF"/>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148"/>
        </w:trPr>
        <w:tc>
          <w:tcPr>
            <w:tcW w:w="20" w:type="dxa"/>
            <w:vAlign w:val="bottom"/>
          </w:tcPr>
          <w:p>
            <w:pPr>
              <w:spacing w:after="0"/>
              <w:rPr>
                <w:sz w:val="12"/>
                <w:szCs w:val="12"/>
                <w:color w:val="auto"/>
              </w:rPr>
            </w:pPr>
          </w:p>
        </w:tc>
        <w:tc>
          <w:tcPr>
            <w:tcW w:w="17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Exhibit 10.6 to the Alkermes</w:t>
            </w:r>
          </w:p>
        </w:tc>
        <w:tc>
          <w:tcPr>
            <w:tcW w:w="16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April 28, 2016</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for the quarter ended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2016 (File No.</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10.7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28, 2016</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for the quarter ended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2016 (File No.</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10.8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28, 2016</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for the quarter ended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2016 (File No.</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10.9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28, 2016</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for the quarter ended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2016 (File No.</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22, 2009</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 Current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8-K (File No. 001-14131)</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24, 2017</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Current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8-K (File No. 011-35299)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10.3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10.4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10.5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45"/>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10.6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10.7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10.8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23, 2018</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10.6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29, 2020</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ectPr>
          <w:pgSz w:w="11900" w:h="16838" w:orient="portrait"/>
          <w:cols w:equalWidth="0" w:num="2">
            <w:col w:w="5220" w:space="160"/>
            <w:col w:w="3639"/>
          </w:cols>
          <w:pgMar w:left="1440" w:top="958" w:right="1440" w:bottom="1440" w:gutter="0" w:footer="0" w:header="0"/>
        </w:sectPr>
      </w:pPr>
    </w:p>
    <w:bookmarkStart w:id="83" w:name="page84"/>
    <w:bookmarkEnd w:id="83"/>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14"/>
          </w:tcPr>
          <w:p>
            <w:pPr>
              <w:ind w:left="18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130"/>
        </w:trPr>
        <w:tc>
          <w:tcPr>
            <w:tcW w:w="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10.24E †</w:t>
            </w:r>
          </w:p>
        </w:tc>
        <w:tc>
          <w:tcPr>
            <w:tcW w:w="160" w:type="dxa"/>
            <w:vAlign w:val="bottom"/>
          </w:tcPr>
          <w:p>
            <w:pPr>
              <w:spacing w:after="0"/>
              <w:rPr>
                <w:sz w:val="11"/>
                <w:szCs w:val="11"/>
                <w:color w:val="auto"/>
              </w:rPr>
            </w:pPr>
          </w:p>
        </w:tc>
        <w:tc>
          <w:tcPr>
            <w:tcW w:w="3680" w:type="dxa"/>
            <w:vAlign w:val="bottom"/>
            <w:tcBorders>
              <w:bottom w:val="single" w:sz="8" w:color="0000FF"/>
            </w:tcBorders>
            <w:gridSpan w:val="14"/>
          </w:tcPr>
          <w:p>
            <w:pPr>
              <w:spacing w:after="0" w:line="131" w:lineRule="exact"/>
              <w:rPr>
                <w:rFonts w:ascii="Times New Roman" w:cs="Times New Roman" w:eastAsia="Times New Roman" w:hAnsi="Times New Roman"/>
                <w:sz w:val="14"/>
                <w:szCs w:val="14"/>
                <w:color w:val="0000FF"/>
              </w:rPr>
            </w:pPr>
            <w:hyperlink r:id="rId447">
              <w:r>
                <w:rPr>
                  <w:rFonts w:ascii="Times New Roman" w:cs="Times New Roman" w:eastAsia="Times New Roman" w:hAnsi="Times New Roman"/>
                  <w:sz w:val="14"/>
                  <w:szCs w:val="14"/>
                  <w:color w:val="0000FF"/>
                </w:rPr>
                <w:t>Form of Non-Qualified Stock Option (Non-Employee Director)</w:t>
              </w:r>
            </w:hyperlink>
          </w:p>
        </w:tc>
        <w:tc>
          <w:tcPr>
            <w:tcW w:w="40" w:type="dxa"/>
            <w:vAlign w:val="bottom"/>
            <w:gridSpan w:val="2"/>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47">
              <w:r>
                <w:rPr>
                  <w:rFonts w:ascii="Times New Roman" w:cs="Times New Roman" w:eastAsia="Times New Roman" w:hAnsi="Times New Roman"/>
                  <w:sz w:val="14"/>
                  <w:szCs w:val="14"/>
                  <w:color w:val="0000FF"/>
                </w:rPr>
                <w:t>Award Certificate under the Alkermes plc 2018 Stock Option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47">
              <w:r>
                <w:rPr>
                  <w:rFonts w:ascii="Times New Roman" w:cs="Times New Roman" w:eastAsia="Times New Roman" w:hAnsi="Times New Roman"/>
                  <w:sz w:val="14"/>
                  <w:szCs w:val="14"/>
                  <w:color w:val="0000FF"/>
                </w:rPr>
                <w:t>and 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10.24F †</w:t>
            </w:r>
          </w:p>
        </w:tc>
        <w:tc>
          <w:tcPr>
            <w:tcW w:w="160" w:type="dxa"/>
            <w:vAlign w:val="bottom"/>
          </w:tcPr>
          <w:p>
            <w:pPr>
              <w:spacing w:after="0"/>
              <w:rPr>
                <w:sz w:val="16"/>
                <w:szCs w:val="16"/>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48">
              <w:r>
                <w:rPr>
                  <w:rFonts w:ascii="Times New Roman" w:cs="Times New Roman" w:eastAsia="Times New Roman" w:hAnsi="Times New Roman"/>
                  <w:sz w:val="14"/>
                  <w:szCs w:val="14"/>
                  <w:color w:val="0000FF"/>
                </w:rPr>
                <w:t>Form of Non-Employee Director Restricted Stock Unit (Time-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48">
              <w:r>
                <w:rPr>
                  <w:rFonts w:ascii="Times New Roman" w:cs="Times New Roman" w:eastAsia="Times New Roman" w:hAnsi="Times New Roman"/>
                  <w:sz w:val="14"/>
                  <w:szCs w:val="14"/>
                  <w:color w:val="0000FF"/>
                </w:rPr>
                <w:t>Vesting) Award Certificate under the Alkermes plc 2018 Stock</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48">
              <w:r>
                <w:rPr>
                  <w:rFonts w:ascii="Times New Roman" w:cs="Times New Roman" w:eastAsia="Times New Roman" w:hAnsi="Times New Roman"/>
                  <w:sz w:val="14"/>
                  <w:szCs w:val="14"/>
                  <w:color w:val="0000FF"/>
                </w:rPr>
                <w:t>Option and 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10.24G †</w:t>
            </w:r>
          </w:p>
        </w:tc>
        <w:tc>
          <w:tcPr>
            <w:tcW w:w="160" w:type="dxa"/>
            <w:vAlign w:val="bottom"/>
          </w:tcPr>
          <w:p>
            <w:pPr>
              <w:spacing w:after="0"/>
              <w:rPr>
                <w:sz w:val="16"/>
                <w:szCs w:val="16"/>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49">
              <w:r>
                <w:rPr>
                  <w:rFonts w:ascii="Times New Roman" w:cs="Times New Roman" w:eastAsia="Times New Roman" w:hAnsi="Times New Roman"/>
                  <w:sz w:val="14"/>
                  <w:szCs w:val="14"/>
                  <w:color w:val="0000FF"/>
                </w:rPr>
                <w:t>Form of Non-Employee Director New Director Grant Non-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49">
              <w:r>
                <w:rPr>
                  <w:rFonts w:ascii="Times New Roman" w:cs="Times New Roman" w:eastAsia="Times New Roman" w:hAnsi="Times New Roman"/>
                  <w:sz w:val="14"/>
                  <w:szCs w:val="14"/>
                  <w:color w:val="0000FF"/>
                </w:rPr>
                <w:t>Qualified Stock Option Award Certificate under the Alkermes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49">
              <w:r>
                <w:rPr>
                  <w:rFonts w:ascii="Times New Roman" w:cs="Times New Roman" w:eastAsia="Times New Roman" w:hAnsi="Times New Roman"/>
                  <w:sz w:val="14"/>
                  <w:szCs w:val="14"/>
                  <w:color w:val="0000FF"/>
                </w:rPr>
                <w:t>plc 2018 Stock Option and 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10.24H †</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0">
              <w:r>
                <w:rPr>
                  <w:rFonts w:ascii="Times New Roman" w:cs="Times New Roman" w:eastAsia="Times New Roman" w:hAnsi="Times New Roman"/>
                  <w:sz w:val="14"/>
                  <w:szCs w:val="14"/>
                  <w:color w:val="0000FF"/>
                </w:rPr>
                <w:t>Form of Non-Employee Director New Director Grant Restricted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0">
              <w:r>
                <w:rPr>
                  <w:rFonts w:ascii="Times New Roman" w:cs="Times New Roman" w:eastAsia="Times New Roman" w:hAnsi="Times New Roman"/>
                  <w:sz w:val="14"/>
                  <w:szCs w:val="14"/>
                  <w:color w:val="0000FF"/>
                </w:rPr>
                <w:t>Stock Unit (Time-Vesting) Award Certificate under the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0">
              <w:r>
                <w:rPr>
                  <w:rFonts w:ascii="Times New Roman" w:cs="Times New Roman" w:eastAsia="Times New Roman" w:hAnsi="Times New Roman"/>
                  <w:sz w:val="14"/>
                  <w:szCs w:val="14"/>
                  <w:color w:val="0000FF"/>
                </w:rPr>
                <w:t>Alkermes plc 2018 Stock Option and Incentive Plan, as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0">
              <w:r>
                <w:rPr>
                  <w:rFonts w:ascii="Times New Roman" w:cs="Times New Roman" w:eastAsia="Times New Roman" w:hAnsi="Times New Roman"/>
                  <w:sz w:val="14"/>
                  <w:szCs w:val="14"/>
                  <w:color w:val="0000FF"/>
                </w:rPr>
                <w:t>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10.24I †</w:t>
            </w:r>
          </w:p>
        </w:tc>
        <w:tc>
          <w:tcPr>
            <w:tcW w:w="160" w:type="dxa"/>
            <w:vAlign w:val="bottom"/>
          </w:tcPr>
          <w:p>
            <w:pPr>
              <w:spacing w:after="0"/>
              <w:rPr>
                <w:sz w:val="16"/>
                <w:szCs w:val="16"/>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1">
              <w:r>
                <w:rPr>
                  <w:rFonts w:ascii="Times New Roman" w:cs="Times New Roman" w:eastAsia="Times New Roman" w:hAnsi="Times New Roman"/>
                  <w:sz w:val="14"/>
                  <w:szCs w:val="14"/>
                  <w:color w:val="0000FF"/>
                </w:rPr>
                <w:t>Form of Incentive Stock Option Award Certificate for Reporting</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1">
              <w:r>
                <w:rPr>
                  <w:rFonts w:ascii="Times New Roman" w:cs="Times New Roman" w:eastAsia="Times New Roman" w:hAnsi="Times New Roman"/>
                  <w:sz w:val="14"/>
                  <w:szCs w:val="14"/>
                  <w:color w:val="0000FF"/>
                </w:rPr>
                <w:t>Officers under the Alkermes plc 2018 Stock Option and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1">
              <w:r>
                <w:rPr>
                  <w:rFonts w:ascii="Times New Roman" w:cs="Times New Roman" w:eastAsia="Times New Roman" w:hAnsi="Times New Roman"/>
                  <w:sz w:val="14"/>
                  <w:szCs w:val="14"/>
                  <w:color w:val="0000FF"/>
                </w:rPr>
                <w:t>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10.24J †</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2">
              <w:r>
                <w:rPr>
                  <w:rFonts w:ascii="Times New Roman" w:cs="Times New Roman" w:eastAsia="Times New Roman" w:hAnsi="Times New Roman"/>
                  <w:sz w:val="14"/>
                  <w:szCs w:val="14"/>
                  <w:color w:val="0000FF"/>
                </w:rPr>
                <w:t>Form of Non-Qualified Stock Option Award Certificate for</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2">
              <w:r>
                <w:rPr>
                  <w:rFonts w:ascii="Times New Roman" w:cs="Times New Roman" w:eastAsia="Times New Roman" w:hAnsi="Times New Roman"/>
                  <w:sz w:val="14"/>
                  <w:szCs w:val="14"/>
                  <w:color w:val="0000FF"/>
                </w:rPr>
                <w:t>Reporting Officers under the Alkermes plc 2018 Stock Option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2">
              <w:r>
                <w:rPr>
                  <w:rFonts w:ascii="Times New Roman" w:cs="Times New Roman" w:eastAsia="Times New Roman" w:hAnsi="Times New Roman"/>
                  <w:sz w:val="14"/>
                  <w:szCs w:val="14"/>
                  <w:color w:val="0000FF"/>
                </w:rPr>
                <w:t>and 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10.24K †</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3">
              <w:r>
                <w:rPr>
                  <w:rFonts w:ascii="Times New Roman" w:cs="Times New Roman" w:eastAsia="Times New Roman" w:hAnsi="Times New Roman"/>
                  <w:sz w:val="14"/>
                  <w:szCs w:val="14"/>
                  <w:color w:val="0000FF"/>
                </w:rPr>
                <w:t>Form of Restricted Stock Unit (Time-Vesting) Award Certificate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3">
              <w:r>
                <w:rPr>
                  <w:rFonts w:ascii="Times New Roman" w:cs="Times New Roman" w:eastAsia="Times New Roman" w:hAnsi="Times New Roman"/>
                  <w:sz w:val="14"/>
                  <w:szCs w:val="14"/>
                  <w:color w:val="0000FF"/>
                </w:rPr>
                <w:t>for Reporting Officers under the Alkermes plc 2018 Stock</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3">
              <w:r>
                <w:rPr>
                  <w:rFonts w:ascii="Times New Roman" w:cs="Times New Roman" w:eastAsia="Times New Roman" w:hAnsi="Times New Roman"/>
                  <w:sz w:val="14"/>
                  <w:szCs w:val="14"/>
                  <w:color w:val="0000FF"/>
                </w:rPr>
                <w:t>Option and 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10.24L †</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4">
              <w:r>
                <w:rPr>
                  <w:rFonts w:ascii="Times New Roman" w:cs="Times New Roman" w:eastAsia="Times New Roman" w:hAnsi="Times New Roman"/>
                  <w:sz w:val="14"/>
                  <w:szCs w:val="14"/>
                  <w:color w:val="0000FF"/>
                </w:rPr>
                <w:t>Form of Restricted Stock Unit (Performance-Vesting) Award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4">
              <w:r>
                <w:rPr>
                  <w:rFonts w:ascii="Times New Roman" w:cs="Times New Roman" w:eastAsia="Times New Roman" w:hAnsi="Times New Roman"/>
                  <w:sz w:val="14"/>
                  <w:szCs w:val="14"/>
                  <w:color w:val="0000FF"/>
                </w:rPr>
                <w:t>Certificate for Reporting Officers under the Alkermes plc 2018</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4">
              <w:r>
                <w:rPr>
                  <w:rFonts w:ascii="Times New Roman" w:cs="Times New Roman" w:eastAsia="Times New Roman" w:hAnsi="Times New Roman"/>
                  <w:sz w:val="14"/>
                  <w:szCs w:val="14"/>
                  <w:color w:val="0000FF"/>
                </w:rPr>
                <w:t>Stock Option and 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10.24M †</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5">
              <w:r>
                <w:rPr>
                  <w:rFonts w:ascii="Times New Roman" w:cs="Times New Roman" w:eastAsia="Times New Roman" w:hAnsi="Times New Roman"/>
                  <w:sz w:val="14"/>
                  <w:szCs w:val="14"/>
                  <w:color w:val="0000FF"/>
                </w:rPr>
                <w:t>Form of Restricted Stock Unit (Performance-Vesting) Award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5">
              <w:r>
                <w:rPr>
                  <w:rFonts w:ascii="Times New Roman" w:cs="Times New Roman" w:eastAsia="Times New Roman" w:hAnsi="Times New Roman"/>
                  <w:sz w:val="14"/>
                  <w:szCs w:val="14"/>
                  <w:color w:val="0000FF"/>
                </w:rPr>
                <w:t>Certificate (rev. 2024) for Reporting Officers under the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5">
              <w:r>
                <w:rPr>
                  <w:rFonts w:ascii="Times New Roman" w:cs="Times New Roman" w:eastAsia="Times New Roman" w:hAnsi="Times New Roman"/>
                  <w:sz w:val="14"/>
                  <w:szCs w:val="14"/>
                  <w:color w:val="0000FF"/>
                </w:rPr>
                <w:t>Alkermes plc 2018 Stock Option and Incentive Plan, as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5">
              <w:r>
                <w:rPr>
                  <w:rFonts w:ascii="Times New Roman" w:cs="Times New Roman" w:eastAsia="Times New Roman" w:hAnsi="Times New Roman"/>
                  <w:sz w:val="14"/>
                  <w:szCs w:val="14"/>
                  <w:color w:val="0000FF"/>
                </w:rPr>
                <w:t>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10.24N †</w:t>
            </w:r>
          </w:p>
        </w:tc>
        <w:tc>
          <w:tcPr>
            <w:tcW w:w="160" w:type="dxa"/>
            <w:vAlign w:val="bottom"/>
          </w:tcPr>
          <w:p>
            <w:pPr>
              <w:spacing w:after="0"/>
              <w:rPr>
                <w:sz w:val="16"/>
                <w:szCs w:val="16"/>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6">
              <w:r>
                <w:rPr>
                  <w:rFonts w:ascii="Times New Roman" w:cs="Times New Roman" w:eastAsia="Times New Roman" w:hAnsi="Times New Roman"/>
                  <w:sz w:val="14"/>
                  <w:szCs w:val="14"/>
                  <w:color w:val="0000FF"/>
                </w:rPr>
                <w:t>Form of Restricted Stock Unit (Performance-Vesting) Award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6">
              <w:r>
                <w:rPr>
                  <w:rFonts w:ascii="Times New Roman" w:cs="Times New Roman" w:eastAsia="Times New Roman" w:hAnsi="Times New Roman"/>
                  <w:sz w:val="14"/>
                  <w:szCs w:val="14"/>
                  <w:color w:val="0000FF"/>
                </w:rPr>
                <w:t>Certificate (rev. 2024) under the Alkermes plc 2018 Stock</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6">
              <w:r>
                <w:rPr>
                  <w:rFonts w:ascii="Times New Roman" w:cs="Times New Roman" w:eastAsia="Times New Roman" w:hAnsi="Times New Roman"/>
                  <w:sz w:val="14"/>
                  <w:szCs w:val="14"/>
                  <w:color w:val="0000FF"/>
                </w:rPr>
                <w:t>Option and 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5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10.24O †</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7">
              <w:r>
                <w:rPr>
                  <w:rFonts w:ascii="Times New Roman" w:cs="Times New Roman" w:eastAsia="Times New Roman" w:hAnsi="Times New Roman"/>
                  <w:sz w:val="14"/>
                  <w:szCs w:val="14"/>
                  <w:color w:val="0000FF"/>
                </w:rPr>
                <w:t>Form of Non-Employee Director Non-Qualified Stock Option</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7">
              <w:r>
                <w:rPr>
                  <w:rFonts w:ascii="Times New Roman" w:cs="Times New Roman" w:eastAsia="Times New Roman" w:hAnsi="Times New Roman"/>
                  <w:sz w:val="14"/>
                  <w:szCs w:val="14"/>
                  <w:color w:val="0000FF"/>
                </w:rPr>
                <w:t>Award Certificate (rev. 2024) under the Alkermes plc 2018</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7">
              <w:r>
                <w:rPr>
                  <w:rFonts w:ascii="Times New Roman" w:cs="Times New Roman" w:eastAsia="Times New Roman" w:hAnsi="Times New Roman"/>
                  <w:sz w:val="14"/>
                  <w:szCs w:val="14"/>
                  <w:color w:val="0000FF"/>
                </w:rPr>
                <w:t>Stock Option and Incentive Plan, as 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5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10.24P †</w:t>
            </w:r>
          </w:p>
        </w:tc>
        <w:tc>
          <w:tcPr>
            <w:tcW w:w="160" w:type="dxa"/>
            <w:vAlign w:val="bottom"/>
          </w:tcPr>
          <w:p>
            <w:pPr>
              <w:spacing w:after="0"/>
              <w:rPr>
                <w:sz w:val="24"/>
                <w:szCs w:val="24"/>
                <w:color w:val="auto"/>
              </w:rPr>
            </w:pPr>
          </w:p>
        </w:tc>
        <w:tc>
          <w:tcPr>
            <w:tcW w:w="3720" w:type="dxa"/>
            <w:vAlign w:val="bottom"/>
            <w:gridSpan w:val="16"/>
          </w:tcPr>
          <w:p>
            <w:pPr>
              <w:spacing w:after="0"/>
              <w:rPr>
                <w:rFonts w:ascii="Times New Roman" w:cs="Times New Roman" w:eastAsia="Times New Roman" w:hAnsi="Times New Roman"/>
                <w:sz w:val="14"/>
                <w:szCs w:val="14"/>
                <w:color w:val="0000FF"/>
              </w:rPr>
            </w:pPr>
            <w:hyperlink r:id="rId458">
              <w:r>
                <w:rPr>
                  <w:rFonts w:ascii="Times New Roman" w:cs="Times New Roman" w:eastAsia="Times New Roman" w:hAnsi="Times New Roman"/>
                  <w:sz w:val="14"/>
                  <w:szCs w:val="14"/>
                  <w:color w:val="0000FF"/>
                </w:rPr>
                <w:t>Form of Non-Employee Director Restricted Stock Unit Award</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8">
              <w:r>
                <w:rPr>
                  <w:rFonts w:ascii="Times New Roman" w:cs="Times New Roman" w:eastAsia="Times New Roman" w:hAnsi="Times New Roman"/>
                  <w:sz w:val="14"/>
                  <w:szCs w:val="14"/>
                  <w:color w:val="0000FF"/>
                </w:rPr>
                <w:t>(Time-Vesting) Award Certificate (rev. 2024) under the</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8">
              <w:r>
                <w:rPr>
                  <w:rFonts w:ascii="Times New Roman" w:cs="Times New Roman" w:eastAsia="Times New Roman" w:hAnsi="Times New Roman"/>
                  <w:sz w:val="14"/>
                  <w:szCs w:val="14"/>
                  <w:color w:val="0000FF"/>
                </w:rPr>
                <w:t>Alkermes plc 2018 Stock Option and Incentive Plan, as</w:t>
              </w:r>
            </w:hyperlink>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rFonts w:ascii="Times New Roman" w:cs="Times New Roman" w:eastAsia="Times New Roman" w:hAnsi="Times New Roman"/>
                <w:sz w:val="14"/>
                <w:szCs w:val="14"/>
                <w:color w:val="0000FF"/>
              </w:rPr>
            </w:pPr>
            <w:hyperlink r:id="rId458">
              <w:r>
                <w:rPr>
                  <w:rFonts w:ascii="Times New Roman" w:cs="Times New Roman" w:eastAsia="Times New Roman" w:hAnsi="Times New Roman"/>
                  <w:sz w:val="14"/>
                  <w:szCs w:val="14"/>
                  <w:color w:val="0000FF"/>
                </w:rPr>
                <w:t>amended.</w:t>
              </w:r>
            </w:hyperlink>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19.1 #</w:t>
            </w:r>
          </w:p>
        </w:tc>
        <w:tc>
          <w:tcPr>
            <w:tcW w:w="160" w:type="dxa"/>
            <w:vAlign w:val="bottom"/>
          </w:tcPr>
          <w:p>
            <w:pPr>
              <w:spacing w:after="0"/>
              <w:rPr>
                <w:sz w:val="14"/>
                <w:szCs w:val="14"/>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Alkermes plc Insider Trading Policy.</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21.1 #</w:t>
            </w:r>
          </w:p>
        </w:tc>
        <w:tc>
          <w:tcPr>
            <w:tcW w:w="160" w:type="dxa"/>
            <w:vAlign w:val="bottom"/>
          </w:tcPr>
          <w:p>
            <w:pPr>
              <w:spacing w:after="0"/>
              <w:rPr>
                <w:sz w:val="16"/>
                <w:szCs w:val="16"/>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List of subsidiaries.</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23.1 #</w:t>
            </w:r>
          </w:p>
        </w:tc>
        <w:tc>
          <w:tcPr>
            <w:tcW w:w="160" w:type="dxa"/>
            <w:vAlign w:val="bottom"/>
          </w:tcPr>
          <w:p>
            <w:pPr>
              <w:spacing w:after="0"/>
              <w:rPr>
                <w:sz w:val="16"/>
                <w:szCs w:val="16"/>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Consent of PricewaterhouseCoopers LLP, an independent</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14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registered public accounting firm.</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1500" w:type="dxa"/>
            <w:vAlign w:val="bottom"/>
            <w:tcBorders>
              <w:left w:val="single" w:sz="8" w:color="0000EE"/>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24.1 #</w:t>
            </w:r>
          </w:p>
        </w:tc>
        <w:tc>
          <w:tcPr>
            <w:tcW w:w="160" w:type="dxa"/>
            <w:vAlign w:val="bottom"/>
          </w:tcPr>
          <w:p>
            <w:pPr>
              <w:spacing w:after="0"/>
              <w:rPr>
                <w:sz w:val="14"/>
                <w:szCs w:val="14"/>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Power of Attorney (included on the signature pages hereto).</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150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 #</w:t>
            </w:r>
          </w:p>
        </w:tc>
        <w:tc>
          <w:tcPr>
            <w:tcW w:w="160" w:type="dxa"/>
            <w:vAlign w:val="bottom"/>
          </w:tcPr>
          <w:p>
            <w:pPr>
              <w:spacing w:after="0"/>
              <w:rPr>
                <w:sz w:val="16"/>
                <w:szCs w:val="16"/>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Pursuant to Rule 13a-14(a) or Rule 15d-14(a) of the</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150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Securities Exchange Act of 1934.</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5"/>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 #</w:t>
            </w:r>
          </w:p>
        </w:tc>
        <w:tc>
          <w:tcPr>
            <w:tcW w:w="160" w:type="dxa"/>
            <w:vAlign w:val="bottom"/>
          </w:tcPr>
          <w:p>
            <w:pPr>
              <w:spacing w:after="0"/>
              <w:rPr>
                <w:sz w:val="14"/>
                <w:szCs w:val="14"/>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Pursuant to Rule 13a-14(a) or Rule 15d-14(a) of the</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Securities Exchange Act of 1934.</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5"/>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6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32.1 ‡</w:t>
            </w:r>
          </w:p>
        </w:tc>
        <w:tc>
          <w:tcPr>
            <w:tcW w:w="160" w:type="dxa"/>
            <w:vAlign w:val="bottom"/>
          </w:tcPr>
          <w:p>
            <w:pPr>
              <w:spacing w:after="0"/>
              <w:rPr>
                <w:sz w:val="14"/>
                <w:szCs w:val="14"/>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Pursuant to 18 U.S.C. Section 1350, as adopted</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pursuant to Section 906 of the Sarbanes-Oxley Act of 2002.</w:t>
            </w:r>
          </w:p>
        </w:tc>
      </w:tr>
      <w:tr>
        <w:trPr>
          <w:trHeight w:val="36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Borders>
              <w:top w:val="single" w:sz="8" w:color="0000FF"/>
            </w:tcBorders>
            <w:gridSpan w:val="9"/>
          </w:tcPr>
          <w:p>
            <w:pPr>
              <w:jc w:val="right"/>
              <w:ind w:right="100"/>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369570</wp:posOffset>
            </wp:positionV>
            <wp:extent cx="560387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60">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148"/>
        </w:trPr>
        <w:tc>
          <w:tcPr>
            <w:tcW w:w="20" w:type="dxa"/>
            <w:vAlign w:val="bottom"/>
          </w:tcPr>
          <w:p>
            <w:pPr>
              <w:spacing w:after="0"/>
              <w:rPr>
                <w:sz w:val="12"/>
                <w:szCs w:val="12"/>
                <w:color w:val="auto"/>
              </w:rPr>
            </w:pPr>
          </w:p>
        </w:tc>
        <w:tc>
          <w:tcPr>
            <w:tcW w:w="17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Exhibit 10.4 to the Alkermes</w:t>
            </w:r>
          </w:p>
        </w:tc>
        <w:tc>
          <w:tcPr>
            <w:tcW w:w="16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July 29, 2020</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10.5 to the Alkermes</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29, 2020</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Quarterly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10.1.1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27, 2022</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Quarterly</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Report on Form 10-Q (File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10.1.2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27, 2022</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Quarterly</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Report on Form 10-Q (File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10.19-9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16, 2023</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Annual Report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Form 10-K (File No. 001-</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35299)</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10.19-10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16, 2023</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Annual Report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Form 10-K (File No. 001-</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35299)</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10.19-11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16, 2023</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Annual Report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Form 10-K (File No. 001-</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35299)</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10.19-12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16, 2023</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Annual Report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Form 10-K (File No. 001-</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35299)</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10.25M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21, 2024</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Annual Report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Form 10-K (File No. 001-</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10.25N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21, 2024</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Annual Report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Form 10-K (File No. 001-</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10.2A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24, 2024</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Quarterly</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Report on Form 10-Q (File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10.2A to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24, 2024</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Alkermes plc Quarterly</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Report on Form 10-Q (File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ectPr>
          <w:pgSz w:w="11900" w:h="16838" w:orient="portrait"/>
          <w:cols w:equalWidth="0" w:num="2">
            <w:col w:w="5220" w:space="160"/>
            <w:col w:w="3639"/>
          </w:cols>
          <w:pgMar w:left="1440" w:top="958" w:right="1440" w:bottom="1440" w:gutter="0" w:footer="0" w:header="0"/>
        </w:sectPr>
      </w:pPr>
    </w:p>
    <w:bookmarkStart w:id="84" w:name="page85"/>
    <w:bookmarkEnd w:id="84"/>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130"/>
        </w:trPr>
        <w:tc>
          <w:tcPr>
            <w:tcW w:w="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97 †</w:t>
            </w:r>
          </w:p>
        </w:tc>
        <w:tc>
          <w:tcPr>
            <w:tcW w:w="14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3420" w:type="dxa"/>
            <w:vAlign w:val="bottom"/>
            <w:tcBorders>
              <w:bottom w:val="single" w:sz="8" w:color="0000EE"/>
            </w:tcBorders>
          </w:tcPr>
          <w:p>
            <w:pPr>
              <w:spacing w:after="0" w:line="131"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Alkermes plc Incentive Compensation Recoupment Policy.</w:t>
              </w:r>
            </w:hyperlink>
          </w:p>
        </w:tc>
        <w:tc>
          <w:tcPr>
            <w:tcW w:w="300" w:type="dxa"/>
            <w:vAlign w:val="bottom"/>
          </w:tcPr>
          <w:p>
            <w:pPr>
              <w:spacing w:after="0"/>
              <w:rPr>
                <w:sz w:val="11"/>
                <w:szCs w:val="11"/>
                <w:color w:val="auto"/>
              </w:rPr>
            </w:pPr>
          </w:p>
        </w:tc>
      </w:tr>
    </w:tbl>
    <w:p>
      <w:pPr>
        <w:spacing w:after="0" w:line="383" w:lineRule="exact"/>
        <w:rPr>
          <w:sz w:val="20"/>
          <w:szCs w:val="20"/>
          <w:color w:val="auto"/>
        </w:rPr>
      </w:pPr>
    </w:p>
    <w:p>
      <w:pPr>
        <w:ind w:left="1480" w:right="300" w:hanging="847"/>
        <w:spacing w:after="0" w:line="266" w:lineRule="auto"/>
        <w:tabs>
          <w:tab w:leader="none" w:pos="1460" w:val="left"/>
        </w:tabs>
        <w:rPr>
          <w:sz w:val="20"/>
          <w:szCs w:val="20"/>
          <w:color w:val="auto"/>
        </w:rPr>
      </w:pPr>
      <w:r>
        <w:rPr>
          <w:rFonts w:ascii="Times New Roman" w:cs="Times New Roman" w:eastAsia="Times New Roman" w:hAnsi="Times New Roman"/>
          <w:sz w:val="14"/>
          <w:szCs w:val="14"/>
          <w:color w:val="auto"/>
        </w:rPr>
        <w:t>101.SCH #</w:t>
        <w:tab/>
        <w:t>Inline XBRL Taxonomy Extension Schema with Embedded Linkbases Document.</w:t>
      </w:r>
    </w:p>
    <w:p>
      <w:pPr>
        <w:spacing w:after="0" w:line="1" w:lineRule="exact"/>
        <w:rPr>
          <w:sz w:val="20"/>
          <w:szCs w:val="20"/>
          <w:color w:val="auto"/>
        </w:rPr>
      </w:pPr>
    </w:p>
    <w:p>
      <w:pPr>
        <w:ind w:left="1480" w:right="220" w:hanging="842"/>
        <w:spacing w:after="0" w:line="272" w:lineRule="auto"/>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190246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62">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148"/>
        </w:trPr>
        <w:tc>
          <w:tcPr>
            <w:tcW w:w="20" w:type="dxa"/>
            <w:vAlign w:val="bottom"/>
          </w:tcPr>
          <w:p>
            <w:pPr>
              <w:spacing w:after="0"/>
              <w:rPr>
                <w:sz w:val="12"/>
                <w:szCs w:val="12"/>
                <w:color w:val="auto"/>
              </w:rPr>
            </w:pPr>
          </w:p>
        </w:tc>
        <w:tc>
          <w:tcPr>
            <w:tcW w:w="17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Exhibit 97 to the Alkermes</w:t>
            </w:r>
          </w:p>
        </w:tc>
        <w:tc>
          <w:tcPr>
            <w:tcW w:w="16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February 21, 2024</w:t>
            </w:r>
          </w:p>
        </w:tc>
      </w:tr>
      <w:tr>
        <w:trPr>
          <w:trHeight w:val="172"/>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plc Annual Report on Form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10-K (File No. 001-35299)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103" w:lineRule="exact"/>
        <w:rPr>
          <w:sz w:val="20"/>
          <w:szCs w:val="20"/>
          <w:color w:val="auto"/>
        </w:rPr>
      </w:pPr>
    </w:p>
    <w:p>
      <w:pPr>
        <w:sectPr>
          <w:pgSz w:w="11900" w:h="16838" w:orient="portrait"/>
          <w:cols w:equalWidth="0" w:num="2">
            <w:col w:w="5220" w:space="160"/>
            <w:col w:w="3639"/>
          </w:cols>
          <w:pgMar w:left="1440" w:top="958" w:right="1440" w:bottom="1440" w:gutter="0" w:footer="0" w:header="0"/>
        </w:sectPr>
      </w:pPr>
    </w:p>
    <w:p>
      <w:pPr>
        <w:ind w:left="1480" w:hanging="842"/>
        <w:spacing w:after="0"/>
        <w:tabs>
          <w:tab w:leader="none" w:pos="1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65" w:lineRule="exact"/>
        <w:rPr>
          <w:sz w:val="20"/>
          <w:szCs w:val="20"/>
          <w:color w:val="auto"/>
        </w:rPr>
      </w:pPr>
    </w:p>
    <w:p>
      <w:pPr>
        <w:ind w:left="1480" w:hanging="842"/>
        <w:spacing w:after="0"/>
        <w:tabs>
          <w:tab w:leader="none" w:pos="1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65" w:lineRule="exact"/>
        <w:rPr>
          <w:sz w:val="20"/>
          <w:szCs w:val="20"/>
          <w:color w:val="auto"/>
        </w:rPr>
      </w:pPr>
    </w:p>
    <w:p>
      <w:pPr>
        <w:ind w:left="1480" w:hanging="842"/>
        <w:spacing w:after="0"/>
        <w:tabs>
          <w:tab w:leader="none" w:pos="1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65" w:lineRule="exact"/>
        <w:rPr>
          <w:sz w:val="20"/>
          <w:szCs w:val="20"/>
          <w:color w:val="auto"/>
        </w:rPr>
      </w:pPr>
    </w:p>
    <w:p>
      <w:pPr>
        <w:ind w:left="1480" w:right="759" w:hanging="842"/>
        <w:spacing w:after="0" w:line="292" w:lineRule="auto"/>
        <w:tabs>
          <w:tab w:leader="none" w:pos="1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treatment has been granted or requested for certain portions of this exhibit. Such portions have been filed separately with the SEC pursuant to a confidential treatment request.</w:t>
      </w:r>
    </w:p>
    <w:p>
      <w:pPr>
        <w:spacing w:after="0" w:line="6" w:lineRule="exact"/>
        <w:rPr>
          <w:sz w:val="20"/>
          <w:szCs w:val="20"/>
          <w:color w:val="auto"/>
        </w:rPr>
      </w:pPr>
    </w:p>
    <w:p>
      <w:pPr>
        <w:ind w:left="1480" w:right="1139" w:hanging="842"/>
        <w:spacing w:after="0" w:line="292" w:lineRule="auto"/>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 have been omitted pursuant to Item 601(b) of Regulation S-K. The Company undertakes to furnish an unredacted copy of this exhibit upon request by the SEC.</w:t>
      </w:r>
    </w:p>
    <w:p>
      <w:pPr>
        <w:spacing w:after="0" w:line="6" w:lineRule="exact"/>
        <w:rPr>
          <w:sz w:val="20"/>
          <w:szCs w:val="20"/>
          <w:color w:val="auto"/>
        </w:rPr>
      </w:pPr>
    </w:p>
    <w:p>
      <w:pPr>
        <w:ind w:left="1480" w:right="719" w:hanging="842"/>
        <w:spacing w:after="0" w:line="292" w:lineRule="auto"/>
        <w:tabs>
          <w:tab w:leader="none" w:pos="1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similar attachments to this exhibit have been omitted pursuant to Item 601(a)(5) of Regulation S-K. The Company undertakes to furnish copies of any omitted schedules and similar attachments upon request by the SEC.</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0070C0"/>
        </w:rPr>
        <w:t xml:space="preserve">Item 16. </w:t>
      </w:r>
      <w:r>
        <w:rPr>
          <w:rFonts w:ascii="Times New Roman" w:cs="Times New Roman" w:eastAsia="Times New Roman" w:hAnsi="Times New Roman"/>
          <w:sz w:val="14"/>
          <w:szCs w:val="14"/>
          <w:b w:val="1"/>
          <w:bCs w:val="1"/>
          <w:i w:val="1"/>
          <w:iCs w:val="1"/>
          <w:color w:val="0070C0"/>
        </w:rPr>
        <w:t>Form 10-K Summary</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0070C0"/>
        </w:rPr>
        <w:t>SIGNATURES</w:t>
      </w:r>
    </w:p>
    <w:p>
      <w:pPr>
        <w:spacing w:after="0" w:line="163" w:lineRule="exact"/>
        <w:rPr>
          <w:sz w:val="20"/>
          <w:szCs w:val="20"/>
          <w:color w:val="auto"/>
        </w:rPr>
      </w:pPr>
    </w:p>
    <w:p>
      <w:pPr>
        <w:ind w:left="640" w:right="73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ALKERMES PLC</w:t>
      </w:r>
    </w:p>
    <w:p>
      <w:pPr>
        <w:spacing w:after="0" w:line="107" w:lineRule="exact"/>
        <w:rPr>
          <w:sz w:val="20"/>
          <w:szCs w:val="20"/>
          <w:color w:val="auto"/>
        </w:rPr>
      </w:pPr>
    </w:p>
    <w:tbl>
      <w:tblPr>
        <w:tblLayout w:type="fixed"/>
        <w:tblInd w:w="4500" w:type="dxa"/>
        <w:tblCellMar>
          <w:top w:w="0" w:type="dxa"/>
          <w:left w:w="0" w:type="dxa"/>
          <w:bottom w:w="0" w:type="dxa"/>
          <w:right w:w="0" w:type="dxa"/>
        </w:tblCellMar>
      </w:tblPr>
      <w:tr>
        <w:trPr>
          <w:trHeight w:val="186"/>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w:t>
            </w:r>
            <w:r>
              <w:rPr>
                <w:rFonts w:ascii="Times New Roman" w:cs="Times New Roman" w:eastAsia="Times New Roman" w:hAnsi="Times New Roman"/>
                <w:sz w:val="9"/>
                <w:szCs w:val="9"/>
                <w:color w:val="auto"/>
              </w:rPr>
              <w:t>ichard</w:t>
            </w:r>
            <w:r>
              <w:rPr>
                <w:rFonts w:ascii="Times New Roman" w:cs="Times New Roman" w:eastAsia="Times New Roman" w:hAnsi="Times New Roman"/>
                <w:sz w:val="14"/>
                <w:szCs w:val="14"/>
                <w:color w:val="auto"/>
              </w:rPr>
              <w:t xml:space="preserve"> F. P</w:t>
            </w:r>
            <w:r>
              <w:rPr>
                <w:rFonts w:ascii="Times New Roman" w:cs="Times New Roman" w:eastAsia="Times New Roman" w:hAnsi="Times New Roman"/>
                <w:sz w:val="9"/>
                <w:szCs w:val="9"/>
                <w:color w:val="auto"/>
              </w:rPr>
              <w:t>ops</w:t>
            </w:r>
          </w:p>
        </w:tc>
      </w:tr>
      <w:tr>
        <w:trPr>
          <w:trHeight w:val="168"/>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F. Pops</w:t>
            </w:r>
          </w:p>
        </w:tc>
      </w:tr>
      <w:tr>
        <w:trPr>
          <w:trHeight w:val="188"/>
        </w:trPr>
        <w:tc>
          <w:tcPr>
            <w:tcW w:w="2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Chairman and Chief Executive Officer</w:t>
            </w:r>
          </w:p>
        </w:tc>
      </w:tr>
    </w:tbl>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February 25, 2026</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70C0"/>
        </w:rPr>
        <w:t>POWER OF ATTORNEY</w:t>
      </w:r>
    </w:p>
    <w:p>
      <w:pPr>
        <w:spacing w:after="0" w:line="120"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4" w:lineRule="exact"/>
        <w:rPr>
          <w:sz w:val="20"/>
          <w:szCs w:val="20"/>
          <w:color w:val="auto"/>
        </w:rPr>
      </w:pPr>
    </w:p>
    <w:p>
      <w:pPr>
        <w:jc w:val="both"/>
        <w:ind w:left="640" w:right="979" w:firstLine="351"/>
        <w:spacing w:after="0" w:line="265" w:lineRule="auto"/>
        <w:rPr>
          <w:sz w:val="20"/>
          <w:szCs w:val="20"/>
          <w:color w:val="auto"/>
        </w:rPr>
      </w:pPr>
      <w:r>
        <w:rPr>
          <w:rFonts w:ascii="Times New Roman" w:cs="Times New Roman" w:eastAsia="Times New Roman" w:hAnsi="Times New Roman"/>
          <w:sz w:val="14"/>
          <w:szCs w:val="14"/>
          <w:color w:val="auto"/>
        </w:rPr>
        <w:t>Each person whose signature appears below in so signing also makes, constitutes and appoints Richard F. Pops and Joshua Reed, and each of them, his true and lawful attorney-in-fact, with full power of substitution, for him in any and all capacities, to execute and cause to be filed with the Securities and Exchange Commission any and all amendments to this Annual Report, with exhibits thereto and other documents in connection therewith, and hereby ratifies and confirms all that said attorney-in-fact or his substitute or substitutes may do or cause to be done by virtue hereof.</w:t>
      </w:r>
    </w:p>
    <w:p>
      <w:pPr>
        <w:sectPr>
          <w:pgSz w:w="11900" w:h="16838" w:orient="portrait"/>
          <w:cols w:equalWidth="0" w:num="1">
            <w:col w:w="9019"/>
          </w:cols>
          <w:pgMar w:left="1440" w:top="950" w:right="1440" w:bottom="1440" w:gutter="0" w:footer="0" w:header="0"/>
        </w:sectPr>
      </w:pPr>
    </w:p>
    <w:p>
      <w:pPr>
        <w:spacing w:after="0" w:line="1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104"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R</w:t>
      </w:r>
      <w:r>
        <w:rPr>
          <w:rFonts w:ascii="Times New Roman" w:cs="Times New Roman" w:eastAsia="Times New Roman" w:hAnsi="Times New Roman"/>
          <w:sz w:val="9"/>
          <w:szCs w:val="9"/>
          <w:color w:val="auto"/>
        </w:rPr>
        <w:t>ichard</w:t>
      </w:r>
      <w:r>
        <w:rPr>
          <w:rFonts w:ascii="Times New Roman" w:cs="Times New Roman" w:eastAsia="Times New Roman" w:hAnsi="Times New Roman"/>
          <w:sz w:val="14"/>
          <w:szCs w:val="14"/>
          <w:color w:val="auto"/>
        </w:rPr>
        <w:t xml:space="preserve"> F. P</w:t>
      </w:r>
      <w:r>
        <w:rPr>
          <w:rFonts w:ascii="Times New Roman" w:cs="Times New Roman" w:eastAsia="Times New Roman" w:hAnsi="Times New Roman"/>
          <w:sz w:val="9"/>
          <w:szCs w:val="9"/>
          <w:color w:val="auto"/>
        </w:rPr>
        <w:t>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4">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Richard F. Pops</w:t>
      </w:r>
    </w:p>
    <w:p>
      <w:pPr>
        <w:spacing w:after="0" w:line="11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J</w:t>
      </w:r>
      <w:r>
        <w:rPr>
          <w:rFonts w:ascii="Times New Roman" w:cs="Times New Roman" w:eastAsia="Times New Roman" w:hAnsi="Times New Roman"/>
          <w:sz w:val="9"/>
          <w:szCs w:val="9"/>
          <w:color w:val="auto"/>
        </w:rPr>
        <w:t>oshua</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9"/>
          <w:szCs w:val="9"/>
          <w:color w:val="auto"/>
        </w:rPr>
        <w: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5">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Joshua Reed</w:t>
      </w:r>
    </w:p>
    <w:p>
      <w:pPr>
        <w:spacing w:after="0" w:line="11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S</w:t>
      </w:r>
      <w:r>
        <w:rPr>
          <w:rFonts w:ascii="Times New Roman" w:cs="Times New Roman" w:eastAsia="Times New Roman" w:hAnsi="Times New Roman"/>
          <w:sz w:val="9"/>
          <w:szCs w:val="9"/>
          <w:color w:val="auto"/>
        </w:rPr>
        <w:t>amuel</w:t>
      </w:r>
      <w:r>
        <w:rPr>
          <w:rFonts w:ascii="Times New Roman" w:cs="Times New Roman" w:eastAsia="Times New Roman" w:hAnsi="Times New Roman"/>
          <w:sz w:val="14"/>
          <w:szCs w:val="14"/>
          <w:color w:val="auto"/>
        </w:rPr>
        <w:t xml:space="preserve"> J. P</w:t>
      </w:r>
      <w:r>
        <w:rPr>
          <w:rFonts w:ascii="Times New Roman" w:cs="Times New Roman" w:eastAsia="Times New Roman" w:hAnsi="Times New Roman"/>
          <w:sz w:val="9"/>
          <w:szCs w:val="9"/>
          <w:color w:val="auto"/>
        </w:rPr>
        <w:t>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6">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Samuel J. Parisi</w:t>
      </w:r>
    </w:p>
    <w:p>
      <w:pPr>
        <w:spacing w:after="0" w:line="11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S</w:t>
      </w:r>
      <w:r>
        <w:rPr>
          <w:rFonts w:ascii="Times New Roman" w:cs="Times New Roman" w:eastAsia="Times New Roman" w:hAnsi="Times New Roman"/>
          <w:sz w:val="9"/>
          <w:szCs w:val="9"/>
          <w:color w:val="auto"/>
        </w:rPr>
        <w:t>hane</w:t>
      </w:r>
      <w:r>
        <w:rPr>
          <w:rFonts w:ascii="Times New Roman" w:cs="Times New Roman" w:eastAsia="Times New Roman" w:hAnsi="Times New Roman"/>
          <w:sz w:val="14"/>
          <w:szCs w:val="14"/>
          <w:color w:val="auto"/>
        </w:rPr>
        <w:t xml:space="preserve"> M. C</w:t>
      </w:r>
      <w:r>
        <w:rPr>
          <w:rFonts w:ascii="Times New Roman" w:cs="Times New Roman" w:eastAsia="Times New Roman" w:hAnsi="Times New Roman"/>
          <w:sz w:val="9"/>
          <w:szCs w:val="9"/>
          <w:color w:val="auto"/>
        </w:rPr>
        <w:t>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7">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Shane M. Cooke</w:t>
      </w:r>
    </w:p>
    <w:p>
      <w:pPr>
        <w:spacing w:after="0" w:line="11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R</w:t>
      </w:r>
      <w:r>
        <w:rPr>
          <w:rFonts w:ascii="Times New Roman" w:cs="Times New Roman" w:eastAsia="Times New Roman" w:hAnsi="Times New Roman"/>
          <w:sz w:val="9"/>
          <w:szCs w:val="9"/>
          <w:color w:val="auto"/>
        </w:rPr>
        <w:t>ichard</w:t>
      </w:r>
      <w:r>
        <w:rPr>
          <w:rFonts w:ascii="Times New Roman" w:cs="Times New Roman" w:eastAsia="Times New Roman" w:hAnsi="Times New Roman"/>
          <w:sz w:val="14"/>
          <w:szCs w:val="14"/>
          <w:color w:val="auto"/>
        </w:rPr>
        <w:t xml:space="preserve"> B. G</w:t>
      </w:r>
      <w:r>
        <w:rPr>
          <w:rFonts w:ascii="Times New Roman" w:cs="Times New Roman" w:eastAsia="Times New Roman" w:hAnsi="Times New Roman"/>
          <w:sz w:val="9"/>
          <w:szCs w:val="9"/>
          <w:color w:val="auto"/>
        </w:rPr>
        <w:t>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8">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Richard B. Gaynor</w:t>
      </w:r>
    </w:p>
    <w:p>
      <w:pPr>
        <w:spacing w:after="0" w:line="11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C</w:t>
      </w:r>
      <w:r>
        <w:rPr>
          <w:rFonts w:ascii="Times New Roman" w:cs="Times New Roman" w:eastAsia="Times New Roman" w:hAnsi="Times New Roman"/>
          <w:sz w:val="9"/>
          <w:szCs w:val="9"/>
          <w:color w:val="auto"/>
        </w:rPr>
        <w:t>ato</w:t>
      </w:r>
      <w:r>
        <w:rPr>
          <w:rFonts w:ascii="Times New Roman" w:cs="Times New Roman" w:eastAsia="Times New Roman" w:hAnsi="Times New Roman"/>
          <w:sz w:val="14"/>
          <w:szCs w:val="14"/>
          <w:color w:val="auto"/>
        </w:rPr>
        <w:t xml:space="preserve"> T. L</w:t>
      </w:r>
      <w:r>
        <w:rPr>
          <w:rFonts w:ascii="Times New Roman" w:cs="Times New Roman" w:eastAsia="Times New Roman" w:hAnsi="Times New Roman"/>
          <w:sz w:val="9"/>
          <w:szCs w:val="9"/>
          <w:color w:val="auto"/>
        </w:rPr>
        <w:t>aurencin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9">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1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Cato T. Laurencin</w:t>
      </w:r>
    </w:p>
    <w:p>
      <w:pPr>
        <w:spacing w:after="0" w:line="10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N</w:t>
      </w:r>
      <w:r>
        <w:rPr>
          <w:rFonts w:ascii="Times New Roman" w:cs="Times New Roman" w:eastAsia="Times New Roman" w:hAnsi="Times New Roman"/>
          <w:sz w:val="9"/>
          <w:szCs w:val="9"/>
          <w:color w:val="auto"/>
        </w:rPr>
        <w:t>ancy</w:t>
      </w:r>
      <w:r>
        <w:rPr>
          <w:rFonts w:ascii="Times New Roman" w:cs="Times New Roman" w:eastAsia="Times New Roman" w:hAnsi="Times New Roman"/>
          <w:sz w:val="14"/>
          <w:szCs w:val="14"/>
          <w:color w:val="auto"/>
        </w:rPr>
        <w:t xml:space="preserve"> S. L</w:t>
      </w:r>
      <w:r>
        <w:rPr>
          <w:rFonts w:ascii="Times New Roman" w:cs="Times New Roman" w:eastAsia="Times New Roman" w:hAnsi="Times New Roman"/>
          <w:sz w:val="9"/>
          <w:szCs w:val="9"/>
          <w:color w:val="auto"/>
        </w:rPr>
        <w:t>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0">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Nancy S. Lurker</w:t>
      </w:r>
    </w:p>
    <w:p>
      <w:pPr>
        <w:spacing w:after="0" w:line="1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B</w:t>
      </w:r>
      <w:r>
        <w:rPr>
          <w:rFonts w:ascii="Times New Roman" w:cs="Times New Roman" w:eastAsia="Times New Roman" w:hAnsi="Times New Roman"/>
          <w:sz w:val="9"/>
          <w:szCs w:val="9"/>
          <w:color w:val="auto"/>
        </w:rPr>
        <w:t>rian</w:t>
      </w:r>
      <w:r>
        <w:rPr>
          <w:rFonts w:ascii="Times New Roman" w:cs="Times New Roman" w:eastAsia="Times New Roman" w:hAnsi="Times New Roman"/>
          <w:sz w:val="14"/>
          <w:szCs w:val="14"/>
          <w:color w:val="auto"/>
        </w:rPr>
        <w:t xml:space="preserve"> P. M</w:t>
      </w:r>
      <w:r>
        <w:rPr>
          <w:rFonts w:ascii="Times New Roman" w:cs="Times New Roman" w:eastAsia="Times New Roman" w:hAnsi="Times New Roman"/>
          <w:sz w:val="9"/>
          <w:szCs w:val="9"/>
          <w:color w:val="auto"/>
        </w:rPr>
        <w:t>c</w:t>
      </w:r>
      <w:r>
        <w:rPr>
          <w:rFonts w:ascii="Times New Roman" w:cs="Times New Roman" w:eastAsia="Times New Roman" w:hAnsi="Times New Roman"/>
          <w:sz w:val="14"/>
          <w:szCs w:val="14"/>
          <w:color w:val="auto"/>
        </w:rPr>
        <w:t>K</w:t>
      </w:r>
      <w:r>
        <w:rPr>
          <w:rFonts w:ascii="Times New Roman" w:cs="Times New Roman" w:eastAsia="Times New Roman" w:hAnsi="Times New Roman"/>
          <w:sz w:val="9"/>
          <w:szCs w:val="9"/>
          <w:color w:val="auto"/>
        </w:rPr>
        <w:t>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1">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Brian P. McKeon</w:t>
      </w:r>
    </w:p>
    <w:p>
      <w:pPr>
        <w:spacing w:after="0" w:line="11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N</w:t>
      </w:r>
      <w:r>
        <w:rPr>
          <w:rFonts w:ascii="Times New Roman" w:cs="Times New Roman" w:eastAsia="Times New Roman" w:hAnsi="Times New Roman"/>
          <w:sz w:val="9"/>
          <w:szCs w:val="9"/>
          <w:color w:val="auto"/>
        </w:rPr>
        <w:t>ancy</w:t>
      </w:r>
      <w:r>
        <w:rPr>
          <w:rFonts w:ascii="Times New Roman" w:cs="Times New Roman" w:eastAsia="Times New Roman" w:hAnsi="Times New Roman"/>
          <w:sz w:val="14"/>
          <w:szCs w:val="14"/>
          <w:color w:val="auto"/>
        </w:rPr>
        <w:t xml:space="preserve"> L. S</w:t>
      </w:r>
      <w:r>
        <w:rPr>
          <w:rFonts w:ascii="Times New Roman" w:cs="Times New Roman" w:eastAsia="Times New Roman" w:hAnsi="Times New Roman"/>
          <w:sz w:val="9"/>
          <w:szCs w:val="9"/>
          <w:color w:val="auto"/>
        </w:rPr>
        <w:t>nyderman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72">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Nancy L. Snyderman</w:t>
      </w:r>
    </w:p>
    <w:p>
      <w:pPr>
        <w:spacing w:after="0" w:line="11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F</w:t>
      </w:r>
      <w:r>
        <w:rPr>
          <w:rFonts w:ascii="Times New Roman" w:cs="Times New Roman" w:eastAsia="Times New Roman" w:hAnsi="Times New Roman"/>
          <w:sz w:val="9"/>
          <w:szCs w:val="9"/>
          <w:color w:val="auto"/>
        </w:rPr>
        <w:t>rank</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9"/>
          <w:szCs w:val="9"/>
          <w:color w:val="auto"/>
        </w:rPr>
        <w:t>nders</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3">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Frank Anders Wilson</w:t>
      </w:r>
    </w:p>
    <w:p>
      <w:pPr>
        <w:spacing w:after="0" w:line="11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color w:val="auto"/>
        </w:rPr>
        <w:t>/s/ C</w:t>
      </w:r>
      <w:r>
        <w:rPr>
          <w:rFonts w:ascii="Times New Roman" w:cs="Times New Roman" w:eastAsia="Times New Roman" w:hAnsi="Times New Roman"/>
          <w:sz w:val="9"/>
          <w:szCs w:val="9"/>
          <w:color w:val="auto"/>
        </w:rPr>
        <w:t>hristopher</w:t>
      </w:r>
      <w:r>
        <w:rPr>
          <w:rFonts w:ascii="Times New Roman" w:cs="Times New Roman" w:eastAsia="Times New Roman" w:hAnsi="Times New Roman"/>
          <w:sz w:val="14"/>
          <w:szCs w:val="14"/>
          <w:color w:val="auto"/>
        </w:rPr>
        <w:t xml:space="preserve"> I. W</w:t>
      </w:r>
      <w:r>
        <w:rPr>
          <w:rFonts w:ascii="Times New Roman" w:cs="Times New Roman" w:eastAsia="Times New Roman" w:hAnsi="Times New Roman"/>
          <w:sz w:val="9"/>
          <w:szCs w:val="9"/>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16510</wp:posOffset>
            </wp:positionV>
            <wp:extent cx="151384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4">
                      <a:extLst>
                        <a:ext uri="{28A0092B-C50C-407E-A947-70E740481C1C}"/>
                      </a:extLst>
                    </a:blip>
                    <a:srcRect/>
                    <a:stretch>
                      <a:fillRect/>
                    </a:stretch>
                  </pic:blipFill>
                  <pic:spPr bwMode="auto">
                    <a:xfrm>
                      <a:off x="0" y="0"/>
                      <a:ext cx="1513840" cy="6985"/>
                    </a:xfrm>
                    <a:prstGeom prst="rect">
                      <a:avLst/>
                    </a:prstGeom>
                    <a:noFill/>
                  </pic:spPr>
                </pic:pic>
              </a:graphicData>
            </a:graphic>
          </wp:anchor>
        </w:drawing>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Christopher I. Wright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11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Chairman and Chief Executive Officer (Principal Executive Officer)</w:t>
      </w:r>
    </w:p>
    <w:p>
      <w:pPr>
        <w:spacing w:after="0" w:line="92"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4"/>
          <w:szCs w:val="14"/>
          <w:color w:val="auto"/>
        </w:rPr>
        <w:t>Senior Vice President, Chief Financial Officer (Principal Financial Officer)</w:t>
      </w:r>
    </w:p>
    <w:p>
      <w:pPr>
        <w:spacing w:after="0" w:line="92"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4"/>
          <w:szCs w:val="14"/>
          <w:color w:val="auto"/>
        </w:rPr>
        <w:t>Vice President, Finance (Interim Principal Accounting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b w:val="1"/>
          <w:bCs w:val="1"/>
          <w:color w:val="auto"/>
        </w:rPr>
        <w:t>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07" w:lineRule="exact"/>
        <w:rPr>
          <w:sz w:val="20"/>
          <w:szCs w:val="20"/>
          <w:color w:val="auto"/>
        </w:rPr>
      </w:pPr>
    </w:p>
    <w:p>
      <w:pPr>
        <w:sectPr>
          <w:pgSz w:w="11900" w:h="16838" w:orient="portrait"/>
          <w:cols w:equalWidth="0" w:num="3">
            <w:col w:w="2560" w:space="620"/>
            <w:col w:w="3420" w:space="520"/>
            <w:col w:w="1899"/>
          </w:cols>
          <w:pgMar w:left="1440" w:top="950" w:right="1440" w:bottom="1440" w:gutter="0" w:footer="0" w:header="0"/>
          <w:type w:val="continuous"/>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type w:val="continuous"/>
        </w:sectPr>
      </w:pPr>
    </w:p>
    <w:bookmarkStart w:id="86" w:name="page87"/>
    <w:bookmarkEnd w:id="86"/>
    <w:p>
      <w:pPr>
        <w:ind w:left="2360"/>
        <w:spacing w:after="0"/>
        <w:rPr>
          <w:sz w:val="20"/>
          <w:szCs w:val="20"/>
          <w:color w:val="auto"/>
        </w:rPr>
      </w:pPr>
      <w:r>
        <w:rPr>
          <w:rFonts w:ascii="Georgia" w:cs="Georgia" w:eastAsia="Georgia" w:hAnsi="Georgia"/>
          <w:sz w:val="14"/>
          <w:szCs w:val="14"/>
          <w:b w:val="1"/>
          <w:bCs w:val="1"/>
          <w:color w:val="auto"/>
        </w:rPr>
        <w:t>Report of Independent Registered Public Accounting Firm</w:t>
      </w:r>
    </w:p>
    <w:p>
      <w:pPr>
        <w:spacing w:after="0" w:line="163" w:lineRule="exact"/>
        <w:rPr>
          <w:sz w:val="20"/>
          <w:szCs w:val="20"/>
          <w:color w:val="auto"/>
        </w:rPr>
      </w:pPr>
    </w:p>
    <w:p>
      <w:pPr>
        <w:ind w:left="640"/>
        <w:spacing w:after="0"/>
        <w:rPr>
          <w:sz w:val="20"/>
          <w:szCs w:val="20"/>
          <w:color w:val="auto"/>
        </w:rPr>
      </w:pPr>
      <w:r>
        <w:rPr>
          <w:rFonts w:ascii="Georgia" w:cs="Georgia" w:eastAsia="Georgia" w:hAnsi="Georgia"/>
          <w:sz w:val="14"/>
          <w:szCs w:val="14"/>
          <w:color w:val="auto"/>
        </w:rPr>
        <w:t>To the Board of Directors and Shareholders of Alkermes plc</w:t>
      </w:r>
    </w:p>
    <w:p>
      <w:pPr>
        <w:spacing w:after="0" w:line="152" w:lineRule="exact"/>
        <w:rPr>
          <w:sz w:val="20"/>
          <w:szCs w:val="20"/>
          <w:color w:val="auto"/>
        </w:rPr>
      </w:pPr>
    </w:p>
    <w:p>
      <w:pPr>
        <w:ind w:left="640"/>
        <w:spacing w:after="0"/>
        <w:rPr>
          <w:sz w:val="20"/>
          <w:szCs w:val="20"/>
          <w:color w:val="auto"/>
        </w:rPr>
      </w:pPr>
      <w:r>
        <w:rPr>
          <w:rFonts w:ascii="Georgia" w:cs="Georgia" w:eastAsia="Georgia" w:hAnsi="Georgia"/>
          <w:sz w:val="14"/>
          <w:szCs w:val="14"/>
          <w:b w:val="1"/>
          <w:bCs w:val="1"/>
          <w:i w:val="1"/>
          <w:iCs w:val="1"/>
          <w:color w:val="auto"/>
        </w:rPr>
        <w:t>Opinions on the Financial Statements and Internal Control over Financial Reporting</w:t>
      </w:r>
    </w:p>
    <w:p>
      <w:pPr>
        <w:spacing w:after="0" w:line="142" w:lineRule="exact"/>
        <w:rPr>
          <w:sz w:val="20"/>
          <w:szCs w:val="20"/>
          <w:color w:val="auto"/>
        </w:rPr>
      </w:pPr>
    </w:p>
    <w:p>
      <w:pPr>
        <w:ind w:left="640" w:right="659"/>
        <w:spacing w:after="0" w:line="243" w:lineRule="auto"/>
        <w:rPr>
          <w:sz w:val="20"/>
          <w:szCs w:val="20"/>
          <w:color w:val="auto"/>
        </w:rPr>
      </w:pPr>
      <w:r>
        <w:rPr>
          <w:rFonts w:ascii="Georgia" w:cs="Georgia" w:eastAsia="Georgia" w:hAnsi="Georgia"/>
          <w:sz w:val="14"/>
          <w:szCs w:val="14"/>
          <w:color w:val="auto"/>
        </w:rPr>
        <w:t xml:space="preserve">We have audited the accompanying consolidated balance sheets of Alkermes plc and its subsidiaries (the "Company") as of December 31, 2025 and 2024, and the related consolidated statements of operations and comprehensive income,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Georgia" w:cs="Georgia" w:eastAsia="Georgia" w:hAnsi="Georgia"/>
          <w:sz w:val="14"/>
          <w:szCs w:val="14"/>
          <w:i w:val="1"/>
          <w:iCs w:val="1"/>
          <w:color w:val="auto"/>
        </w:rPr>
        <w:t>Internal Control -</w:t>
      </w:r>
      <w:r>
        <w:rPr>
          <w:rFonts w:ascii="Georgia" w:cs="Georgia" w:eastAsia="Georgia" w:hAnsi="Georgia"/>
          <w:sz w:val="14"/>
          <w:szCs w:val="14"/>
          <w:color w:val="auto"/>
        </w:rPr>
        <w:t xml:space="preserve"> </w:t>
      </w:r>
      <w:r>
        <w:rPr>
          <w:rFonts w:ascii="Georgia" w:cs="Georgia" w:eastAsia="Georgia" w:hAnsi="Georgia"/>
          <w:sz w:val="14"/>
          <w:szCs w:val="14"/>
          <w:i w:val="1"/>
          <w:iCs w:val="1"/>
          <w:color w:val="auto"/>
        </w:rPr>
        <w:t xml:space="preserve">Integrated Framework </w:t>
      </w:r>
      <w:r>
        <w:rPr>
          <w:rFonts w:ascii="Georgia" w:cs="Georgia" w:eastAsia="Georgia" w:hAnsi="Georgia"/>
          <w:sz w:val="14"/>
          <w:szCs w:val="14"/>
          <w:color w:val="auto"/>
        </w:rPr>
        <w:t>(2013) issued by the Committee of Sponsoring Organizations of the Treadway Commission</w:t>
      </w:r>
      <w:r>
        <w:rPr>
          <w:rFonts w:ascii="Georgia" w:cs="Georgia" w:eastAsia="Georgia" w:hAnsi="Georgia"/>
          <w:sz w:val="14"/>
          <w:szCs w:val="14"/>
          <w:i w:val="1"/>
          <w:iCs w:val="1"/>
          <w:color w:val="auto"/>
        </w:rPr>
        <w:t xml:space="preserve"> </w:t>
      </w:r>
      <w:r>
        <w:rPr>
          <w:rFonts w:ascii="Georgia" w:cs="Georgia" w:eastAsia="Georgia" w:hAnsi="Georgia"/>
          <w:sz w:val="14"/>
          <w:szCs w:val="14"/>
          <w:color w:val="auto"/>
        </w:rPr>
        <w:t>(COSO).</w:t>
      </w:r>
    </w:p>
    <w:p>
      <w:pPr>
        <w:spacing w:after="0" w:line="279" w:lineRule="exact"/>
        <w:rPr>
          <w:sz w:val="20"/>
          <w:szCs w:val="20"/>
          <w:color w:val="auto"/>
        </w:rPr>
      </w:pPr>
    </w:p>
    <w:p>
      <w:pPr>
        <w:ind w:left="640" w:right="679"/>
        <w:spacing w:after="0" w:line="243" w:lineRule="auto"/>
        <w:rPr>
          <w:sz w:val="20"/>
          <w:szCs w:val="20"/>
          <w:color w:val="auto"/>
        </w:rPr>
      </w:pPr>
      <w:r>
        <w:rPr>
          <w:rFonts w:ascii="Georgia" w:cs="Georgia" w:eastAsia="Georgia" w:hAnsi="Georgia"/>
          <w:sz w:val="14"/>
          <w:szCs w:val="14"/>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Georgia" w:cs="Georgia" w:eastAsia="Georgia" w:hAnsi="Georgia"/>
          <w:sz w:val="14"/>
          <w:szCs w:val="14"/>
          <w:i w:val="1"/>
          <w:iCs w:val="1"/>
          <w:color w:val="auto"/>
        </w:rPr>
        <w:t>Internal Control - Integrated</w:t>
      </w:r>
      <w:r>
        <w:rPr>
          <w:rFonts w:ascii="Georgia" w:cs="Georgia" w:eastAsia="Georgia" w:hAnsi="Georgia"/>
          <w:sz w:val="14"/>
          <w:szCs w:val="14"/>
          <w:color w:val="auto"/>
        </w:rPr>
        <w:t xml:space="preserve"> </w:t>
      </w:r>
      <w:r>
        <w:rPr>
          <w:rFonts w:ascii="Georgia" w:cs="Georgia" w:eastAsia="Georgia" w:hAnsi="Georgia"/>
          <w:sz w:val="14"/>
          <w:szCs w:val="14"/>
          <w:i w:val="1"/>
          <w:iCs w:val="1"/>
          <w:color w:val="auto"/>
        </w:rPr>
        <w:t xml:space="preserve">Framework </w:t>
      </w:r>
      <w:r>
        <w:rPr>
          <w:rFonts w:ascii="Georgia" w:cs="Georgia" w:eastAsia="Georgia" w:hAnsi="Georgia"/>
          <w:sz w:val="14"/>
          <w:szCs w:val="14"/>
          <w:color w:val="auto"/>
        </w:rPr>
        <w:t>(2013) issued by the COSO.</w:t>
      </w:r>
    </w:p>
    <w:p>
      <w:pPr>
        <w:spacing w:after="0" w:line="108" w:lineRule="exact"/>
        <w:rPr>
          <w:sz w:val="20"/>
          <w:szCs w:val="20"/>
          <w:color w:val="auto"/>
        </w:rPr>
      </w:pPr>
    </w:p>
    <w:p>
      <w:pPr>
        <w:ind w:left="640"/>
        <w:spacing w:after="0"/>
        <w:rPr>
          <w:sz w:val="20"/>
          <w:szCs w:val="20"/>
          <w:color w:val="auto"/>
        </w:rPr>
      </w:pPr>
      <w:r>
        <w:rPr>
          <w:rFonts w:ascii="Georgia" w:cs="Georgia" w:eastAsia="Georgia" w:hAnsi="Georgia"/>
          <w:sz w:val="14"/>
          <w:szCs w:val="14"/>
          <w:b w:val="1"/>
          <w:bCs w:val="1"/>
          <w:i w:val="1"/>
          <w:iCs w:val="1"/>
          <w:color w:val="auto"/>
        </w:rPr>
        <w:t>Basis for Opinions</w:t>
      </w:r>
    </w:p>
    <w:p>
      <w:pPr>
        <w:spacing w:after="0" w:line="152" w:lineRule="exact"/>
        <w:rPr>
          <w:sz w:val="20"/>
          <w:szCs w:val="20"/>
          <w:color w:val="auto"/>
        </w:rPr>
      </w:pPr>
    </w:p>
    <w:p>
      <w:pPr>
        <w:ind w:left="640" w:right="719"/>
        <w:spacing w:after="0" w:line="243" w:lineRule="auto"/>
        <w:rPr>
          <w:sz w:val="20"/>
          <w:szCs w:val="20"/>
          <w:color w:val="auto"/>
        </w:rPr>
      </w:pPr>
      <w:r>
        <w:rPr>
          <w:rFonts w:ascii="Georgia" w:cs="Georgia" w:eastAsia="Georgia" w:hAnsi="Georgia"/>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ind w:left="640" w:right="779"/>
        <w:spacing w:after="0" w:line="244" w:lineRule="auto"/>
        <w:rPr>
          <w:sz w:val="20"/>
          <w:szCs w:val="20"/>
          <w:color w:val="auto"/>
        </w:rPr>
      </w:pPr>
      <w:r>
        <w:rPr>
          <w:rFonts w:ascii="Georgia" w:cs="Georgia" w:eastAsia="Georgia" w:hAnsi="Georgia"/>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6" w:lineRule="exact"/>
        <w:rPr>
          <w:sz w:val="20"/>
          <w:szCs w:val="20"/>
          <w:color w:val="auto"/>
        </w:rPr>
      </w:pPr>
    </w:p>
    <w:p>
      <w:pPr>
        <w:ind w:left="640" w:right="659"/>
        <w:spacing w:after="0" w:line="243" w:lineRule="auto"/>
        <w:rPr>
          <w:sz w:val="20"/>
          <w:szCs w:val="20"/>
          <w:color w:val="auto"/>
        </w:rPr>
      </w:pPr>
      <w:r>
        <w:rPr>
          <w:rFonts w:ascii="Georgia" w:cs="Georgia" w:eastAsia="Georgia" w:hAnsi="Georgia"/>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9" w:lineRule="exact"/>
        <w:rPr>
          <w:sz w:val="20"/>
          <w:szCs w:val="20"/>
          <w:color w:val="auto"/>
        </w:rPr>
      </w:pPr>
    </w:p>
    <w:p>
      <w:pPr>
        <w:ind w:left="640"/>
        <w:spacing w:after="0"/>
        <w:rPr>
          <w:sz w:val="20"/>
          <w:szCs w:val="20"/>
          <w:color w:val="auto"/>
        </w:rPr>
      </w:pPr>
      <w:r>
        <w:rPr>
          <w:rFonts w:ascii="Georgia" w:cs="Georgia" w:eastAsia="Georgia" w:hAnsi="Georgia"/>
          <w:sz w:val="14"/>
          <w:szCs w:val="14"/>
          <w:b w:val="1"/>
          <w:bCs w:val="1"/>
          <w:i w:val="1"/>
          <w:iCs w:val="1"/>
          <w:color w:val="auto"/>
        </w:rPr>
        <w:t>Definition and Limitations of Internal Control over Financial Reporting</w:t>
      </w:r>
    </w:p>
    <w:p>
      <w:pPr>
        <w:spacing w:after="0" w:line="142" w:lineRule="exact"/>
        <w:rPr>
          <w:sz w:val="20"/>
          <w:szCs w:val="20"/>
          <w:color w:val="auto"/>
        </w:rPr>
      </w:pPr>
    </w:p>
    <w:p>
      <w:pPr>
        <w:ind w:left="640" w:right="679"/>
        <w:spacing w:after="0" w:line="243" w:lineRule="auto"/>
        <w:rPr>
          <w:sz w:val="20"/>
          <w:szCs w:val="20"/>
          <w:color w:val="auto"/>
        </w:rPr>
      </w:pPr>
      <w:r>
        <w:rPr>
          <w:rFonts w:ascii="Georgia" w:cs="Georgia" w:eastAsia="Georgia" w:hAnsi="Georgia"/>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64" w:right="1440" w:bottom="1440" w:gutter="0" w:footer="0" w:header="0"/>
        </w:sectPr>
      </w:pPr>
    </w:p>
    <w:bookmarkStart w:id="87" w:name="page88"/>
    <w:bookmarkEnd w:id="87"/>
    <w:p>
      <w:pPr>
        <w:ind w:left="640" w:right="979"/>
        <w:spacing w:after="0" w:line="244" w:lineRule="auto"/>
        <w:rPr>
          <w:sz w:val="20"/>
          <w:szCs w:val="20"/>
          <w:color w:val="auto"/>
        </w:rPr>
      </w:pPr>
      <w:r>
        <w:rPr>
          <w:rFonts w:ascii="Georgia" w:cs="Georgia" w:eastAsia="Georgia" w:hAnsi="Georgia"/>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ind w:left="640"/>
        <w:spacing w:after="0"/>
        <w:rPr>
          <w:sz w:val="20"/>
          <w:szCs w:val="20"/>
          <w:color w:val="auto"/>
        </w:rPr>
      </w:pPr>
      <w:r>
        <w:rPr>
          <w:rFonts w:ascii="Georgia" w:cs="Georgia" w:eastAsia="Georgia" w:hAnsi="Georgia"/>
          <w:sz w:val="14"/>
          <w:szCs w:val="14"/>
          <w:b w:val="1"/>
          <w:bCs w:val="1"/>
          <w:i w:val="1"/>
          <w:iCs w:val="1"/>
          <w:color w:val="auto"/>
        </w:rPr>
        <w:t>Critical Audit Matters</w:t>
      </w:r>
    </w:p>
    <w:p>
      <w:pPr>
        <w:spacing w:after="0" w:line="142" w:lineRule="exact"/>
        <w:rPr>
          <w:sz w:val="20"/>
          <w:szCs w:val="20"/>
          <w:color w:val="auto"/>
        </w:rPr>
      </w:pPr>
    </w:p>
    <w:p>
      <w:pPr>
        <w:ind w:left="640" w:right="659"/>
        <w:spacing w:after="0" w:line="243" w:lineRule="auto"/>
        <w:rPr>
          <w:sz w:val="20"/>
          <w:szCs w:val="20"/>
          <w:color w:val="auto"/>
        </w:rPr>
      </w:pPr>
      <w:r>
        <w:rPr>
          <w:rFonts w:ascii="Georgia" w:cs="Georgia" w:eastAsia="Georgia" w:hAnsi="Georgia"/>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79" w:lineRule="exact"/>
        <w:rPr>
          <w:sz w:val="20"/>
          <w:szCs w:val="20"/>
          <w:color w:val="auto"/>
        </w:rPr>
      </w:pPr>
    </w:p>
    <w:p>
      <w:pPr>
        <w:ind w:left="640"/>
        <w:spacing w:after="0"/>
        <w:rPr>
          <w:sz w:val="20"/>
          <w:szCs w:val="20"/>
          <w:color w:val="auto"/>
        </w:rPr>
      </w:pPr>
      <w:r>
        <w:rPr>
          <w:rFonts w:ascii="Georgia" w:cs="Georgia" w:eastAsia="Georgia" w:hAnsi="Georgia"/>
          <w:sz w:val="14"/>
          <w:szCs w:val="14"/>
          <w:i w:val="1"/>
          <w:iCs w:val="1"/>
          <w:color w:val="auto"/>
        </w:rPr>
        <w:t>Rebate Accruals – Medicaid Drug Rebate Program</w:t>
      </w:r>
    </w:p>
    <w:p>
      <w:pPr>
        <w:spacing w:after="0" w:line="120" w:lineRule="exact"/>
        <w:rPr>
          <w:sz w:val="20"/>
          <w:szCs w:val="20"/>
          <w:color w:val="auto"/>
        </w:rPr>
      </w:pPr>
    </w:p>
    <w:p>
      <w:pPr>
        <w:ind w:left="640" w:right="679"/>
        <w:spacing w:after="0" w:line="243" w:lineRule="auto"/>
        <w:rPr>
          <w:sz w:val="20"/>
          <w:szCs w:val="20"/>
          <w:color w:val="auto"/>
        </w:rPr>
      </w:pPr>
      <w:r>
        <w:rPr>
          <w:rFonts w:ascii="Georgia" w:cs="Georgia" w:eastAsia="Georgia" w:hAnsi="Georgia"/>
          <w:sz w:val="14"/>
          <w:szCs w:val="14"/>
          <w:color w:val="auto"/>
        </w:rPr>
        <w:t>As described in Notes 2 and 10 to the consolidated financial statements, the Company’s revenues from product sales are recorded net of reserves established for applicable discounts and allowances that are offered within contracts with the Company’s customers, health care providers or payers. The Company records accruals for rebates to U.S. states under the Medicaid Drug Rebate Program as a reduction of sales when the product is shipped into the distribution channel using the expected value method. As of December 31, 2025, accrued Medicaid rebates were $186.1 million, of which a significant amount related to the Medicaid Drug Rebate Program.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w:t>
      </w:r>
    </w:p>
    <w:p>
      <w:pPr>
        <w:spacing w:after="0" w:line="108" w:lineRule="exact"/>
        <w:rPr>
          <w:sz w:val="20"/>
          <w:szCs w:val="20"/>
          <w:color w:val="auto"/>
        </w:rPr>
      </w:pPr>
    </w:p>
    <w:p>
      <w:pPr>
        <w:ind w:left="640" w:right="679"/>
        <w:spacing w:after="0" w:line="243" w:lineRule="auto"/>
        <w:rPr>
          <w:sz w:val="20"/>
          <w:szCs w:val="20"/>
          <w:color w:val="auto"/>
        </w:rPr>
      </w:pPr>
      <w:r>
        <w:rPr>
          <w:rFonts w:ascii="Georgia" w:cs="Georgia" w:eastAsia="Georgia" w:hAnsi="Georgia"/>
          <w:sz w:val="14"/>
          <w:szCs w:val="14"/>
          <w:color w:val="auto"/>
        </w:rPr>
        <w:t>The principal considerations for our determination that performing procedures relating to rebate accruals for the Medicaid Drug Rebate Program is a critical audit matter are (i) the significant judgment by management due to significant measurement uncertainty involved in developing the reserves, as the reserves are based on assumptions developed using historical experience, current contractual requirements, specific known market events and payment patterns and (ii) a high degree of auditor judgment, subjectivity and effort in applying procedures and evaluating evidence related to these assumptions.</w:t>
      </w:r>
    </w:p>
    <w:p>
      <w:pPr>
        <w:spacing w:after="0" w:line="118" w:lineRule="exact"/>
        <w:rPr>
          <w:sz w:val="20"/>
          <w:szCs w:val="20"/>
          <w:color w:val="auto"/>
        </w:rPr>
      </w:pPr>
    </w:p>
    <w:p>
      <w:pPr>
        <w:ind w:left="640" w:right="679"/>
        <w:spacing w:after="0" w:line="243" w:lineRule="auto"/>
        <w:rPr>
          <w:sz w:val="20"/>
          <w:szCs w:val="20"/>
          <w:color w:val="auto"/>
        </w:rPr>
      </w:pPr>
      <w:r>
        <w:rPr>
          <w:rFonts w:ascii="Georgia" w:cs="Georgia" w:eastAsia="Georgia" w:hAnsi="Georgia"/>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rebate accruals for the Medicaid Drug Rebate Program, including controls over the assumptions used to estimate the rebate accruals. These procedures also included, among others, (i) developing an independent estimate of the rebate accruals by utilizing third-party data related to product sales, the historical trend of actual rebate claims paid and consideration of contractual requirement changes and market events; (ii) comparing the independent estimate to management’s estimate; and (iii) testing rebate claims processed by the Company.</w:t>
      </w: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Georgia" w:cs="Georgia" w:eastAsia="Georgia" w:hAnsi="Georgia"/>
          <w:sz w:val="14"/>
          <w:szCs w:val="14"/>
          <w:color w:val="auto"/>
        </w:rPr>
        <w:t>/s/ PricewaterhouseCoopers LLP</w:t>
      </w:r>
    </w:p>
    <w:p>
      <w:pPr>
        <w:spacing w:after="0" w:line="174" w:lineRule="exact"/>
        <w:rPr>
          <w:sz w:val="20"/>
          <w:szCs w:val="20"/>
          <w:color w:val="auto"/>
        </w:rPr>
      </w:pPr>
    </w:p>
    <w:p>
      <w:pPr>
        <w:ind w:left="640"/>
        <w:spacing w:after="0"/>
        <w:rPr>
          <w:sz w:val="20"/>
          <w:szCs w:val="20"/>
          <w:color w:val="auto"/>
        </w:rPr>
      </w:pPr>
      <w:r>
        <w:rPr>
          <w:rFonts w:ascii="Georgia" w:cs="Georgia" w:eastAsia="Georgia" w:hAnsi="Georgia"/>
          <w:sz w:val="14"/>
          <w:szCs w:val="14"/>
          <w:color w:val="auto"/>
        </w:rPr>
        <w:t>Boston, Massachusetts</w:t>
      </w:r>
    </w:p>
    <w:p>
      <w:pPr>
        <w:spacing w:after="0" w:line="2" w:lineRule="exact"/>
        <w:rPr>
          <w:sz w:val="20"/>
          <w:szCs w:val="20"/>
          <w:color w:val="auto"/>
        </w:rPr>
      </w:pPr>
    </w:p>
    <w:p>
      <w:pPr>
        <w:ind w:left="640"/>
        <w:spacing w:after="0"/>
        <w:rPr>
          <w:sz w:val="20"/>
          <w:szCs w:val="20"/>
          <w:color w:val="auto"/>
        </w:rPr>
      </w:pPr>
      <w:r>
        <w:rPr>
          <w:rFonts w:ascii="Georgia" w:cs="Georgia" w:eastAsia="Georgia" w:hAnsi="Georgia"/>
          <w:sz w:val="14"/>
          <w:szCs w:val="14"/>
          <w:color w:val="auto"/>
        </w:rPr>
        <w:t>February 25, 2026</w:t>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Georgia" w:cs="Georgia" w:eastAsia="Georgia" w:hAnsi="Georgia"/>
          <w:sz w:val="14"/>
          <w:szCs w:val="14"/>
          <w:color w:val="auto"/>
        </w:rPr>
        <w:t>We have served as the Company’s auditor since 2007.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64"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gridSpan w:val="6"/>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 except share and per share amounts)</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388,570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291,146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731,206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Investments—short-term</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199,645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460,522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Receivables, 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384,528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196,625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182,887</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79,090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91,282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Contract assets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1,929,161</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1,415,355</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221,722</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227,564</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INVESTMENTS—LONG-TERM</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77,209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84,245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AND GOODWILL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125,815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154,835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49,099</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16,503</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2,486,993</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2,055,567</w:t>
            </w:r>
          </w:p>
        </w:tc>
        <w:tc>
          <w:tcPr>
            <w:tcW w:w="80" w:type="dxa"/>
            <w:vAlign w:val="bottom"/>
            <w:shd w:val="clear" w:color="auto" w:fill="CFF0FC"/>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4960" w:type="dxa"/>
            <w:vAlign w:val="bottom"/>
            <w:tcBorders>
              <w:top w:val="single" w:sz="8" w:color="CFF0FC"/>
            </w:tcBorders>
          </w:tcPr>
          <w:p>
            <w:pPr>
              <w:ind w:left="920"/>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289,565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185,332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Accrued sales discounts, allowances and reserves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247,126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272,452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liabilities—short-term</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Contract liabilities—short-term</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543,437</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465,199</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LIABILITIES—LONG-TERM</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63,253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69,372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61,008</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56,019</w:t>
            </w:r>
          </w:p>
        </w:tc>
        <w:tc>
          <w:tcPr>
            <w:tcW w:w="80" w:type="dxa"/>
            <w:vAlign w:val="bottom"/>
            <w:tcBorders>
              <w:bottom w:val="single" w:sz="8" w:color="CFF0FC"/>
            </w:tcBorders>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667,698</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590,590</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CONTINGENT LIABILITIES (Note 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96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Preferred shares, par value, $0.01 per share; 50,000,000 shares authorized; and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zero issued and outstanding at December 31, 2025 and 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0" w:type="dxa"/>
            <w:vAlign w:val="bottom"/>
          </w:tcPr>
          <w:p>
            <w:pPr>
              <w:spacing w:after="0"/>
              <w:rPr>
                <w:sz w:val="13"/>
                <w:szCs w:val="13"/>
                <w:color w:val="auto"/>
              </w:rPr>
            </w:pPr>
          </w:p>
        </w:tc>
        <w:tc>
          <w:tcPr>
            <w:tcW w:w="496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Ordinary shares, par value, $0.01 per share; 450,000,000 shares authorized;</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181,011,166 and 176,670,785 shares issued; and 165,607,028 and</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162,176,994 shares outstanding at December 31, 2025 and 2024, respectively</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80" w:type="dxa"/>
            <w:vAlign w:val="bottom"/>
            <w:shd w:val="clear" w:color="auto" w:fill="CFF0FC"/>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496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Treasury shares, at cost (15,404,138 and 14,493,791 shares at December 31, 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2024, respectively)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(450,287)</w:t>
            </w:r>
          </w:p>
        </w:tc>
        <w:tc>
          <w:tcPr>
            <w:tcW w:w="8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(419,255)</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3,004,666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2,860,890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(1,967)</w:t>
            </w:r>
          </w:p>
        </w:tc>
      </w:tr>
      <w:tr>
        <w:trPr>
          <w:trHeight w:val="172"/>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(734,794)</w:t>
            </w: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(976,458)</w:t>
            </w:r>
          </w:p>
        </w:tc>
      </w:tr>
      <w:tr>
        <w:trPr>
          <w:trHeight w:val="163"/>
        </w:trPr>
        <w:tc>
          <w:tcPr>
            <w:tcW w:w="20" w:type="dxa"/>
            <w:vAlign w:val="bottom"/>
          </w:tcPr>
          <w:p>
            <w:pPr>
              <w:spacing w:after="0"/>
              <w:rPr>
                <w:sz w:val="14"/>
                <w:szCs w:val="14"/>
                <w:color w:val="auto"/>
              </w:rPr>
            </w:pPr>
          </w:p>
        </w:tc>
        <w:tc>
          <w:tcPr>
            <w:tcW w:w="49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1,819,295</w:t>
            </w:r>
          </w:p>
        </w:tc>
        <w:tc>
          <w:tcPr>
            <w:tcW w:w="180" w:type="dxa"/>
            <w:vAlign w:val="bottom"/>
            <w:tcBorders>
              <w:top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1,464,977</w:t>
            </w:r>
          </w:p>
        </w:tc>
        <w:tc>
          <w:tcPr>
            <w:tcW w:w="80" w:type="dxa"/>
            <w:vAlign w:val="bottom"/>
            <w:tcBorders>
              <w:top w:val="single" w:sz="8" w:color="CFF0FC"/>
            </w:tcBorders>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2,486,993</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2,055,567</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-3606165</wp:posOffset>
            </wp:positionV>
            <wp:extent cx="73025" cy="147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-3606165</wp:posOffset>
            </wp:positionV>
            <wp:extent cx="73025" cy="147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9">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-2700020</wp:posOffset>
            </wp:positionV>
            <wp:extent cx="4762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-2686050</wp:posOffset>
            </wp:positionV>
            <wp:extent cx="4762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-2700020</wp:posOffset>
            </wp:positionV>
            <wp:extent cx="4762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-2686050</wp:posOffset>
            </wp:positionV>
            <wp:extent cx="4762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-2037715</wp:posOffset>
            </wp:positionV>
            <wp:extent cx="73025" cy="147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-2037715</wp:posOffset>
            </wp:positionV>
            <wp:extent cx="73025" cy="147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5">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-1696720</wp:posOffset>
            </wp:positionV>
            <wp:extent cx="73025" cy="147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6">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-1696720</wp:posOffset>
            </wp:positionV>
            <wp:extent cx="73025" cy="147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7">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-251460</wp:posOffset>
            </wp:positionV>
            <wp:extent cx="4762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-251460</wp:posOffset>
            </wp:positionV>
            <wp:extent cx="4762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-19685</wp:posOffset>
            </wp:positionV>
            <wp:extent cx="4762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-6350</wp:posOffset>
            </wp:positionV>
            <wp:extent cx="4762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9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28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6"/>
          </w:tcPr>
          <w:p>
            <w:pPr>
              <w:jc w:val="center"/>
              <w:ind w:left="41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13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6"/>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00" w:type="dxa"/>
            <w:vAlign w:val="bottom"/>
            <w:gridSpan w:val="8"/>
          </w:tcPr>
          <w:p>
            <w:pPr>
              <w:jc w:val="center"/>
              <w:ind w:right="300"/>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REVENUES:</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Product sales, net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1,184,643</w:t>
            </w:r>
          </w:p>
        </w:tc>
        <w:tc>
          <w:tcPr>
            <w:tcW w:w="18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1,083,534</w:t>
            </w:r>
          </w:p>
        </w:tc>
        <w:tc>
          <w:tcPr>
            <w:tcW w:w="18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919,998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Manufacturing and royalty revenues</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291,256</w:t>
            </w: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474,095</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743,388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Research and development revenue</w:t>
            </w:r>
          </w:p>
        </w:tc>
        <w:tc>
          <w:tcPr>
            <w:tcW w:w="2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revenues</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1,475,899</w:t>
            </w:r>
          </w:p>
        </w:tc>
        <w:tc>
          <w:tcPr>
            <w:tcW w:w="180" w:type="dxa"/>
            <w:vAlign w:val="bottom"/>
            <w:tcBorders>
              <w:bottom w:val="single" w:sz="8" w:color="CFF0FC"/>
              <w:right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1,557,632</w:t>
            </w:r>
          </w:p>
        </w:tc>
        <w:tc>
          <w:tcPr>
            <w:tcW w:w="1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1,663,405</w:t>
            </w: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EXPENSES: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9"/>
              </w:rPr>
              <w:t>Cost of goods manufactured and sold (exclusive of amortization of acquired intangible</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assets shown below)</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196,457</w:t>
            </w: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245,331</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253,037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323,964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245,326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270,806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701,522</w:t>
            </w: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645,238</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689,751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Amortization of acquired intangible assets</w:t>
            </w:r>
          </w:p>
        </w:tc>
        <w:tc>
          <w:tcPr>
            <w:tcW w:w="2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2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expenses</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1,221,943</w:t>
            </w:r>
          </w:p>
        </w:tc>
        <w:tc>
          <w:tcPr>
            <w:tcW w:w="18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1,136,996</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1,249,283</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INCOME FROM CONTINUING OPERATIONS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253,956</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420,636</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414,122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INCOME, NET: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45,304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42,450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(12,277)</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(22,578)</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(23,032)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other income, net</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37,494</w:t>
            </w:r>
          </w:p>
        </w:tc>
        <w:tc>
          <w:tcPr>
            <w:tcW w:w="180" w:type="dxa"/>
            <w:vAlign w:val="bottom"/>
            <w:tcBorders>
              <w:bottom w:val="single" w:sz="8" w:color="CFF0FC"/>
              <w:right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23,114</w:t>
            </w:r>
          </w:p>
        </w:tc>
        <w:tc>
          <w:tcPr>
            <w:tcW w:w="1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7,397</w:t>
            </w: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291,450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443,750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49,786</w:t>
            </w: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71,612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(97,638)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 FROM CONTINUING OPERATIONS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241,664</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372,138</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519,157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LOSS FROM DISCONTINUED OPERATIONS, NET OF TAX</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(5,068)</w:t>
            </w:r>
          </w:p>
        </w:tc>
        <w:tc>
          <w:tcPr>
            <w:tcW w:w="1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(163,400)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241,664</w:t>
            </w:r>
          </w:p>
        </w:tc>
        <w:tc>
          <w:tcPr>
            <w:tcW w:w="1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367,070</w:t>
            </w:r>
          </w:p>
        </w:tc>
        <w:tc>
          <w:tcPr>
            <w:tcW w:w="1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355,757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EARNINGS PER ORDINARY SHARE: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Earnings per ordinary share from continuing operations - basic</w:t>
            </w: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tcPr>
          <w:p>
            <w:pPr>
              <w:ind w:left="120"/>
              <w:spacing w:after="0" w:line="134" w:lineRule="exact"/>
              <w:rPr>
                <w:sz w:val="20"/>
                <w:szCs w:val="20"/>
                <w:color w:val="auto"/>
              </w:rPr>
            </w:pPr>
            <w:r>
              <w:rPr>
                <w:rFonts w:ascii="Times New Roman" w:cs="Times New Roman" w:eastAsia="Times New Roman" w:hAnsi="Times New Roman"/>
                <w:sz w:val="13"/>
                <w:szCs w:val="13"/>
                <w:color w:val="auto"/>
              </w:rPr>
              <w:t>Loss per ordinary share from discontinued operations - basic</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3"/>
                <w:szCs w:val="13"/>
                <w:color w:val="auto"/>
              </w:rPr>
              <w:t>(0.03)</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3"/>
                <w:szCs w:val="13"/>
                <w:color w:val="auto"/>
              </w:rPr>
              <w:t>Earnings per ordinary share - basic</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1.47</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2.22</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Earnings per ordinary share from continuing operations - diluted</w:t>
            </w: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tcPr>
          <w:p>
            <w:pPr>
              <w:ind w:left="120"/>
              <w:spacing w:after="0" w:line="134" w:lineRule="exact"/>
              <w:rPr>
                <w:sz w:val="20"/>
                <w:szCs w:val="20"/>
                <w:color w:val="auto"/>
              </w:rPr>
            </w:pPr>
            <w:r>
              <w:rPr>
                <w:rFonts w:ascii="Times New Roman" w:cs="Times New Roman" w:eastAsia="Times New Roman" w:hAnsi="Times New Roman"/>
                <w:sz w:val="13"/>
                <w:szCs w:val="13"/>
                <w:color w:val="auto"/>
              </w:rPr>
              <w:t>Loss per ordinary share from discontinued operations - diluted</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3"/>
                <w:szCs w:val="13"/>
                <w:color w:val="auto"/>
              </w:rPr>
              <w:t>(0.03)</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3"/>
                <w:szCs w:val="13"/>
                <w:color w:val="auto"/>
              </w:rPr>
              <w:t>Earnings per ordinary share - diluted</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1.43</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2.17</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color w:val="auto"/>
              </w:rPr>
              <w:t>WEIGHTED AVERAGE NUMBER OF ORDINARY SHARES OUTSTANDING:</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164,703</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165,392</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166,223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tcPr>
          <w:p>
            <w:pPr>
              <w:ind w:left="120"/>
              <w:spacing w:after="0" w:line="134" w:lineRule="exact"/>
              <w:rPr>
                <w:sz w:val="20"/>
                <w:szCs w:val="20"/>
                <w:color w:val="auto"/>
              </w:rPr>
            </w:pPr>
            <w:r>
              <w:rPr>
                <w:rFonts w:ascii="Times New Roman" w:cs="Times New Roman" w:eastAsia="Times New Roman" w:hAnsi="Times New Roman"/>
                <w:sz w:val="13"/>
                <w:szCs w:val="13"/>
                <w:color w:val="auto"/>
              </w:rPr>
              <w:t>Diluted</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168,743</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169,198</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169,730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COMPREHENSIVE INCOME:</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241,664</w:t>
            </w:r>
          </w:p>
        </w:tc>
        <w:tc>
          <w:tcPr>
            <w:tcW w:w="18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367,070</w:t>
            </w:r>
          </w:p>
        </w:tc>
        <w:tc>
          <w:tcPr>
            <w:tcW w:w="18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Holding (loss) gain, net of a tax (benefit) provision of $(55), $292, and $1,195,</w:t>
            </w:r>
          </w:p>
        </w:tc>
        <w:tc>
          <w:tcPr>
            <w:tcW w:w="20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(133)</w:t>
            </w:r>
          </w:p>
        </w:tc>
        <w:tc>
          <w:tcPr>
            <w:tcW w:w="20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7,779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respectively</w:t>
            </w:r>
          </w:p>
        </w:tc>
        <w:tc>
          <w:tcPr>
            <w:tcW w:w="2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241,531</w:t>
            </w:r>
          </w:p>
        </w:tc>
        <w:tc>
          <w:tcPr>
            <w:tcW w:w="1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368,213</w:t>
            </w:r>
          </w:p>
        </w:tc>
        <w:tc>
          <w:tcPr>
            <w:tcW w:w="1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363,536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-3845560</wp:posOffset>
            </wp:positionV>
            <wp:extent cx="5461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-3845560</wp:posOffset>
            </wp:positionV>
            <wp:extent cx="4762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-3845560</wp:posOffset>
            </wp:positionV>
            <wp:extent cx="4762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-3237865</wp:posOffset>
            </wp:positionV>
            <wp:extent cx="80010" cy="1416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8">
                      <a:extLst>
                        <a:ext uri="{28A0092B-C50C-407E-A947-70E740481C1C}"/>
                      </a:extLst>
                    </a:blip>
                    <a:srcRect/>
                    <a:stretch>
                      <a:fillRect/>
                    </a:stretch>
                  </pic:blipFill>
                  <pic:spPr bwMode="auto">
                    <a:xfrm>
                      <a:off x="0" y="0"/>
                      <a:ext cx="80010" cy="14160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-3237865</wp:posOffset>
            </wp:positionV>
            <wp:extent cx="73025" cy="1416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9">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-3237865</wp:posOffset>
            </wp:positionV>
            <wp:extent cx="73025" cy="1416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00">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-2481580</wp:posOffset>
            </wp:positionV>
            <wp:extent cx="5461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0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-2481580</wp:posOffset>
            </wp:positionV>
            <wp:extent cx="4762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-2481580</wp:posOffset>
            </wp:positionV>
            <wp:extent cx="4762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-2270125</wp:posOffset>
            </wp:positionV>
            <wp:extent cx="5461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-2270125</wp:posOffset>
            </wp:positionV>
            <wp:extent cx="4762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-2270125</wp:posOffset>
            </wp:positionV>
            <wp:extent cx="4762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-2052320</wp:posOffset>
            </wp:positionV>
            <wp:extent cx="5461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-2052320</wp:posOffset>
            </wp:positionV>
            <wp:extent cx="4762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-2052320</wp:posOffset>
            </wp:positionV>
            <wp:extent cx="4762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-1615440</wp:posOffset>
            </wp:positionV>
            <wp:extent cx="5461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-1602105</wp:posOffset>
            </wp:positionV>
            <wp:extent cx="5461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-1615440</wp:posOffset>
            </wp:positionV>
            <wp:extent cx="4762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-1602105</wp:posOffset>
            </wp:positionV>
            <wp:extent cx="4762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-1615440</wp:posOffset>
            </wp:positionV>
            <wp:extent cx="4762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-1602105</wp:posOffset>
            </wp:positionV>
            <wp:extent cx="4762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-1370330</wp:posOffset>
            </wp:positionV>
            <wp:extent cx="5461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1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-1356360</wp:posOffset>
            </wp:positionV>
            <wp:extent cx="5461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-1370330</wp:posOffset>
            </wp:positionV>
            <wp:extent cx="4762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-1356360</wp:posOffset>
            </wp:positionV>
            <wp:extent cx="4762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-1370330</wp:posOffset>
            </wp:positionV>
            <wp:extent cx="4762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-1356360</wp:posOffset>
            </wp:positionV>
            <wp:extent cx="4762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-1144905</wp:posOffset>
            </wp:positionV>
            <wp:extent cx="5461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2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-1131570</wp:posOffset>
            </wp:positionV>
            <wp:extent cx="5461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2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-1144905</wp:posOffset>
            </wp:positionV>
            <wp:extent cx="4762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-1131570</wp:posOffset>
            </wp:positionV>
            <wp:extent cx="4762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-1144905</wp:posOffset>
            </wp:positionV>
            <wp:extent cx="4762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-1131570</wp:posOffset>
            </wp:positionV>
            <wp:extent cx="4762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-899795</wp:posOffset>
            </wp:positionV>
            <wp:extent cx="5461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-885825</wp:posOffset>
            </wp:positionV>
            <wp:extent cx="5461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-899795</wp:posOffset>
            </wp:positionV>
            <wp:extent cx="4762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-885825</wp:posOffset>
            </wp:positionV>
            <wp:extent cx="4762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-899795</wp:posOffset>
            </wp:positionV>
            <wp:extent cx="4762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-885825</wp:posOffset>
            </wp:positionV>
            <wp:extent cx="4762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-674370</wp:posOffset>
            </wp:positionV>
            <wp:extent cx="5461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-661035</wp:posOffset>
            </wp:positionV>
            <wp:extent cx="5461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3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-674370</wp:posOffset>
            </wp:positionV>
            <wp:extent cx="4762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-661035</wp:posOffset>
            </wp:positionV>
            <wp:extent cx="4762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-674370</wp:posOffset>
            </wp:positionV>
            <wp:extent cx="4762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-661035</wp:posOffset>
            </wp:positionV>
            <wp:extent cx="4762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-128905</wp:posOffset>
            </wp:positionV>
            <wp:extent cx="5461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4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-128905</wp:posOffset>
            </wp:positionV>
            <wp:extent cx="4762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-128905</wp:posOffset>
            </wp:positionV>
            <wp:extent cx="4762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4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06"/>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spacing w:after="0"/>
              <w:rPr>
                <w:sz w:val="10"/>
                <w:szCs w:val="10"/>
                <w:color w:val="auto"/>
              </w:rPr>
            </w:pPr>
          </w:p>
        </w:tc>
        <w:tc>
          <w:tcPr>
            <w:tcW w:w="1620" w:type="dxa"/>
            <w:vAlign w:val="bottom"/>
            <w:gridSpan w:val="4"/>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80"/>
              <w:spacing w:after="0" w:line="121"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06"/>
              <w:spacing w:after="0" w:line="121" w:lineRule="exact"/>
              <w:rPr>
                <w:sz w:val="20"/>
                <w:szCs w:val="20"/>
                <w:color w:val="auto"/>
              </w:rPr>
            </w:pPr>
            <w:r>
              <w:rPr>
                <w:rFonts w:ascii="Times New Roman" w:cs="Times New Roman" w:eastAsia="Times New Roman" w:hAnsi="Times New Roman"/>
                <w:sz w:val="11"/>
                <w:szCs w:val="11"/>
                <w:b w:val="1"/>
                <w:bCs w:val="1"/>
                <w:color w:val="auto"/>
                <w:w w:val="80"/>
              </w:rPr>
              <w:t>e</w:t>
            </w:r>
          </w:p>
        </w:tc>
        <w:tc>
          <w:tcPr>
            <w:tcW w:w="80" w:type="dxa"/>
            <w:vAlign w:val="bottom"/>
          </w:tcPr>
          <w:p>
            <w:pPr>
              <w:spacing w:after="0"/>
              <w:rPr>
                <w:sz w:val="10"/>
                <w:szCs w:val="10"/>
                <w:color w:val="auto"/>
              </w:rPr>
            </w:pPr>
          </w:p>
        </w:tc>
        <w:tc>
          <w:tcPr>
            <w:tcW w:w="840" w:type="dxa"/>
            <w:vAlign w:val="bottom"/>
            <w:gridSpan w:val="3"/>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8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ind w:right="163"/>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0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23"/>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center"/>
              <w:ind w:right="103"/>
              <w:spacing w:after="0" w:line="109"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23"/>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9"/>
                <w:szCs w:val="9"/>
                <w:color w:val="auto"/>
              </w:rPr>
            </w:pPr>
          </w:p>
        </w:tc>
        <w:tc>
          <w:tcPr>
            <w:tcW w:w="760" w:type="dxa"/>
            <w:vAlign w:val="bottom"/>
            <w:tcBorders>
              <w:top w:val="single" w:sz="8" w:color="auto"/>
              <w:bottom w:val="single" w:sz="8" w:color="auto"/>
            </w:tcBorders>
          </w:tcPr>
          <w:p>
            <w:pPr>
              <w:jc w:val="right"/>
              <w:ind w:right="163"/>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0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03"/>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gridSpan w:val="4"/>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w w:val="95"/>
              </w:rPr>
              <w:t>except share data)</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BALANCE — December 31, 2022</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168,951,193</w:t>
            </w:r>
          </w:p>
        </w:tc>
        <w:tc>
          <w:tcPr>
            <w:tcW w:w="2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1,690</w:t>
            </w:r>
          </w:p>
        </w:tc>
        <w:tc>
          <w:tcPr>
            <w:tcW w:w="2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2,913,099</w:t>
            </w:r>
          </w:p>
        </w:tc>
        <w:tc>
          <w:tcPr>
            <w:tcW w:w="100" w:type="dxa"/>
            <w:vAlign w:val="bottom"/>
            <w:shd w:val="clear" w:color="auto" w:fill="CFF0FC"/>
          </w:tcPr>
          <w:p>
            <w:pPr>
              <w:spacing w:after="0"/>
              <w:rPr>
                <w:sz w:val="10"/>
                <w:szCs w:val="10"/>
                <w:color w:val="auto"/>
              </w:rPr>
            </w:pPr>
          </w:p>
        </w:tc>
        <w:tc>
          <w:tcPr>
            <w:tcW w:w="220" w:type="dxa"/>
            <w:vAlign w:val="bottom"/>
            <w:gridSpan w:val="2"/>
            <w:shd w:val="clear" w:color="auto" w:fill="CFF0FC"/>
          </w:tcPr>
          <w:p>
            <w:pPr>
              <w:ind w:lef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
              <w:spacing w:after="0" w:line="119" w:lineRule="exact"/>
              <w:rPr>
                <w:sz w:val="20"/>
                <w:szCs w:val="20"/>
                <w:color w:val="auto"/>
              </w:rPr>
            </w:pPr>
            <w:r>
              <w:rPr>
                <w:rFonts w:ascii="Times New Roman" w:cs="Times New Roman" w:eastAsia="Times New Roman" w:hAnsi="Times New Roman"/>
                <w:sz w:val="11"/>
                <w:szCs w:val="11"/>
                <w:color w:val="auto"/>
              </w:rPr>
              <w:t>(10,889)</w:t>
            </w:r>
          </w:p>
        </w:tc>
        <w:tc>
          <w:tcPr>
            <w:tcW w:w="180" w:type="dxa"/>
            <w:vAlign w:val="bottom"/>
            <w:gridSpan w:val="2"/>
            <w:shd w:val="clear" w:color="auto" w:fill="CFF0FC"/>
          </w:tcPr>
          <w:p>
            <w:pPr>
              <w:ind w:lef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54"/>
              <w:spacing w:after="0" w:line="119" w:lineRule="exact"/>
              <w:rPr>
                <w:sz w:val="20"/>
                <w:szCs w:val="20"/>
                <w:color w:val="auto"/>
              </w:rPr>
            </w:pPr>
            <w:r>
              <w:rPr>
                <w:rFonts w:ascii="Times New Roman" w:cs="Times New Roman" w:eastAsia="Times New Roman" w:hAnsi="Times New Roman"/>
                <w:sz w:val="11"/>
                <w:szCs w:val="11"/>
                <w:color w:val="auto"/>
              </w:rPr>
              <w:t>(1,699,285)</w:t>
            </w:r>
          </w:p>
        </w:tc>
        <w:tc>
          <w:tcPr>
            <w:tcW w:w="88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(4,574,184)</w:t>
            </w:r>
          </w:p>
        </w:tc>
        <w:tc>
          <w:tcPr>
            <w:tcW w:w="180" w:type="dxa"/>
            <w:vAlign w:val="bottom"/>
            <w:gridSpan w:val="2"/>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(160,862)</w:t>
            </w:r>
          </w:p>
        </w:tc>
        <w:tc>
          <w:tcPr>
            <w:tcW w:w="1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1,043,753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3,617,858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16,724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16,760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0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purchase of stock</w:t>
            </w:r>
          </w:p>
        </w:tc>
        <w:tc>
          <w:tcPr>
            <w:tcW w:w="7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options or to satisfy minimum tax withholding obligations</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9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(1,015,034)</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(28,474)</w:t>
            </w: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(28,474)</w:t>
            </w:r>
          </w:p>
        </w:tc>
        <w:tc>
          <w:tcPr>
            <w:tcW w:w="0" w:type="dxa"/>
            <w:vAlign w:val="bottom"/>
          </w:tcPr>
          <w:p>
            <w:pPr>
              <w:spacing w:after="0"/>
              <w:rPr>
                <w:sz w:val="1"/>
                <w:szCs w:val="1"/>
                <w:color w:val="auto"/>
              </w:rPr>
            </w:pPr>
          </w:p>
        </w:tc>
      </w:tr>
      <w:tr>
        <w:trPr>
          <w:trHeight w:val="135"/>
        </w:trPr>
        <w:tc>
          <w:tcPr>
            <w:tcW w:w="3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related to share-based awards</w:t>
            </w:r>
          </w:p>
        </w:tc>
        <w:tc>
          <w:tcPr>
            <w:tcW w:w="7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100,871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100,871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0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Unrealized gain on marketable securities, net of tax provision</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7,779</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19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7,779</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of $1,195</w:t>
            </w:r>
          </w:p>
        </w:tc>
        <w:tc>
          <w:tcPr>
            <w:tcW w:w="7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Distribution of Mural Oncology plc</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(293,760)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(293,760)</w:t>
            </w:r>
          </w:p>
        </w:tc>
        <w:tc>
          <w:tcPr>
            <w:tcW w:w="0" w:type="dxa"/>
            <w:vAlign w:val="bottom"/>
          </w:tcPr>
          <w:p>
            <w:pPr>
              <w:spacing w:after="0"/>
              <w:rPr>
                <w:sz w:val="1"/>
                <w:szCs w:val="1"/>
                <w:color w:val="auto"/>
              </w:rPr>
            </w:pPr>
          </w:p>
        </w:tc>
      </w:tr>
      <w:tr>
        <w:trPr>
          <w:trHeight w:val="118"/>
        </w:trPr>
        <w:tc>
          <w:tcPr>
            <w:tcW w:w="320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355,757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355,757</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2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 December 31, 2023</w:t>
            </w: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172,569,051</w:t>
            </w:r>
          </w:p>
        </w:tc>
        <w:tc>
          <w:tcPr>
            <w:tcW w:w="2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1,726</w:t>
            </w:r>
          </w:p>
        </w:tc>
        <w:tc>
          <w:tcPr>
            <w:tcW w:w="2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2,736,934</w:t>
            </w:r>
          </w:p>
        </w:tc>
        <w:tc>
          <w:tcPr>
            <w:tcW w:w="100" w:type="dxa"/>
            <w:vAlign w:val="bottom"/>
          </w:tcPr>
          <w:p>
            <w:pPr>
              <w:spacing w:after="0"/>
              <w:rPr>
                <w:sz w:val="9"/>
                <w:szCs w:val="9"/>
                <w:color w:val="auto"/>
              </w:rPr>
            </w:pPr>
          </w:p>
        </w:tc>
        <w:tc>
          <w:tcPr>
            <w:tcW w:w="22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(3,110)</w:t>
            </w:r>
          </w:p>
        </w:tc>
        <w:tc>
          <w:tcPr>
            <w:tcW w:w="18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54"/>
              <w:spacing w:after="0" w:line="109" w:lineRule="exact"/>
              <w:rPr>
                <w:sz w:val="20"/>
                <w:szCs w:val="20"/>
                <w:color w:val="auto"/>
              </w:rPr>
            </w:pPr>
            <w:r>
              <w:rPr>
                <w:rFonts w:ascii="Times New Roman" w:cs="Times New Roman" w:eastAsia="Times New Roman" w:hAnsi="Times New Roman"/>
                <w:sz w:val="11"/>
                <w:szCs w:val="11"/>
                <w:color w:val="auto"/>
              </w:rPr>
              <w:t>(1,343,528)</w:t>
            </w:r>
          </w:p>
        </w:tc>
        <w:tc>
          <w:tcPr>
            <w:tcW w:w="8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(5,589,218)</w:t>
            </w:r>
          </w:p>
        </w:tc>
        <w:tc>
          <w:tcPr>
            <w:tcW w:w="180" w:type="dxa"/>
            <w:vAlign w:val="bottom"/>
            <w:gridSpan w:val="2"/>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(189,336)</w:t>
            </w:r>
          </w:p>
        </w:tc>
        <w:tc>
          <w:tcPr>
            <w:tcW w:w="160" w:type="dxa"/>
            <w:vAlign w:val="bottom"/>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1,202,686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4,101,734</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27,531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27,572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0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purchase of stock</w:t>
            </w: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options or to satisfy minimum tax withholding obligations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9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(1,010,156)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(29,637)</w:t>
            </w:r>
          </w:p>
        </w:tc>
        <w:tc>
          <w:tcPr>
            <w:tcW w:w="160" w:type="dxa"/>
            <w:vAlign w:val="bottom"/>
          </w:tcPr>
          <w:p>
            <w:pPr>
              <w:spacing w:after="0"/>
              <w:rPr>
                <w:sz w:val="10"/>
                <w:szCs w:val="1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(29,637)</w:t>
            </w:r>
          </w:p>
        </w:tc>
        <w:tc>
          <w:tcPr>
            <w:tcW w:w="0" w:type="dxa"/>
            <w:vAlign w:val="bottom"/>
          </w:tcPr>
          <w:p>
            <w:pPr>
              <w:spacing w:after="0"/>
              <w:rPr>
                <w:sz w:val="1"/>
                <w:szCs w:val="1"/>
                <w:color w:val="auto"/>
              </w:rPr>
            </w:pPr>
          </w:p>
        </w:tc>
      </w:tr>
      <w:tr>
        <w:trPr>
          <w:trHeight w:val="135"/>
        </w:trPr>
        <w:tc>
          <w:tcPr>
            <w:tcW w:w="32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related to share-based awards</w:t>
            </w: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Repurchase of Alkermes' ordinary shares</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(7,894,417)</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(200,282)</w:t>
            </w:r>
          </w:p>
        </w:tc>
        <w:tc>
          <w:tcPr>
            <w:tcW w:w="16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(200,282)</w:t>
            </w: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96,425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96,425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0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Unrealized gain on marketable securities, net of tax provision</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19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of $292</w:t>
            </w:r>
          </w:p>
        </w:tc>
        <w:tc>
          <w:tcPr>
            <w:tcW w:w="7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367,070</w:t>
            </w:r>
          </w:p>
        </w:tc>
        <w:tc>
          <w:tcPr>
            <w:tcW w:w="18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367,070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2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—December 31, 2024</w:t>
            </w: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176,670,785</w:t>
            </w:r>
          </w:p>
        </w:tc>
        <w:tc>
          <w:tcPr>
            <w:tcW w:w="2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1,767</w:t>
            </w:r>
          </w:p>
        </w:tc>
        <w:tc>
          <w:tcPr>
            <w:tcW w:w="2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2,860,890</w:t>
            </w:r>
          </w:p>
        </w:tc>
        <w:tc>
          <w:tcPr>
            <w:tcW w:w="100" w:type="dxa"/>
            <w:vAlign w:val="bottom"/>
            <w:shd w:val="clear" w:color="auto" w:fill="CFF0FC"/>
          </w:tcPr>
          <w:p>
            <w:pPr>
              <w:spacing w:after="0"/>
              <w:rPr>
                <w:sz w:val="9"/>
                <w:szCs w:val="9"/>
                <w:color w:val="auto"/>
              </w:rPr>
            </w:pPr>
          </w:p>
        </w:tc>
        <w:tc>
          <w:tcPr>
            <w:tcW w:w="220" w:type="dxa"/>
            <w:vAlign w:val="bottom"/>
            <w:gridSpan w:val="2"/>
            <w:shd w:val="clear" w:color="auto" w:fill="CFF0FC"/>
          </w:tcPr>
          <w:p>
            <w:pPr>
              <w:ind w:left="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(1,967)</w:t>
            </w:r>
          </w:p>
        </w:tc>
        <w:tc>
          <w:tcPr>
            <w:tcW w:w="180" w:type="dxa"/>
            <w:vAlign w:val="bottom"/>
            <w:gridSpan w:val="2"/>
            <w:shd w:val="clear" w:color="auto" w:fill="CFF0FC"/>
          </w:tcPr>
          <w:p>
            <w:pPr>
              <w:ind w:left="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54"/>
              <w:spacing w:after="0" w:line="109" w:lineRule="exact"/>
              <w:rPr>
                <w:sz w:val="20"/>
                <w:szCs w:val="20"/>
                <w:color w:val="auto"/>
              </w:rPr>
            </w:pPr>
            <w:r>
              <w:rPr>
                <w:rFonts w:ascii="Times New Roman" w:cs="Times New Roman" w:eastAsia="Times New Roman" w:hAnsi="Times New Roman"/>
                <w:sz w:val="11"/>
                <w:szCs w:val="11"/>
                <w:color w:val="auto"/>
              </w:rPr>
              <w:t>(976,458)</w:t>
            </w:r>
          </w:p>
        </w:tc>
        <w:tc>
          <w:tcPr>
            <w:tcW w:w="88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(14,493,791)</w:t>
            </w:r>
          </w:p>
        </w:tc>
        <w:tc>
          <w:tcPr>
            <w:tcW w:w="18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(419,255)</w:t>
            </w:r>
          </w:p>
        </w:tc>
        <w:tc>
          <w:tcPr>
            <w:tcW w:w="16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1,464,977</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4,340,381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43,368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43,411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0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purchase of stock</w:t>
            </w:r>
          </w:p>
        </w:tc>
        <w:tc>
          <w:tcPr>
            <w:tcW w:w="7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options or to satisfy minimum tax withholding obligations</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9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(910,347)</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(31,032)</w:t>
            </w: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(31,032)</w:t>
            </w:r>
          </w:p>
        </w:tc>
        <w:tc>
          <w:tcPr>
            <w:tcW w:w="0" w:type="dxa"/>
            <w:vAlign w:val="bottom"/>
          </w:tcPr>
          <w:p>
            <w:pPr>
              <w:spacing w:after="0"/>
              <w:rPr>
                <w:sz w:val="1"/>
                <w:szCs w:val="1"/>
                <w:color w:val="auto"/>
              </w:rPr>
            </w:pPr>
          </w:p>
        </w:tc>
      </w:tr>
      <w:tr>
        <w:trPr>
          <w:trHeight w:val="135"/>
        </w:trPr>
        <w:tc>
          <w:tcPr>
            <w:tcW w:w="3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related to share-based awards</w:t>
            </w:r>
          </w:p>
        </w:tc>
        <w:tc>
          <w:tcPr>
            <w:tcW w:w="7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Repurchase of Alkermes' ordinary shares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2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100,408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9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100,408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0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Unrealized loss on marketable securities, net of tax benefit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right"/>
              <w:ind w:right="19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(133)</w:t>
            </w:r>
          </w:p>
        </w:tc>
        <w:tc>
          <w:tcPr>
            <w:tcW w:w="0" w:type="dxa"/>
            <w:vAlign w:val="bottom"/>
          </w:tcPr>
          <w:p>
            <w:pPr>
              <w:spacing w:after="0"/>
              <w:rPr>
                <w:sz w:val="1"/>
                <w:szCs w:val="1"/>
                <w:color w:val="auto"/>
              </w:rPr>
            </w:pPr>
          </w:p>
        </w:tc>
      </w:tr>
      <w:tr>
        <w:trPr>
          <w:trHeight w:val="135"/>
        </w:trPr>
        <w:tc>
          <w:tcPr>
            <w:tcW w:w="32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$55</w:t>
            </w: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241,664</w:t>
            </w:r>
          </w:p>
        </w:tc>
        <w:tc>
          <w:tcPr>
            <w:tcW w:w="1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241,664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200" w:type="dxa"/>
            <w:vAlign w:val="bottom"/>
            <w:tcBorders>
              <w:top w:val="single" w:sz="8" w:color="CFF0FC"/>
              <w:bottom w:val="single" w:sz="8" w:color="CFF0FC"/>
            </w:tcBorders>
          </w:tcPr>
          <w:p>
            <w:pPr>
              <w:spacing w:after="0" w:line="109" w:lineRule="exact"/>
              <w:rPr>
                <w:sz w:val="20"/>
                <w:szCs w:val="20"/>
                <w:color w:val="auto"/>
              </w:rPr>
            </w:pPr>
            <w:r>
              <w:rPr>
                <w:rFonts w:ascii="Times New Roman" w:cs="Times New Roman" w:eastAsia="Times New Roman" w:hAnsi="Times New Roman"/>
                <w:sz w:val="11"/>
                <w:szCs w:val="11"/>
                <w:color w:val="auto"/>
              </w:rPr>
              <w:t>BALANCE —December 31, 2025</w:t>
            </w:r>
          </w:p>
        </w:tc>
        <w:tc>
          <w:tcPr>
            <w:tcW w:w="7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181,011,166</w:t>
            </w:r>
          </w:p>
        </w:tc>
        <w:tc>
          <w:tcPr>
            <w:tcW w:w="180" w:type="dxa"/>
            <w:vAlign w:val="bottom"/>
            <w:tcBorders>
              <w:top w:val="single" w:sz="8" w:color="CFF0FC"/>
              <w:bottom w:val="single" w:sz="8" w:color="CFF0FC"/>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1,810</w:t>
            </w:r>
          </w:p>
        </w:tc>
        <w:tc>
          <w:tcPr>
            <w:tcW w:w="180" w:type="dxa"/>
            <w:vAlign w:val="bottom"/>
            <w:tcBorders>
              <w:top w:val="single" w:sz="8" w:color="CFF0FC"/>
              <w:bottom w:val="single" w:sz="8" w:color="CFF0FC"/>
            </w:tcBorders>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3,004,666</w:t>
            </w: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bottom w:val="single" w:sz="8" w:color="CFF0FC"/>
            </w:tcBorders>
          </w:tcPr>
          <w:p>
            <w:pPr>
              <w:spacing w:after="0"/>
              <w:rPr>
                <w:sz w:val="9"/>
                <w:szCs w:val="9"/>
                <w:color w:val="auto"/>
              </w:rPr>
            </w:pPr>
          </w:p>
        </w:tc>
        <w:tc>
          <w:tcPr>
            <w:tcW w:w="140" w:type="dxa"/>
            <w:vAlign w:val="bottom"/>
            <w:tcBorders>
              <w:top w:val="single" w:sz="8" w:color="auto"/>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(2,100)</w:t>
            </w:r>
          </w:p>
        </w:tc>
        <w:tc>
          <w:tcPr>
            <w:tcW w:w="100" w:type="dxa"/>
            <w:vAlign w:val="bottom"/>
            <w:tcBorders>
              <w:top w:val="single" w:sz="8" w:color="CFF0FC"/>
              <w:bottom w:val="single" w:sz="8" w:color="CFF0FC"/>
            </w:tcBorders>
          </w:tcPr>
          <w:p>
            <w:pPr>
              <w:spacing w:after="0"/>
              <w:rPr>
                <w:sz w:val="9"/>
                <w:szCs w:val="9"/>
                <w:color w:val="auto"/>
              </w:rPr>
            </w:pPr>
          </w:p>
        </w:tc>
        <w:tc>
          <w:tcPr>
            <w:tcW w:w="80" w:type="dxa"/>
            <w:vAlign w:val="bottom"/>
            <w:tcBorders>
              <w:top w:val="single" w:sz="8" w:color="CFF0FC"/>
              <w:bottom w:val="single" w:sz="8" w:color="CFF0FC"/>
            </w:tcBorders>
          </w:tcPr>
          <w:p>
            <w:pPr>
              <w:spacing w:after="0"/>
              <w:rPr>
                <w:sz w:val="9"/>
                <w:szCs w:val="9"/>
                <w:color w:val="auto"/>
              </w:rPr>
            </w:pPr>
          </w:p>
        </w:tc>
        <w:tc>
          <w:tcPr>
            <w:tcW w:w="100" w:type="dxa"/>
            <w:vAlign w:val="bottom"/>
            <w:tcBorders>
              <w:top w:val="single" w:sz="8" w:color="auto"/>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(734,794</w:t>
            </w:r>
          </w:p>
        </w:tc>
        <w:tc>
          <w:tcPr>
            <w:tcW w:w="180" w:type="dxa"/>
            <w:vAlign w:val="bottom"/>
            <w:tcBorders>
              <w:top w:val="single" w:sz="8" w:color="CFF0FC"/>
              <w:bottom w:val="single" w:sz="8" w:color="CFF0FC"/>
            </w:tcBorders>
          </w:tcPr>
          <w:p>
            <w:pPr>
              <w:jc w:val="right"/>
              <w:ind w:right="154"/>
              <w:spacing w:after="0"/>
              <w:rPr>
                <w:sz w:val="20"/>
                <w:szCs w:val="20"/>
                <w:color w:val="auto"/>
              </w:rPr>
            </w:pPr>
            <w:r>
              <w:rPr>
                <w:rFonts w:ascii="Times New Roman" w:cs="Times New Roman" w:eastAsia="Times New Roman" w:hAnsi="Times New Roman"/>
                <w:sz w:val="1"/>
                <w:szCs w:val="1"/>
                <w:color w:val="auto"/>
                <w:w w:val="4294967281"/>
              </w:rPr>
              <w:t>)</w:t>
            </w:r>
          </w:p>
        </w:tc>
        <w:tc>
          <w:tcPr>
            <w:tcW w:w="7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(15,404,138)</w:t>
            </w:r>
          </w:p>
        </w:tc>
        <w:tc>
          <w:tcPr>
            <w:tcW w:w="120" w:type="dxa"/>
            <w:vAlign w:val="bottom"/>
            <w:tcBorders>
              <w:top w:val="single" w:sz="8" w:color="CFF0FC"/>
              <w:bottom w:val="single" w:sz="8" w:color="CFF0FC"/>
            </w:tcBorders>
          </w:tcPr>
          <w:p>
            <w:pPr>
              <w:spacing w:after="0"/>
              <w:rPr>
                <w:sz w:val="9"/>
                <w:szCs w:val="9"/>
                <w:color w:val="auto"/>
              </w:rPr>
            </w:pPr>
          </w:p>
        </w:tc>
        <w:tc>
          <w:tcPr>
            <w:tcW w:w="60" w:type="dxa"/>
            <w:vAlign w:val="bottom"/>
            <w:tcBorders>
              <w:top w:val="single" w:sz="8" w:color="CFF0FC"/>
              <w:bottom w:val="single" w:sz="8" w:color="CFF0FC"/>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(450,287)</w:t>
            </w:r>
          </w:p>
        </w:tc>
        <w:tc>
          <w:tcPr>
            <w:tcW w:w="200" w:type="dxa"/>
            <w:vAlign w:val="bottom"/>
            <w:tcBorders>
              <w:top w:val="single" w:sz="8" w:color="CFF0FC"/>
              <w:bottom w:val="single" w:sz="8" w:color="CFF0FC"/>
            </w:tcBorders>
          </w:tcPr>
          <w:p>
            <w:pPr>
              <w:spacing w:after="0"/>
              <w:rPr>
                <w:sz w:val="9"/>
                <w:szCs w:val="9"/>
                <w:color w:val="auto"/>
              </w:rPr>
            </w:pPr>
          </w:p>
        </w:tc>
        <w:tc>
          <w:tcPr>
            <w:tcW w:w="160" w:type="dxa"/>
            <w:vAlign w:val="bottom"/>
            <w:tcBorders>
              <w:top w:val="single" w:sz="8" w:color="auto"/>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1,819,295</w:t>
            </w: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-1615440</wp:posOffset>
            </wp:positionV>
            <wp:extent cx="6159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4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-1615440</wp:posOffset>
            </wp:positionV>
            <wp:extent cx="6159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4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-1615440</wp:posOffset>
            </wp:positionV>
            <wp:extent cx="6159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4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-1615440</wp:posOffset>
            </wp:positionV>
            <wp:extent cx="6159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4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-1615440</wp:posOffset>
            </wp:positionV>
            <wp:extent cx="6159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-1615440</wp:posOffset>
            </wp:positionV>
            <wp:extent cx="6159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-1615440</wp:posOffset>
            </wp:positionV>
            <wp:extent cx="6159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5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-1615440</wp:posOffset>
            </wp:positionV>
            <wp:extent cx="6794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5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-101600</wp:posOffset>
            </wp:positionV>
            <wp:extent cx="6159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5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-101600</wp:posOffset>
            </wp:positionV>
            <wp:extent cx="6159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5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-101600</wp:posOffset>
            </wp:positionV>
            <wp:extent cx="6159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5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-101600</wp:posOffset>
            </wp:positionV>
            <wp:extent cx="61595"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-101600</wp:posOffset>
            </wp:positionV>
            <wp:extent cx="61595"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-101600</wp:posOffset>
            </wp:positionV>
            <wp:extent cx="6159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-101600</wp:posOffset>
            </wp:positionV>
            <wp:extent cx="6159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-101600</wp:posOffset>
            </wp:positionV>
            <wp:extent cx="6794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9">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6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950" w:right="7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29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8"/>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5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5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5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r>
      <w:tr>
        <w:trPr>
          <w:trHeight w:val="120"/>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241,664</w:t>
            </w:r>
          </w:p>
        </w:tc>
        <w:tc>
          <w:tcPr>
            <w:tcW w:w="100" w:type="dxa"/>
            <w:vAlign w:val="bottom"/>
          </w:tcPr>
          <w:p>
            <w:pPr>
              <w:spacing w:after="0"/>
              <w:rPr>
                <w:sz w:val="11"/>
                <w:szCs w:val="11"/>
                <w:color w:val="auto"/>
              </w:rPr>
            </w:pPr>
          </w:p>
        </w:tc>
        <w:tc>
          <w:tcPr>
            <w:tcW w:w="1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367,070</w:t>
            </w:r>
          </w:p>
        </w:tc>
        <w:tc>
          <w:tcPr>
            <w:tcW w:w="100" w:type="dxa"/>
            <w:vAlign w:val="bottom"/>
          </w:tcPr>
          <w:p>
            <w:pPr>
              <w:spacing w:after="0"/>
              <w:rPr>
                <w:sz w:val="11"/>
                <w:szCs w:val="11"/>
                <w:color w:val="auto"/>
              </w:rPr>
            </w:pPr>
          </w:p>
        </w:tc>
        <w:tc>
          <w:tcPr>
            <w:tcW w:w="240" w:type="dxa"/>
            <w:vAlign w:val="bottom"/>
            <w:gridSpan w:val="2"/>
          </w:tcPr>
          <w:p>
            <w:pPr>
              <w:jc w:val="right"/>
              <w:ind w:right="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355,757</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Adjustments to reconcile net income to cash flows from operating activities:</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27,165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28,533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74,927</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2"/>
                <w:szCs w:val="12"/>
                <w:color w:val="auto"/>
              </w:rPr>
              <w:t>Share-based compensation expense</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98,716</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96,637</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100,905</w:t>
            </w:r>
          </w:p>
        </w:tc>
        <w:tc>
          <w:tcPr>
            <w:tcW w:w="10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Deferred income taxes</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28,774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40,522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(99,902)</w:t>
            </w: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2"/>
                <w:szCs w:val="12"/>
                <w:color w:val="auto"/>
              </w:rPr>
              <w:t>Other non-cash charges</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5,311</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4,512</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6,329</w:t>
            </w:r>
          </w:p>
        </w:tc>
        <w:tc>
          <w:tcPr>
            <w:tcW w:w="10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Changes in assets and liabilities: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2"/>
                <w:szCs w:val="12"/>
                <w:color w:val="auto"/>
              </w:rPr>
              <w:t>Receivables</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50,503</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(52,052)</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(44,510)</w:t>
            </w:r>
          </w:p>
        </w:tc>
      </w:tr>
      <w:tr>
        <w:trPr>
          <w:trHeight w:val="129"/>
        </w:trPr>
        <w:tc>
          <w:tcPr>
            <w:tcW w:w="20" w:type="dxa"/>
            <w:vAlign w:val="bottom"/>
          </w:tcPr>
          <w:p>
            <w:pPr>
              <w:spacing w:after="0"/>
              <w:rPr>
                <w:sz w:val="11"/>
                <w:szCs w:val="11"/>
                <w:color w:val="auto"/>
              </w:rPr>
            </w:pPr>
          </w:p>
        </w:tc>
        <w:tc>
          <w:tcPr>
            <w:tcW w:w="47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Contract assets</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4,990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(4,284)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8,223</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2"/>
                <w:szCs w:val="12"/>
                <w:color w:val="auto"/>
              </w:rPr>
              <w:t>Inventory</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(14,061)</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3,091</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(2,712)</w:t>
            </w:r>
          </w:p>
        </w:tc>
      </w:tr>
      <w:tr>
        <w:trPr>
          <w:trHeight w:val="129"/>
        </w:trPr>
        <w:tc>
          <w:tcPr>
            <w:tcW w:w="20" w:type="dxa"/>
            <w:vAlign w:val="bottom"/>
          </w:tcPr>
          <w:p>
            <w:pPr>
              <w:spacing w:after="0"/>
              <w:rPr>
                <w:sz w:val="11"/>
                <w:szCs w:val="11"/>
                <w:color w:val="auto"/>
              </w:rPr>
            </w:pPr>
          </w:p>
        </w:tc>
        <w:tc>
          <w:tcPr>
            <w:tcW w:w="47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Prepaid expenses and other assets</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852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2,254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(34,847)</w:t>
            </w: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7,549</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7,215</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15,387</w:t>
            </w:r>
          </w:p>
        </w:tc>
        <w:tc>
          <w:tcPr>
            <w:tcW w:w="10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Accounts payable and accrued expenses</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100,893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(57,967)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23,009</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2"/>
                <w:szCs w:val="12"/>
                <w:color w:val="auto"/>
              </w:rPr>
              <w:t>Accrued sales discounts, allowances and reserves</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(25,326)</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8,811</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11,526</w:t>
            </w:r>
          </w:p>
        </w:tc>
        <w:tc>
          <w:tcPr>
            <w:tcW w:w="10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Contract liabilities</w:t>
            </w:r>
          </w:p>
        </w:tc>
        <w:tc>
          <w:tcPr>
            <w:tcW w:w="18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(1,249)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(3,525)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(5,926)</w:t>
            </w: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2"/>
                <w:szCs w:val="12"/>
                <w:color w:val="auto"/>
              </w:rPr>
              <w:t>Operating lease liabilities</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(10,320)</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(10,123)</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(16,147)</w:t>
            </w:r>
          </w:p>
        </w:tc>
      </w:tr>
      <w:tr>
        <w:trPr>
          <w:trHeight w:val="129"/>
        </w:trPr>
        <w:tc>
          <w:tcPr>
            <w:tcW w:w="20" w:type="dxa"/>
            <w:vAlign w:val="bottom"/>
          </w:tcPr>
          <w:p>
            <w:pPr>
              <w:spacing w:after="0"/>
              <w:rPr>
                <w:sz w:val="11"/>
                <w:szCs w:val="11"/>
                <w:color w:val="auto"/>
              </w:rPr>
            </w:pPr>
          </w:p>
        </w:tc>
        <w:tc>
          <w:tcPr>
            <w:tcW w:w="47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Other long-term liabilities</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5,293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8,430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9,334</w:t>
            </w:r>
          </w:p>
        </w:tc>
        <w:tc>
          <w:tcPr>
            <w:tcW w:w="100" w:type="dxa"/>
            <w:vAlign w:val="bottom"/>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4780" w:type="dxa"/>
            <w:vAlign w:val="bottom"/>
            <w:tcBorders>
              <w:bottom w:val="single" w:sz="8" w:color="CFF0FC"/>
            </w:tcBorders>
            <w:shd w:val="clear" w:color="auto" w:fill="CFF0FC"/>
          </w:tcPr>
          <w:p>
            <w:pPr>
              <w:ind w:left="260"/>
              <w:spacing w:after="0" w:line="120" w:lineRule="exact"/>
              <w:rPr>
                <w:sz w:val="20"/>
                <w:szCs w:val="20"/>
                <w:color w:val="auto"/>
              </w:rPr>
            </w:pPr>
            <w:r>
              <w:rPr>
                <w:rFonts w:ascii="Times New Roman" w:cs="Times New Roman" w:eastAsia="Times New Roman" w:hAnsi="Times New Roman"/>
                <w:sz w:val="12"/>
                <w:szCs w:val="12"/>
                <w:color w:val="auto"/>
              </w:rPr>
              <w:t>Cash flows provided by operating activities</w:t>
            </w:r>
          </w:p>
        </w:tc>
        <w:tc>
          <w:tcPr>
            <w:tcW w:w="1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520,754</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439,124</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401,353</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47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Additions of property, plant and equipment</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(40,420)</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(33,484)</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(48,048)</w:t>
            </w: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Proceeds from the sale of property, plant and equipment</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1,086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461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354</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Return of Fountain Healthcare Partners II, L.P. investment</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Proceeds from the sale of the Athlone Facility</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1,708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97,933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Purchases of investments</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(364,369)</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(486,547)</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(254,471)</w:t>
            </w:r>
          </w:p>
        </w:tc>
      </w:tr>
      <w:tr>
        <w:trPr>
          <w:trHeight w:val="129"/>
        </w:trPr>
        <w:tc>
          <w:tcPr>
            <w:tcW w:w="20" w:type="dxa"/>
            <w:vAlign w:val="bottom"/>
          </w:tcPr>
          <w:p>
            <w:pPr>
              <w:spacing w:after="0"/>
              <w:rPr>
                <w:sz w:val="11"/>
                <w:szCs w:val="11"/>
                <w:color w:val="auto"/>
              </w:rPr>
            </w:pPr>
          </w:p>
        </w:tc>
        <w:tc>
          <w:tcPr>
            <w:tcW w:w="4780" w:type="dxa"/>
            <w:vAlign w:val="bottom"/>
            <w:tcBorders>
              <w:bottom w:val="single" w:sz="8" w:color="CFF0FC"/>
            </w:tcBorders>
          </w:tcPr>
          <w:p>
            <w:pPr>
              <w:ind w:left="120"/>
              <w:spacing w:after="0" w:line="129" w:lineRule="exact"/>
              <w:rPr>
                <w:sz w:val="20"/>
                <w:szCs w:val="20"/>
                <w:color w:val="auto"/>
              </w:rPr>
            </w:pPr>
            <w:r>
              <w:rPr>
                <w:rFonts w:ascii="Times New Roman" w:cs="Times New Roman" w:eastAsia="Times New Roman" w:hAnsi="Times New Roman"/>
                <w:sz w:val="12"/>
                <w:szCs w:val="12"/>
                <w:color w:val="auto"/>
              </w:rPr>
              <w:t>Sales and maturities of investments</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697,492</w:t>
            </w:r>
          </w:p>
        </w:tc>
        <w:tc>
          <w:tcPr>
            <w:tcW w:w="10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310,286</w:t>
            </w:r>
          </w:p>
        </w:tc>
        <w:tc>
          <w:tcPr>
            <w:tcW w:w="10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355,522</w:t>
            </w:r>
          </w:p>
        </w:tc>
        <w:tc>
          <w:tcPr>
            <w:tcW w:w="100" w:type="dxa"/>
            <w:vAlign w:val="bottom"/>
            <w:tcBorders>
              <w:bottom w:val="single" w:sz="8" w:color="CFF0FC"/>
            </w:tcBorders>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4780" w:type="dxa"/>
            <w:vAlign w:val="bottom"/>
            <w:tcBorders>
              <w:bottom w:val="single" w:sz="8" w:color="CFF0FC"/>
            </w:tcBorders>
            <w:shd w:val="clear" w:color="auto" w:fill="CFF0FC"/>
          </w:tcPr>
          <w:p>
            <w:pPr>
              <w:ind w:left="260"/>
              <w:spacing w:after="0" w:line="120" w:lineRule="exact"/>
              <w:rPr>
                <w:sz w:val="20"/>
                <w:szCs w:val="20"/>
                <w:color w:val="auto"/>
              </w:rPr>
            </w:pPr>
            <w:r>
              <w:rPr>
                <w:rFonts w:ascii="Times New Roman" w:cs="Times New Roman" w:eastAsia="Times New Roman" w:hAnsi="Times New Roman"/>
                <w:sz w:val="12"/>
                <w:szCs w:val="12"/>
                <w:color w:val="auto"/>
              </w:rPr>
              <w:t>Cash flows provided by (used in) investing activities</w:t>
            </w:r>
          </w:p>
        </w:tc>
        <w:tc>
          <w:tcPr>
            <w:tcW w:w="1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295,497</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(111,308)</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53,357</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47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Cash transferred to Mural Oncology plc at separation</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(275,000)</w:t>
            </w: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Proceeds from the issuance of ordinary shares under share-based compensation arrangements</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43,411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27,572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16,760</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Employee taxes paid related to net share settlement of equity awards</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(31,032)</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(29,637)</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(28,474)</w:t>
            </w: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Payment for the repurchase of ordinary shares</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(200,282)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Prepayment of long-term debt</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(289,542)</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Principal payments of long-term debt</w:t>
            </w: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(2,250)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(3,000)</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4780" w:type="dxa"/>
            <w:vAlign w:val="bottom"/>
            <w:shd w:val="clear" w:color="auto" w:fill="CFF0FC"/>
          </w:tcPr>
          <w:p>
            <w:pPr>
              <w:ind w:left="260"/>
              <w:spacing w:after="0" w:line="120" w:lineRule="exact"/>
              <w:rPr>
                <w:sz w:val="20"/>
                <w:szCs w:val="20"/>
                <w:color w:val="auto"/>
              </w:rPr>
            </w:pPr>
            <w:r>
              <w:rPr>
                <w:rFonts w:ascii="Times New Roman" w:cs="Times New Roman" w:eastAsia="Times New Roman" w:hAnsi="Times New Roman"/>
                <w:sz w:val="12"/>
                <w:szCs w:val="12"/>
                <w:color w:val="auto"/>
              </w:rPr>
              <w:t>Cash flows provided by (used in) financing activities</w:t>
            </w: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12,379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20" w:lineRule="exact"/>
              <w:rPr>
                <w:sz w:val="20"/>
                <w:szCs w:val="20"/>
                <w:color w:val="auto"/>
              </w:rPr>
            </w:pPr>
            <w:r>
              <w:rPr>
                <w:rFonts w:ascii="Times New Roman" w:cs="Times New Roman" w:eastAsia="Times New Roman" w:hAnsi="Times New Roman"/>
                <w:sz w:val="12"/>
                <w:szCs w:val="12"/>
                <w:color w:val="auto"/>
              </w:rPr>
              <w:t>(494,139)</w:t>
            </w: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60"/>
              <w:spacing w:after="0" w:line="120" w:lineRule="exact"/>
              <w:rPr>
                <w:sz w:val="20"/>
                <w:szCs w:val="20"/>
                <w:color w:val="auto"/>
              </w:rPr>
            </w:pPr>
            <w:r>
              <w:rPr>
                <w:rFonts w:ascii="Times New Roman" w:cs="Times New Roman" w:eastAsia="Times New Roman" w:hAnsi="Times New Roman"/>
                <w:sz w:val="12"/>
                <w:szCs w:val="12"/>
                <w:color w:val="auto"/>
              </w:rPr>
              <w:t>(289,714)</w:t>
            </w:r>
          </w:p>
        </w:tc>
      </w:tr>
      <w:tr>
        <w:trPr>
          <w:trHeight w:val="105"/>
        </w:trPr>
        <w:tc>
          <w:tcPr>
            <w:tcW w:w="20" w:type="dxa"/>
            <w:vAlign w:val="bottom"/>
          </w:tcPr>
          <w:p>
            <w:pPr>
              <w:spacing w:after="0"/>
              <w:rPr>
                <w:sz w:val="9"/>
                <w:szCs w:val="9"/>
                <w:color w:val="auto"/>
              </w:rPr>
            </w:pPr>
          </w:p>
        </w:tc>
        <w:tc>
          <w:tcPr>
            <w:tcW w:w="4780" w:type="dxa"/>
            <w:vAlign w:val="bottom"/>
            <w:tcBorders>
              <w:top w:val="single" w:sz="8" w:color="CFF0FC"/>
            </w:tcBorders>
          </w:tcPr>
          <w:p>
            <w:pPr>
              <w:spacing w:after="0" w:line="105" w:lineRule="exact"/>
              <w:rPr>
                <w:sz w:val="20"/>
                <w:szCs w:val="20"/>
                <w:color w:val="auto"/>
              </w:rPr>
            </w:pPr>
            <w:r>
              <w:rPr>
                <w:rFonts w:ascii="Times New Roman" w:cs="Times New Roman" w:eastAsia="Times New Roman" w:hAnsi="Times New Roman"/>
                <w:sz w:val="12"/>
                <w:szCs w:val="12"/>
                <w:color w:val="auto"/>
              </w:rPr>
              <w:t>NET INCREASE (DECREASE) IN CASH, CASH EQUIVALENTS AND RESTRICTED</w:t>
            </w: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44"/>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828,630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(166,323)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164,996</w:t>
            </w: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7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CASH, CASH EQUIVALENTS AND RESTRICTED CASH—Beginning of period</w:t>
            </w:r>
          </w:p>
        </w:tc>
        <w:tc>
          <w:tcPr>
            <w:tcW w:w="1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291,146</w:t>
            </w: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457,469</w:t>
            </w: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292,473</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0"/>
        </w:trPr>
        <w:tc>
          <w:tcPr>
            <w:tcW w:w="480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CASH, CASH EQUIVALENTS AND RESTRICTED CASH—End of period</w:t>
            </w:r>
          </w:p>
        </w:tc>
        <w:tc>
          <w:tcPr>
            <w:tcW w:w="180" w:type="dxa"/>
            <w:vAlign w:val="bottom"/>
            <w:tcBorders>
              <w:bottom w:val="single" w:sz="8" w:color="auto"/>
            </w:tcBorders>
          </w:tcPr>
          <w:p>
            <w:pPr>
              <w:jc w:val="right"/>
              <w:ind w:right="64"/>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1,119,776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291,146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jc w:val="right"/>
              <w:ind w:right="64"/>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457,469</w:t>
            </w:r>
          </w:p>
        </w:tc>
        <w:tc>
          <w:tcPr>
            <w:tcW w:w="10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47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RECONCILIATION OF CASH, CASH EQUIVALENTS AND RESTRICTED CASH</w:t>
            </w:r>
          </w:p>
        </w:tc>
        <w:tc>
          <w:tcPr>
            <w:tcW w:w="1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Cash and cash equivalents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388,570</w:t>
            </w:r>
          </w:p>
        </w:tc>
        <w:tc>
          <w:tcPr>
            <w:tcW w:w="100" w:type="dxa"/>
            <w:vAlign w:val="bottom"/>
          </w:tcPr>
          <w:p>
            <w:pPr>
              <w:spacing w:after="0"/>
              <w:rPr>
                <w:sz w:val="11"/>
                <w:szCs w:val="11"/>
                <w:color w:val="auto"/>
              </w:rPr>
            </w:pPr>
          </w:p>
        </w:tc>
        <w:tc>
          <w:tcPr>
            <w:tcW w:w="1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291,146</w:t>
            </w:r>
          </w:p>
        </w:tc>
        <w:tc>
          <w:tcPr>
            <w:tcW w:w="100" w:type="dxa"/>
            <w:vAlign w:val="bottom"/>
          </w:tcPr>
          <w:p>
            <w:pPr>
              <w:spacing w:after="0"/>
              <w:rPr>
                <w:sz w:val="11"/>
                <w:szCs w:val="11"/>
                <w:color w:val="auto"/>
              </w:rPr>
            </w:pPr>
          </w:p>
        </w:tc>
        <w:tc>
          <w:tcPr>
            <w:tcW w:w="240" w:type="dxa"/>
            <w:vAlign w:val="bottom"/>
            <w:gridSpan w:val="2"/>
          </w:tcPr>
          <w:p>
            <w:pPr>
              <w:jc w:val="right"/>
              <w:ind w:right="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457,469</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Restricted cash</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731,206</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0"/>
        </w:trPr>
        <w:tc>
          <w:tcPr>
            <w:tcW w:w="20" w:type="dxa"/>
            <w:vAlign w:val="bottom"/>
          </w:tcPr>
          <w:p>
            <w:pPr>
              <w:spacing w:after="0"/>
              <w:rPr>
                <w:sz w:val="10"/>
                <w:szCs w:val="10"/>
                <w:color w:val="auto"/>
              </w:rPr>
            </w:pPr>
          </w:p>
        </w:tc>
        <w:tc>
          <w:tcPr>
            <w:tcW w:w="4780" w:type="dxa"/>
            <w:vAlign w:val="bottom"/>
            <w:tcBorders>
              <w:top w:val="single" w:sz="8" w:color="CFF0FC"/>
              <w:bottom w:val="single" w:sz="8" w:color="CFF0FC"/>
            </w:tcBorders>
          </w:tcPr>
          <w:p>
            <w:pPr>
              <w:ind w:left="260"/>
              <w:spacing w:after="0" w:line="120" w:lineRule="exact"/>
              <w:rPr>
                <w:sz w:val="20"/>
                <w:szCs w:val="20"/>
                <w:color w:val="auto"/>
              </w:rPr>
            </w:pPr>
            <w:r>
              <w:rPr>
                <w:rFonts w:ascii="Times New Roman" w:cs="Times New Roman" w:eastAsia="Times New Roman" w:hAnsi="Times New Roman"/>
                <w:sz w:val="12"/>
                <w:szCs w:val="12"/>
                <w:color w:val="auto"/>
              </w:rPr>
              <w:t>Total cash, cash equivalents and restricted cash</w:t>
            </w:r>
          </w:p>
        </w:tc>
        <w:tc>
          <w:tcPr>
            <w:tcW w:w="180" w:type="dxa"/>
            <w:vAlign w:val="bottom"/>
            <w:tcBorders>
              <w:top w:val="single" w:sz="8" w:color="auto"/>
              <w:bottom w:val="single" w:sz="8" w:color="auto"/>
            </w:tcBorders>
          </w:tcPr>
          <w:p>
            <w:pPr>
              <w:jc w:val="right"/>
              <w:ind w:right="64"/>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1,119,776</w:t>
            </w:r>
          </w:p>
        </w:tc>
        <w:tc>
          <w:tcPr>
            <w:tcW w:w="100" w:type="dxa"/>
            <w:vAlign w:val="bottom"/>
            <w:tcBorders>
              <w:top w:val="single" w:sz="8" w:color="CFF0FC"/>
            </w:tcBorders>
          </w:tcPr>
          <w:p>
            <w:pPr>
              <w:spacing w:after="0"/>
              <w:rPr>
                <w:sz w:val="10"/>
                <w:szCs w:val="10"/>
                <w:color w:val="auto"/>
              </w:rPr>
            </w:pPr>
          </w:p>
        </w:tc>
        <w:tc>
          <w:tcPr>
            <w:tcW w:w="60" w:type="dxa"/>
            <w:vAlign w:val="bottom"/>
            <w:tcBorders>
              <w:top w:val="single" w:sz="8" w:color="CFF0FC"/>
              <w:bottom w:val="single" w:sz="8" w:color="CFF0FC"/>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291,146</w:t>
            </w:r>
          </w:p>
        </w:tc>
        <w:tc>
          <w:tcPr>
            <w:tcW w:w="100" w:type="dxa"/>
            <w:vAlign w:val="bottom"/>
            <w:tcBorders>
              <w:top w:val="single" w:sz="8" w:color="CFF0FC"/>
            </w:tcBorders>
          </w:tcPr>
          <w:p>
            <w:pPr>
              <w:spacing w:after="0"/>
              <w:rPr>
                <w:sz w:val="10"/>
                <w:szCs w:val="10"/>
                <w:color w:val="auto"/>
              </w:rPr>
            </w:pPr>
          </w:p>
        </w:tc>
        <w:tc>
          <w:tcPr>
            <w:tcW w:w="60" w:type="dxa"/>
            <w:vAlign w:val="bottom"/>
            <w:tcBorders>
              <w:top w:val="single" w:sz="8" w:color="CFF0FC"/>
              <w:bottom w:val="single" w:sz="8" w:color="CFF0FC"/>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64"/>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457,469</w:t>
            </w:r>
          </w:p>
        </w:tc>
        <w:tc>
          <w:tcPr>
            <w:tcW w:w="100" w:type="dxa"/>
            <w:vAlign w:val="bottom"/>
            <w:tcBorders>
              <w:top w:val="single" w:sz="8" w:color="CFF0FC"/>
            </w:tcBorders>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47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SUPPLEMENTAL CASH FLOW DISCLOSURE:</w:t>
            </w:r>
          </w:p>
        </w:tc>
        <w:tc>
          <w:tcPr>
            <w:tcW w:w="1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Cash paid for interest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23,010</w:t>
            </w:r>
          </w:p>
        </w:tc>
        <w:tc>
          <w:tcPr>
            <w:tcW w:w="100" w:type="dxa"/>
            <w:vAlign w:val="bottom"/>
          </w:tcPr>
          <w:p>
            <w:pPr>
              <w:spacing w:after="0"/>
              <w:rPr>
                <w:sz w:val="11"/>
                <w:szCs w:val="11"/>
                <w:color w:val="auto"/>
              </w:rPr>
            </w:pPr>
          </w:p>
        </w:tc>
        <w:tc>
          <w:tcPr>
            <w:tcW w:w="240" w:type="dxa"/>
            <w:vAlign w:val="bottom"/>
            <w:gridSpan w:val="2"/>
          </w:tcPr>
          <w:p>
            <w:pPr>
              <w:jc w:val="right"/>
              <w:ind w:right="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22,748</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Cash paid for taxes</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5,237</w:t>
            </w:r>
          </w:p>
        </w:tc>
        <w:tc>
          <w:tcPr>
            <w:tcW w:w="10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2,592</w:t>
            </w:r>
          </w:p>
        </w:tc>
        <w:tc>
          <w:tcPr>
            <w:tcW w:w="10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44,243</w:t>
            </w:r>
          </w:p>
        </w:tc>
        <w:tc>
          <w:tcPr>
            <w:tcW w:w="10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Non-cash investing and financing activities: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78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2"/>
                <w:szCs w:val="12"/>
                <w:color w:val="auto"/>
              </w:rPr>
              <w:t>Purchased capital expenditures included in accounts payable and accrued expenses</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3,128</w:t>
            </w:r>
          </w:p>
        </w:tc>
        <w:tc>
          <w:tcPr>
            <w:tcW w:w="10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2,254</w:t>
            </w:r>
          </w:p>
        </w:tc>
        <w:tc>
          <w:tcPr>
            <w:tcW w:w="10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2,645</w:t>
            </w:r>
          </w:p>
        </w:tc>
        <w:tc>
          <w:tcPr>
            <w:tcW w:w="100" w:type="dxa"/>
            <w:vAlign w:val="bottom"/>
            <w:shd w:val="clear" w:color="auto" w:fill="CFF0F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-2461260</wp:posOffset>
            </wp:positionV>
            <wp:extent cx="4762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-2461260</wp:posOffset>
            </wp:positionV>
            <wp:extent cx="4762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-2461260</wp:posOffset>
            </wp:positionV>
            <wp:extent cx="5461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6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-1894205</wp:posOffset>
            </wp:positionV>
            <wp:extent cx="73025" cy="1206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64">
                      <a:extLst>
                        <a:ext uri="{28A0092B-C50C-407E-A947-70E740481C1C}"/>
                      </a:extLst>
                    </a:blip>
                    <a:srcRect/>
                    <a:stretch>
                      <a:fillRect/>
                    </a:stretch>
                  </pic:blipFill>
                  <pic:spPr bwMode="auto">
                    <a:xfrm>
                      <a:off x="0" y="0"/>
                      <a:ext cx="73025" cy="12065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-1894205</wp:posOffset>
            </wp:positionV>
            <wp:extent cx="73025" cy="1206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65">
                      <a:extLst>
                        <a:ext uri="{28A0092B-C50C-407E-A947-70E740481C1C}"/>
                      </a:extLst>
                    </a:blip>
                    <a:srcRect/>
                    <a:stretch>
                      <a:fillRect/>
                    </a:stretch>
                  </pic:blipFill>
                  <pic:spPr bwMode="auto">
                    <a:xfrm>
                      <a:off x="0" y="0"/>
                      <a:ext cx="73025" cy="120650"/>
                    </a:xfrm>
                    <a:prstGeom prst="rect">
                      <a:avLst/>
                    </a:prstGeom>
                    <a:noFill/>
                  </pic:spPr>
                </pic:pic>
              </a:graphicData>
            </a:graphic>
          </wp:anchor>
        </w:drawing>
        <w:drawing>
          <wp:anchor simplePos="0" relativeHeight="251657728" behindDoc="1" locked="0" layoutInCell="0" allowOverlap="1">
            <wp:simplePos x="0" y="0"/>
            <wp:positionH relativeFrom="column">
              <wp:posOffset>5247640</wp:posOffset>
            </wp:positionH>
            <wp:positionV relativeFrom="paragraph">
              <wp:posOffset>-1894205</wp:posOffset>
            </wp:positionV>
            <wp:extent cx="80010" cy="1206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66">
                      <a:extLst>
                        <a:ext uri="{28A0092B-C50C-407E-A947-70E740481C1C}"/>
                      </a:extLst>
                    </a:blip>
                    <a:srcRect/>
                    <a:stretch>
                      <a:fillRect/>
                    </a:stretch>
                  </pic:blipFill>
                  <pic:spPr bwMode="auto">
                    <a:xfrm>
                      <a:off x="0" y="0"/>
                      <a:ext cx="80010" cy="12065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-1124585</wp:posOffset>
            </wp:positionV>
            <wp:extent cx="4762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-1124585</wp:posOffset>
            </wp:positionV>
            <wp:extent cx="4762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-1124585</wp:posOffset>
            </wp:positionV>
            <wp:extent cx="5461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-872490</wp:posOffset>
            </wp:positionV>
            <wp:extent cx="4762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-872490</wp:posOffset>
            </wp:positionV>
            <wp:extent cx="4762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-872490</wp:posOffset>
            </wp:positionV>
            <wp:extent cx="5461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7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-517525</wp:posOffset>
            </wp:positionV>
            <wp:extent cx="4762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-517525</wp:posOffset>
            </wp:positionV>
            <wp:extent cx="4762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-517525</wp:posOffset>
            </wp:positionV>
            <wp:extent cx="5461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75">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DESCRIPTION OF BUSINESS AND BASIS OF PRESENTATION</w:t>
      </w:r>
    </w:p>
    <w:p>
      <w:pPr>
        <w:spacing w:after="0" w:line="152"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Alkermes plc is a global biopharmaceutical company that seeks to develop innovative medicines in the field of neuroscience. Alkermes has a portfolio of proprietary commercial products for the treatment of alcohol dependence and opioid dependence, schizophrenia, bipolar I disorder and narcolepsy and a pipeline of clinical and preclinical candidates in development for neurological disorders. Headquartered in Ireland, Alkermes also has a corporate office and research and development (“R&amp;D”) center in Massachusetts and a manufacturing facility in Ohio.</w:t>
      </w:r>
    </w:p>
    <w:p>
      <w:pPr>
        <w:spacing w:after="0" w:line="110"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October 2025, the Company and Avadel Pharmaceuticals plc (“Avadel”) entered into a definitive transaction agreement, subsequently amended in November 2025 (the “Transaction Agreement”), pursuant to which the Company agreed to acquire the entire issued and to be issued ordinary share capital of Avadel for consideration of (i) $21.00 per ordinary share, nominal value $0.01 per share, of Avadel (each, an “Avadel Share”), payable in cash at closing and (ii) a non-transferable contingent value right (the “CVR”) entitling holders of Avadel Shares to a potential additional cash payment of $1.50 per Avadel Share, contingent upon achievement of a certain specified milestone (the “Avadel Acquisition”). The Company incurred costs of approximately $10.0 million in connection with the Avadel Acquisition during the fourth quarter of 2025. On February 12, 2026, the Company successfully completed the Avadel Acquisition, adding both LUMRYZ to the Company’s portfolio of proprietary commercial products and a commercial organization with experience in narcolepsy.</w:t>
      </w:r>
    </w:p>
    <w:p>
      <w:pPr>
        <w:spacing w:after="0" w:line="127"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In May 2024, the Company completed the sale of its development and manufacturing facility in Athlone, Ireland (the “Athlone Facility”) and related business to Novo Nordisk (“Novo”) pursuant to an asset purchase agreement entered into in December 2023. The Company and Novo also entered into subcontracting arrangements to continue certain development and manufacturing activities performed at the Athlone Facility for a period of time after the closing of the transaction, which activities concluded by the end of 2025. In connection with the sale of the Athlone Facility, the Company received $97.9 million from Novo, which included a payment of approximately $91.0 million for the facility and certain related assets, and recorded a gain of approximately $1.5 million within “Other income (expense), net” in the accompanying consolidated statements of operations and comprehensive income for the year ended December 31, 2024.</w:t>
      </w:r>
    </w:p>
    <w:p>
      <w:pPr>
        <w:spacing w:after="0" w:line="60"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November 2023, the Company completed the separation of its former oncology business into Mural Oncology plc (“Mural”), a new, independent, publicly-traded company (the “Separation”). The Separation was effected by means of a distribution of all of the outstanding ordinary shares of Mural to the Company’s shareholders (the “Distribution”), in which each of the Company’s shareholders received one ordinary share, nominal value $0.01 per share, of Mural for every ten ordinary shares, par value $0.01 per share, of the Company (the “Distribution Ratio”) held by such shareholder as of the close of business on November 6, 2023, the record date for the Distribution (the “Record Date”). The historical results of the oncology business have been reflected as discontinued operations in the Company’s consolidated financial statements through November 15, 2023 (the “Separation Date”). For additional information related to the Separation, see Note 15,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xml:space="preserve"> in these “Notes to Consolidated Financial Statements” in this Annual Report.</w:t>
      </w: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33"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Alkermes plc and its wholly-owned subsidiaries that were subsidiaries of Alkermes plc during the year ended December 31, 2025 and do not include any accounts of subsidiaries acquired in February 2026 as part of the Avadel Acquisition. Intercompany accounts and transactions have been eliminated. Columns and rows within tables may not sum due to rounding.</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w:t>
      </w:r>
    </w:p>
    <w:p>
      <w:pPr>
        <w:spacing w:after="0" w:line="122"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 xml:space="preserve">The Company has presented its former oncology business as discontinued operations in its consolidated statement of operations and comprehensive income as of December 31, 2023. See Note 15,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xml:space="preserve"> in these “Notes to Consolidated Financial Statements” in this Annual Report for additional information.</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Discontinued Operations</w:t>
      </w:r>
    </w:p>
    <w:p>
      <w:pPr>
        <w:spacing w:after="0" w:line="133"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 xml:space="preserve">The Company determined that the Separation met the criteria for classification of the former oncology business as discontinued operations in accordance with Financial Accounting Standards Board (“FASB”) Accounting Standards Codification (“ASC”) 205,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Accordingly, the accompanying consolidated financial statements have been updated to present the results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oncology business as discontinued operations through the Separation Date for the year ended December 31, 2023 in the consolidated statements of operations and comprehensive income.</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22" w:lineRule="exact"/>
        <w:rPr>
          <w:sz w:val="20"/>
          <w:szCs w:val="20"/>
          <w:color w:val="auto"/>
        </w:rPr>
      </w:pPr>
    </w:p>
    <w:p>
      <w:pPr>
        <w:ind w:left="640" w:right="759" w:firstLine="351"/>
        <w:spacing w:after="0" w:line="260"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accordance with accounting principles generally accepted in the United States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of intangibles and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auto"/>
        </w:rPr>
        <w:t>Cash and cash equivalents</w:t>
      </w:r>
    </w:p>
    <w:p>
      <w:pPr>
        <w:spacing w:after="0" w:line="118" w:lineRule="exact"/>
        <w:rPr>
          <w:sz w:val="20"/>
          <w:szCs w:val="20"/>
          <w:color w:val="auto"/>
        </w:rPr>
      </w:pPr>
    </w:p>
    <w:p>
      <w:pPr>
        <w:jc w:val="both"/>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The Company values its cash and cash equivalents at cost plus accrued interest, which the Company believes approximates its market value. The Company considers as cash equivalents only those investments that are highly liquid, readily convertible into cash and so near their maturity (three months from the date of purchase) that they present insignificant risk of change in value because of interest rate changes.</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auto"/>
        </w:rPr>
        <w:t>Restricted Cash</w:t>
      </w:r>
    </w:p>
    <w:p>
      <w:pPr>
        <w:spacing w:after="0" w:line="129" w:lineRule="exact"/>
        <w:rPr>
          <w:sz w:val="20"/>
          <w:szCs w:val="20"/>
          <w:color w:val="auto"/>
        </w:rPr>
      </w:pPr>
    </w:p>
    <w:p>
      <w:pPr>
        <w:ind w:left="640" w:right="899" w:firstLine="351"/>
        <w:spacing w:after="0" w:line="274" w:lineRule="auto"/>
        <w:rPr>
          <w:sz w:val="20"/>
          <w:szCs w:val="20"/>
          <w:color w:val="auto"/>
        </w:rPr>
      </w:pPr>
      <w:r>
        <w:rPr>
          <w:rFonts w:ascii="Times New Roman" w:cs="Times New Roman" w:eastAsia="Times New Roman" w:hAnsi="Times New Roman"/>
          <w:sz w:val="14"/>
          <w:szCs w:val="14"/>
          <w:color w:val="auto"/>
        </w:rPr>
        <w:t>The Company’s restricted cash balance as of December 31, 2025 represents cash held in escrow to finance the portion of the consideration for the Avadel Acquisition that is in excess of the amounts secured under the bridge term loan credit agreement, as amended and restated on November 18, 2025 (the “Bridge Credit Agreement”).</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33"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Company has investments in various types of securities, consisting primarily of United States (“U.S.”). government and agency obligations and corporate debt securities. The Company generally holds its interest-bearing investments with major financial institutions and in accordance with documented investment policies. The Company limits the amount of credit exposure to any one financial institution or corporate issuer. The Company classifies these investments as available-for-sale, with such investments carried at fair value and unrealized gains and losses included in accumulated other comprehensive income, net of related tax. Realized gains and losses on available-for-sale debt securities are included in other income (expense),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w:t>
      </w:r>
    </w:p>
    <w:p>
      <w:pPr>
        <w:spacing w:after="0" w:line="95"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Company’s held-to-maturity investments are restricted investments held as collateral under letters of credit related to certain of the Company’s agreements and are included in “Investments—long-term,” in the accompanying consolidated balance sheets.</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3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Company’s financial assets and liabilities are recorded at fair value and are classified as Level 1, 2 or 3 within the fair value hierarchy, as described in the accounting standards for fair value measurement. At December 31, 2025, the Company’s financial assets consisted of cash equivalents and investments and are classified within the fair value hierarchy as follows:</w:t>
      </w:r>
    </w:p>
    <w:p>
      <w:pPr>
        <w:spacing w:after="0" w:line="48" w:lineRule="exact"/>
        <w:rPr>
          <w:sz w:val="20"/>
          <w:szCs w:val="20"/>
          <w:color w:val="auto"/>
        </w:rPr>
      </w:pPr>
    </w:p>
    <w:p>
      <w:pPr>
        <w:ind w:left="1340" w:right="739" w:hanging="249"/>
        <w:spacing w:after="0" w:line="269"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Level 1</w:t>
      </w:r>
      <w:r>
        <w:rPr>
          <w:rFonts w:ascii="Times New Roman" w:cs="Times New Roman" w:eastAsia="Times New Roman" w:hAnsi="Times New Roman"/>
          <w:sz w:val="14"/>
          <w:szCs w:val="14"/>
          <w:color w:val="auto"/>
        </w:rPr>
        <w:t>–these valuations are based on a market approach using quoted prices in active markets for identical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Valuations of these products do not require a significant degree of judgment. Assets utilizing Level 1 inputs at December 31, 2025 included U.S. treasury securities, marketable securities classified as cash equivalents and a fixed term deposit account;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5" w:lineRule="exact"/>
        <w:rPr>
          <w:sz w:val="20"/>
          <w:szCs w:val="20"/>
          <w:color w:val="auto"/>
        </w:rPr>
      </w:pPr>
    </w:p>
    <w:p>
      <w:pPr>
        <w:ind w:left="1340" w:right="699" w:hanging="249"/>
        <w:spacing w:after="0" w:line="269"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Level 2</w:t>
      </w:r>
      <w:r>
        <w:rPr>
          <w:rFonts w:ascii="Times New Roman" w:cs="Times New Roman" w:eastAsia="Times New Roman" w:hAnsi="Times New Roman"/>
          <w:sz w:val="14"/>
          <w:szCs w:val="14"/>
          <w:color w:val="auto"/>
        </w:rPr>
        <w:t>–these valuations are based on quoted prices for identical or similar assets in active markets or other 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observable inputs such as interest rates, yield curves, foreign currency spot rates and option pricing valuation models. Assets utilizing Level 2 inputs at December 31, 2025 included U.S. government agency debt securities and investments in corporate debt securities that are trading in the credit markets; and</w:t>
      </w:r>
    </w:p>
    <w:p>
      <w:pPr>
        <w:spacing w:after="0" w:line="51" w:lineRule="exact"/>
        <w:rPr>
          <w:rFonts w:ascii="Times New Roman" w:cs="Times New Roman" w:eastAsia="Times New Roman" w:hAnsi="Times New Roman"/>
          <w:sz w:val="14"/>
          <w:szCs w:val="14"/>
          <w:color w:val="auto"/>
        </w:rPr>
      </w:pPr>
    </w:p>
    <w:p>
      <w:pPr>
        <w:ind w:left="1340" w:right="1019" w:hanging="249"/>
        <w:spacing w:after="0" w:line="295"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Level 3</w:t>
      </w:r>
      <w:r>
        <w:rPr>
          <w:rFonts w:ascii="Times New Roman" w:cs="Times New Roman" w:eastAsia="Times New Roman" w:hAnsi="Times New Roman"/>
          <w:sz w:val="14"/>
          <w:szCs w:val="14"/>
          <w:color w:val="auto"/>
        </w:rPr>
        <w:t>- these valuations are based on significant inputs not observable in markets. Assets utilizing Level 3 inputs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2025 included an investments in a corporate debt security.</w:t>
      </w:r>
    </w:p>
    <w:p>
      <w:pPr>
        <w:spacing w:after="0" w:line="68"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The carrying amounts reflected in the consolidated balance sheets for cash and cash equivalents, accounts receivable, contract assets, other current assets, accounts payable and accrued expenses and accrued sales discounts, allowances and reserves approximate fair value due to their short-term nature.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22"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Inventory is stated at the lower of cost and net realizable value. The Company utilizes a standard cost basis, which approximates cost determined using the first-in first-out method. Cost is determined using the first-in, first-out method. Included in inventory are raw materials used in production of preclinical and clinical products, which have alternative future use and are charged to R&amp;D expense when consumed. The cost elements included within inventory include three primary categories for commercial products: cost of raw materials; direct labor; and overhead. Overhead is based on the normal capacity of the Company’s production facility and does not include costs from abnormally low production or idle capacity, which are expensed directly to the consolidated statement of operations and comprehensive income.</w:t>
      </w:r>
    </w:p>
    <w:p>
      <w:pPr>
        <w:spacing w:after="0" w:line="9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Company capitalizes inventory costs associated with its products prior to regulatory approval when, based on management’s judgment, future commercialization of the product is considered probable and future economic benefit from such product is expected to be realized. The Company assesses the regulatory approval process and where the particular product stands in relation to that approval process, including any known safety, efficacy or quality concerns, potential labeling restrictions and other potential impediments to approval. The Company also considers the shelf life of the product in relation to the expected timeline for approval and considers issues that may prevent or delay commercialization, including issues that may arise in relation to the manufacturing of the product. The Company expenses previously capitalized costs related to pre-approval inventory upon a change in such judgment, due to, among other potential factors, a denial or significant delay of approval by relevant regulatory agencies or other issues that may make the pre-approval inventory batches less likely or unlikely to be commercialized and to result in future economic benefit.</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22"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Property, plant and equipment are recorded at cost, subject to review for impairment whenever events or changes in circumstances indicate that the carrying amount of the assets may not be recoverable. Expenditures for repairs and maintenance are charged to expense as incurred and major renewals and improvements are capitalized. Depreciation is calculated using the straight-line method over the following estimated useful lives of the assets: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Asset group</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Term</w:t>
            </w:r>
          </w:p>
        </w:tc>
      </w:tr>
      <w:tr>
        <w:trPr>
          <w:trHeight w:val="163"/>
        </w:trPr>
        <w:tc>
          <w:tcPr>
            <w:tcW w:w="20" w:type="dxa"/>
            <w:vAlign w:val="bottom"/>
          </w:tcPr>
          <w:p>
            <w:pPr>
              <w:spacing w:after="0"/>
              <w:rPr>
                <w:sz w:val="14"/>
                <w:szCs w:val="14"/>
                <w:color w:val="auto"/>
              </w:rPr>
            </w:pPr>
          </w:p>
        </w:tc>
        <w:tc>
          <w:tcPr>
            <w:tcW w:w="5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40" w:type="dxa"/>
            <w:vAlign w:val="bottom"/>
            <w:shd w:val="clear" w:color="auto" w:fill="CFF0FC"/>
          </w:tcPr>
          <w:p>
            <w:pPr>
              <w:spacing w:after="0"/>
              <w:rPr>
                <w:sz w:val="14"/>
                <w:szCs w:val="14"/>
                <w:color w:val="auto"/>
              </w:rPr>
            </w:pPr>
          </w:p>
        </w:tc>
        <w:tc>
          <w:tcPr>
            <w:tcW w:w="2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25 years</w:t>
            </w: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5 - 7 years</w:t>
            </w:r>
          </w:p>
        </w:tc>
      </w:tr>
      <w:tr>
        <w:trPr>
          <w:trHeight w:val="172"/>
        </w:trPr>
        <w:tc>
          <w:tcPr>
            <w:tcW w:w="20" w:type="dxa"/>
            <w:vAlign w:val="bottom"/>
          </w:tcPr>
          <w:p>
            <w:pPr>
              <w:spacing w:after="0"/>
              <w:rPr>
                <w:sz w:val="14"/>
                <w:szCs w:val="14"/>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shd w:val="clear" w:color="auto" w:fill="CFF0FC"/>
          </w:tcPr>
          <w:p>
            <w:pPr>
              <w:spacing w:after="0"/>
              <w:rPr>
                <w:sz w:val="14"/>
                <w:szCs w:val="14"/>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Shorter of useful life or lease term</w:t>
            </w:r>
          </w:p>
        </w:tc>
      </w:tr>
    </w:tbl>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33"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Goodwill represents the excess cost of the Company’s investment in the net assets of acquired companies over the fair value of the underlying identifiable net assets at the date of acquisition. The Company’s goodwill consists solely of goodwill created as a result of the Company’s acquisition of Elan Drug Technologies (“EDT”) from Elan Corporation, plc (such acquisition, the “Business Combination”) in September 2011 and has been assigned to one reporting unit. A reporting unit is an operating segment or one level below an operating segment or a component to which goodwill is assigned when initially recorded.</w:t>
      </w:r>
    </w:p>
    <w:p>
      <w:pPr>
        <w:spacing w:after="0" w:line="78"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Goodwill is not amortized but is reviewed for impairment on an annual basis, as of October 31, and whenever events or changes in circumstances indicate that the carrying value of the goodwill might not be recoverable. The Company has the option to first assess qualitative factors to determine whether it is necessary to perform the quantitative impairment test. If the Company elects this option and believes, as a result of the qualitative assessment, that it is more-likely-than-not that the fair value of its reporting unit is less than its carrying amount, the quantitative impairment test is required; otherwise, no further testing is required. Alternatively, the Company may elect to not first assess qualitative factors and immediately perform the quantitative impairment test. In the quantitative impairment test, the Company compares the fair value of its reporting unit to its carrying value. If the carrying value of the net assets assigned to the reporting unit exceeds the fair value of the reporting unit, then the Company would record an impairment loss equal to the difference.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When some, but not all, of a reporting unit is to be disposed of, the accounting for that reporting unit’s goodwill will depend on whether the disposal group constitutes a business. If the disposal group constitutes a business, the Company attributes a portion of the reporting unit’s goodwill to the disposal group based on the relative fair values of: (i) the disposal group; and (ii) the portion of the reporting unit that will be retained.</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33"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Company reviews long-lived assets to be held and used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a significant adverse change in legal factors or in the business climate that could affect the value of a long-lived asset; an accumulation of costs significantly in excess of the amount originally expected for the acquisition or construction of a long-lived asset; a current-period operating or cash flow loss combined with a history of operating or cash-flow losses or a projection or forecast that demonstrates continuing losses associated with the use of a long-lived asset; or a current expectation that, more likely than not, a long-lived asset will be sold or otherwise disposed of significantly before the end of its previously estimated useful life.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 Long-lived assets to be disposed of are carried at fair value less costs to sell them.</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Revenue from Contracts with Customers</w:t>
      </w:r>
    </w:p>
    <w:p>
      <w:pPr>
        <w:spacing w:after="0" w:line="133"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 xml:space="preserve">The Company recognizes revenue when its customer obtains control of promised goods or services, in an amount that reflects the consideration which it expects to receive in exchange for those goods or services. The Company recognizes revenue following the five-step model prescribed in accordance with FASB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(“Topic 606”): (i) identify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auto"/>
        </w:rPr>
        <w:t>Product Sales, Net</w:t>
      </w:r>
    </w:p>
    <w:p>
      <w:pPr>
        <w:spacing w:after="0" w:line="123" w:lineRule="exact"/>
        <w:rPr>
          <w:sz w:val="20"/>
          <w:szCs w:val="20"/>
          <w:color w:val="auto"/>
        </w:rPr>
      </w:pPr>
    </w:p>
    <w:p>
      <w:pPr>
        <w:ind w:left="640" w:right="699" w:firstLine="351"/>
        <w:spacing w:after="0" w:line="218" w:lineRule="auto"/>
        <w:rPr>
          <w:sz w:val="20"/>
          <w:szCs w:val="20"/>
          <w:color w:val="auto"/>
        </w:rPr>
      </w:pPr>
      <w:r>
        <w:rPr>
          <w:rFonts w:ascii="Times New Roman" w:cs="Times New Roman" w:eastAsia="Times New Roman" w:hAnsi="Times New Roman"/>
          <w:sz w:val="14"/>
          <w:szCs w:val="14"/>
          <w:color w:val="auto"/>
        </w:rPr>
        <w:t>The Company’s product sales, net in 2025 and 2024 consisted of sales in the U.S. of ARISTADA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ARISTADA INITIO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LYBALVI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and VIVITROL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primarily to wholesalers, specialty distributors and pharmacies. Product sales, net are recognized when the customer obtains control of the product, which is when the product has been received by the customer.</w:t>
      </w:r>
    </w:p>
    <w:p>
      <w:pPr>
        <w:spacing w:after="0" w:line="107"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The following are the Company’s significant categories of sales discounts and allowances:</w:t>
      </w:r>
    </w:p>
    <w:p>
      <w:pPr>
        <w:spacing w:after="0" w:line="58" w:lineRule="exact"/>
        <w:rPr>
          <w:sz w:val="20"/>
          <w:szCs w:val="20"/>
          <w:color w:val="auto"/>
        </w:rPr>
      </w:pPr>
    </w:p>
    <w:p>
      <w:pPr>
        <w:ind w:left="1340" w:right="659" w:hanging="249"/>
        <w:spacing w:after="0" w:line="260"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Medicaid Rebates</w:t>
      </w:r>
      <w:r>
        <w:rPr>
          <w:rFonts w:ascii="Times New Roman" w:cs="Times New Roman" w:eastAsia="Times New Roman" w:hAnsi="Times New Roman"/>
          <w:sz w:val="14"/>
          <w:szCs w:val="14"/>
          <w:color w:val="auto"/>
        </w:rPr>
        <w:t>—the Company records accruals for rebates to U.S. states under the Medicaid Drug Rebate Program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reduction of sales when the product is shipped into the distribution channel using the expected value method.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 In 2025, actual Medicaid utilization rates related to VIVITROL and ARISTADA/ARISTADA INITIO, were lower than original estimates by approximately $26.7 million and $13.6 million, respectively. In 2024, actual Medicaid utilization rates related to VIVITROL were lower than original estimates, due, in part, to $8.7 million in actual credits received from certain states in the fourth quarter of 2024 related to duplicate Medicaid billings;</w:t>
      </w:r>
    </w:p>
    <w:p>
      <w:pPr>
        <w:spacing w:after="0" w:line="60" w:lineRule="exact"/>
        <w:rPr>
          <w:rFonts w:ascii="Times New Roman" w:cs="Times New Roman" w:eastAsia="Times New Roman" w:hAnsi="Times New Roman"/>
          <w:sz w:val="14"/>
          <w:szCs w:val="14"/>
          <w:color w:val="auto"/>
        </w:rPr>
      </w:pPr>
    </w:p>
    <w:p>
      <w:pPr>
        <w:ind w:left="1340" w:right="679" w:hanging="249"/>
        <w:spacing w:after="0" w:line="26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Chargebacks</w:t>
      </w:r>
      <w:r>
        <w:rPr>
          <w:rFonts w:ascii="Times New Roman" w:cs="Times New Roman" w:eastAsia="Times New Roman" w:hAnsi="Times New Roman"/>
          <w:sz w:val="14"/>
          <w:szCs w:val="14"/>
          <w:color w:val="auto"/>
        </w:rPr>
        <w:t>—discounts that occur when contracted indirect customers purchase directly from wholesalers and specialty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distributors. Contracted customers generally purchase a product at its contracted price. The wholesaler or specialty distributor, in turn, then generally charges back to the Company the difference between the wholesale acquisition cost and the contracted price paid to the wholesaler or specialty distributor by the customer. The allowance for chargebacks is made using the expected value method and is based on actual and expected utilization of these programs. Chargebacks could exceed historical experience and the Company’s estimates of future participation in these programs. To date, actual chargebacks have not differed materially from the Company’s estimates;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5" w:lineRule="exact"/>
        <w:rPr>
          <w:sz w:val="20"/>
          <w:szCs w:val="20"/>
          <w:color w:val="auto"/>
        </w:rPr>
      </w:pPr>
    </w:p>
    <w:p>
      <w:pPr>
        <w:ind w:left="1340" w:right="799" w:hanging="249"/>
        <w:spacing w:after="0" w:line="269"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Product Discounts</w:t>
      </w:r>
      <w:r>
        <w:rPr>
          <w:rFonts w:ascii="Times New Roman" w:cs="Times New Roman" w:eastAsia="Times New Roman" w:hAnsi="Times New Roman"/>
          <w:sz w:val="14"/>
          <w:szCs w:val="14"/>
          <w:color w:val="auto"/>
        </w:rPr>
        <w:t>—cash consideration, including sales incentives, given by the Company under agreements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number of wholesaler, distributor, pharmacy, and treatment provider customers that provide them with a discount on the purchase price of products. The reserve is made using the expected value method and to date, actual product discounts have not differed materially from the Company’s estimates;</w:t>
      </w:r>
    </w:p>
    <w:p>
      <w:pPr>
        <w:spacing w:after="0" w:line="51" w:lineRule="exact"/>
        <w:rPr>
          <w:rFonts w:ascii="Times New Roman" w:cs="Times New Roman" w:eastAsia="Times New Roman" w:hAnsi="Times New Roman"/>
          <w:sz w:val="14"/>
          <w:szCs w:val="14"/>
          <w:color w:val="auto"/>
        </w:rPr>
      </w:pPr>
    </w:p>
    <w:p>
      <w:pPr>
        <w:ind w:left="1340" w:right="699" w:hanging="249"/>
        <w:spacing w:after="0" w:line="266"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Product Returns</w:t>
      </w:r>
      <w:r>
        <w:rPr>
          <w:rFonts w:ascii="Times New Roman" w:cs="Times New Roman" w:eastAsia="Times New Roman" w:hAnsi="Times New Roman"/>
          <w:sz w:val="14"/>
          <w:szCs w:val="14"/>
          <w:color w:val="auto"/>
        </w:rPr>
        <w:t>—the Company records an estimate for product returns at the time its customers take control of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The Company estimates this liability using the expected returns of product sold based on historical return levels and specifically identified anticipated returns due to known business conditions and product expiry dates. Return amounts are recorded as a reduction of sales. Once product is returned, it is destroyed. To date, actual product returns have not differed materially from the Company’s estimates; and</w:t>
      </w:r>
    </w:p>
    <w:p>
      <w:pPr>
        <w:spacing w:after="0" w:line="52" w:lineRule="exact"/>
        <w:rPr>
          <w:rFonts w:ascii="Times New Roman" w:cs="Times New Roman" w:eastAsia="Times New Roman" w:hAnsi="Times New Roman"/>
          <w:sz w:val="14"/>
          <w:szCs w:val="14"/>
          <w:color w:val="auto"/>
        </w:rPr>
      </w:pPr>
    </w:p>
    <w:p>
      <w:pPr>
        <w:ind w:left="1340" w:right="759" w:hanging="249"/>
        <w:spacing w:after="0" w:line="266"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Medicare Part D</w:t>
      </w:r>
      <w:r>
        <w:rPr>
          <w:rFonts w:ascii="Times New Roman" w:cs="Times New Roman" w:eastAsia="Times New Roman" w:hAnsi="Times New Roman"/>
          <w:sz w:val="14"/>
          <w:szCs w:val="14"/>
          <w:color w:val="auto"/>
        </w:rPr>
        <w:t>—the Company records accruals for Medicare Part D liabilities under the Medicare Manufacturer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Discount Program as a reduction of sales. Under an agreement with the Centers for Medicare and Medicaid Services, manufacturers are responsible for reimbursing Medicare for a specified percentage discount on the cost of applicable drugs during the initial coverage phase and a specified percentage discount during the catastrophic coverage phase of the Medicare Part D benefit. Actual Medicare Part D rebates have not differed materially from the Company’s estimates.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rollforward of the Company’s provisions for sales and allowances is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12"/>
          </w:tcPr>
          <w:p>
            <w:pPr>
              <w:ind w:left="40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right="131"/>
              <w:spacing w:after="0" w:line="88" w:lineRule="exact"/>
              <w:rPr>
                <w:sz w:val="20"/>
                <w:szCs w:val="20"/>
                <w:color w:val="auto"/>
              </w:rPr>
            </w:pPr>
            <w:r>
              <w:rPr>
                <w:rFonts w:ascii="Times New Roman" w:cs="Times New Roman" w:eastAsia="Times New Roman" w:hAnsi="Times New Roman"/>
                <w:sz w:val="10"/>
                <w:szCs w:val="10"/>
                <w:b w:val="1"/>
                <w:bCs w:val="1"/>
                <w:color w:val="auto"/>
              </w:rPr>
              <w:t>Contractual</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Discounts</w:t>
            </w:r>
            <w:r>
              <w:rPr>
                <w:rFonts w:ascii="Times New Roman" w:cs="Times New Roman" w:eastAsia="Times New Roman" w:hAnsi="Times New Roman"/>
                <w:sz w:val="15"/>
                <w:szCs w:val="15"/>
                <w:b w:val="1"/>
                <w:bCs w:val="1"/>
                <w:color w:val="auto"/>
                <w:vertAlign w:val="superscript"/>
              </w:rPr>
              <w:t>(2)</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Product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Borders>
              <w:bottom w:val="single" w:sz="8" w:color="auto"/>
            </w:tcBorders>
            <w:gridSpan w:val="2"/>
          </w:tcPr>
          <w:p>
            <w:pPr>
              <w:jc w:val="center"/>
              <w:ind w:right="11"/>
              <w:spacing w:after="0" w:line="140" w:lineRule="exact"/>
              <w:rPr>
                <w:sz w:val="20"/>
                <w:szCs w:val="20"/>
                <w:color w:val="auto"/>
              </w:rPr>
            </w:pPr>
            <w:r>
              <w:rPr>
                <w:rFonts w:ascii="Times New Roman" w:cs="Times New Roman" w:eastAsia="Times New Roman" w:hAnsi="Times New Roman"/>
                <w:sz w:val="11"/>
                <w:szCs w:val="11"/>
                <w:b w:val="1"/>
                <w:bCs w:val="1"/>
                <w:color w:val="auto"/>
              </w:rPr>
              <w:t>Adjustments</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Returns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 balance — December 31, 2024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228,978</w:t>
            </w:r>
          </w:p>
        </w:tc>
        <w:tc>
          <w:tcPr>
            <w:tcW w:w="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43,645</w:t>
            </w:r>
          </w:p>
        </w:tc>
        <w:tc>
          <w:tcPr>
            <w:tcW w:w="20" w:type="dxa"/>
            <w:vAlign w:val="bottom"/>
            <w:shd w:val="clear" w:color="auto" w:fill="CFF0FC"/>
          </w:tcPr>
          <w:p>
            <w:pPr>
              <w:spacing w:after="0"/>
              <w:rPr>
                <w:sz w:val="14"/>
                <w:szCs w:val="14"/>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50,507</w:t>
            </w:r>
          </w:p>
        </w:tc>
        <w:tc>
          <w:tcPr>
            <w:tcW w:w="40" w:type="dxa"/>
            <w:vAlign w:val="bottom"/>
            <w:shd w:val="clear" w:color="auto" w:fill="CFF0FC"/>
          </w:tcPr>
          <w:p>
            <w:pPr>
              <w:spacing w:after="0"/>
              <w:rPr>
                <w:sz w:val="14"/>
                <w:szCs w:val="14"/>
                <w:color w:val="auto"/>
              </w:rPr>
            </w:pPr>
          </w:p>
        </w:tc>
        <w:tc>
          <w:tcPr>
            <w:tcW w:w="24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13,297</w:t>
            </w:r>
          </w:p>
        </w:tc>
        <w:tc>
          <w:tcPr>
            <w:tcW w:w="2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336,427</w:t>
            </w:r>
          </w:p>
        </w:tc>
        <w:tc>
          <w:tcPr>
            <w:tcW w:w="0" w:type="dxa"/>
            <w:vAlign w:val="bottom"/>
          </w:tcPr>
          <w:p>
            <w:pPr>
              <w:spacing w:after="0"/>
              <w:rPr>
                <w:sz w:val="1"/>
                <w:szCs w:val="1"/>
                <w:color w:val="auto"/>
              </w:rPr>
            </w:pPr>
          </w:p>
        </w:tc>
      </w:tr>
      <w:tr>
        <w:trPr>
          <w:trHeight w:val="17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Current provisions relating to sales in current year</w:t>
            </w:r>
          </w:p>
        </w:tc>
        <w:tc>
          <w:tcPr>
            <w:tcW w:w="8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544,520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420,368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89,083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1,083,885</w:t>
            </w:r>
          </w:p>
        </w:tc>
        <w:tc>
          <w:tcPr>
            <w:tcW w:w="0" w:type="dxa"/>
            <w:vAlign w:val="bottom"/>
          </w:tcPr>
          <w:p>
            <w:pPr>
              <w:spacing w:after="0"/>
              <w:rPr>
                <w:sz w:val="1"/>
                <w:szCs w:val="1"/>
                <w:color w:val="auto"/>
              </w:rPr>
            </w:pPr>
          </w:p>
        </w:tc>
      </w:tr>
      <w:tr>
        <w:trPr>
          <w:trHeight w:val="172"/>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Adjustments relating to prior years</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(43,310)</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(12,561)</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(56,055)</w:t>
            </w:r>
          </w:p>
        </w:tc>
        <w:tc>
          <w:tcPr>
            <w:tcW w:w="0" w:type="dxa"/>
            <w:vAlign w:val="bottom"/>
          </w:tcPr>
          <w:p>
            <w:pPr>
              <w:spacing w:after="0"/>
              <w:rPr>
                <w:sz w:val="1"/>
                <w:szCs w:val="1"/>
                <w:color w:val="auto"/>
              </w:rPr>
            </w:pPr>
          </w:p>
        </w:tc>
      </w:tr>
      <w:tr>
        <w:trPr>
          <w:trHeight w:val="17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Payments relating to sales in current year</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(871,806)</w:t>
            </w:r>
          </w:p>
        </w:tc>
        <w:tc>
          <w:tcPr>
            <w:tcW w:w="0" w:type="dxa"/>
            <w:vAlign w:val="bottom"/>
          </w:tcPr>
          <w:p>
            <w:pPr>
              <w:spacing w:after="0"/>
              <w:rPr>
                <w:sz w:val="1"/>
                <w:szCs w:val="1"/>
                <w:color w:val="auto"/>
              </w:rPr>
            </w:pPr>
          </w:p>
        </w:tc>
      </w:tr>
      <w:tr>
        <w:trPr>
          <w:trHeight w:val="172"/>
        </w:trPr>
        <w:tc>
          <w:tcPr>
            <w:tcW w:w="3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Payments relating to sales in prior years</w:t>
            </w:r>
          </w:p>
        </w:tc>
        <w:tc>
          <w:tcPr>
            <w:tcW w:w="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(127,476)</w:t>
            </w:r>
          </w:p>
        </w:tc>
        <w:tc>
          <w:tcPr>
            <w:tcW w:w="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(23,935)</w:t>
            </w:r>
          </w:p>
        </w:tc>
        <w:tc>
          <w:tcPr>
            <w:tcW w:w="2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(12,405)</w:t>
            </w:r>
          </w:p>
        </w:tc>
        <w:tc>
          <w:tcPr>
            <w:tcW w:w="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(12,600)</w:t>
            </w:r>
          </w:p>
        </w:tc>
        <w:tc>
          <w:tcPr>
            <w:tcW w:w="4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(176,416)</w:t>
            </w:r>
          </w:p>
        </w:tc>
        <w:tc>
          <w:tcPr>
            <w:tcW w:w="0" w:type="dxa"/>
            <w:vAlign w:val="bottom"/>
          </w:tcPr>
          <w:p>
            <w:pPr>
              <w:spacing w:after="0"/>
              <w:rPr>
                <w:sz w:val="1"/>
                <w:szCs w:val="1"/>
                <w:color w:val="auto"/>
              </w:rPr>
            </w:pPr>
          </w:p>
        </w:tc>
      </w:tr>
      <w:tr>
        <w:trPr>
          <w:trHeight w:val="16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Ending balance — December 31, 2025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209,911</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41,327</w:t>
            </w:r>
          </w:p>
        </w:tc>
        <w:tc>
          <w:tcPr>
            <w:tcW w:w="20" w:type="dxa"/>
            <w:vAlign w:val="bottom"/>
          </w:tcPr>
          <w:p>
            <w:pPr>
              <w:spacing w:after="0"/>
              <w:rPr>
                <w:sz w:val="14"/>
                <w:szCs w:val="14"/>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55,455</w:t>
            </w:r>
          </w:p>
        </w:tc>
        <w:tc>
          <w:tcPr>
            <w:tcW w:w="40" w:type="dxa"/>
            <w:vAlign w:val="bottom"/>
          </w:tcPr>
          <w:p>
            <w:pPr>
              <w:spacing w:after="0"/>
              <w:rPr>
                <w:sz w:val="14"/>
                <w:szCs w:val="14"/>
                <w:color w:val="auto"/>
              </w:rPr>
            </w:pPr>
          </w:p>
        </w:tc>
        <w:tc>
          <w:tcPr>
            <w:tcW w:w="2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9,342</w:t>
            </w:r>
          </w:p>
        </w:tc>
        <w:tc>
          <w:tcPr>
            <w:tcW w:w="2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316,035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1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12"/>
          </w:tcPr>
          <w:p>
            <w:pPr>
              <w:ind w:left="40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6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right="131"/>
              <w:spacing w:after="0" w:line="88" w:lineRule="exact"/>
              <w:rPr>
                <w:sz w:val="20"/>
                <w:szCs w:val="20"/>
                <w:color w:val="auto"/>
              </w:rPr>
            </w:pPr>
            <w:r>
              <w:rPr>
                <w:rFonts w:ascii="Times New Roman" w:cs="Times New Roman" w:eastAsia="Times New Roman" w:hAnsi="Times New Roman"/>
                <w:sz w:val="10"/>
                <w:szCs w:val="10"/>
                <w:b w:val="1"/>
                <w:bCs w:val="1"/>
                <w:color w:val="auto"/>
              </w:rPr>
              <w:t>Contractual</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Discounts</w:t>
            </w:r>
            <w:r>
              <w:rPr>
                <w:rFonts w:ascii="Times New Roman" w:cs="Times New Roman" w:eastAsia="Times New Roman" w:hAnsi="Times New Roman"/>
                <w:sz w:val="15"/>
                <w:szCs w:val="15"/>
                <w:b w:val="1"/>
                <w:bCs w:val="1"/>
                <w:color w:val="auto"/>
                <w:vertAlign w:val="superscript"/>
              </w:rPr>
              <w:t>(2)</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Product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Borders>
              <w:bottom w:val="single" w:sz="8" w:color="auto"/>
            </w:tcBorders>
            <w:gridSpan w:val="2"/>
          </w:tcPr>
          <w:p>
            <w:pPr>
              <w:jc w:val="center"/>
              <w:ind w:right="11"/>
              <w:spacing w:after="0" w:line="140" w:lineRule="exact"/>
              <w:rPr>
                <w:sz w:val="20"/>
                <w:szCs w:val="20"/>
                <w:color w:val="auto"/>
              </w:rPr>
            </w:pPr>
            <w:r>
              <w:rPr>
                <w:rFonts w:ascii="Times New Roman" w:cs="Times New Roman" w:eastAsia="Times New Roman" w:hAnsi="Times New Roman"/>
                <w:sz w:val="11"/>
                <w:szCs w:val="11"/>
                <w:b w:val="1"/>
                <w:bCs w:val="1"/>
                <w:color w:val="auto"/>
              </w:rPr>
              <w:t>Adjustments</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Returns</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 balance — December 31, 2023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234,414</w:t>
            </w:r>
          </w:p>
        </w:tc>
        <w:tc>
          <w:tcPr>
            <w:tcW w:w="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20" w:type="dxa"/>
            <w:vAlign w:val="bottom"/>
            <w:shd w:val="clear" w:color="auto" w:fill="CFF0FC"/>
          </w:tcPr>
          <w:p>
            <w:pPr>
              <w:spacing w:after="0"/>
              <w:rPr>
                <w:sz w:val="14"/>
                <w:szCs w:val="14"/>
                <w:color w:val="auto"/>
              </w:rPr>
            </w:pPr>
          </w:p>
        </w:tc>
        <w:tc>
          <w:tcPr>
            <w:tcW w:w="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41,064</w:t>
            </w:r>
          </w:p>
        </w:tc>
        <w:tc>
          <w:tcPr>
            <w:tcW w:w="40" w:type="dxa"/>
            <w:vAlign w:val="bottom"/>
            <w:shd w:val="clear" w:color="auto" w:fill="CFF0FC"/>
          </w:tcPr>
          <w:p>
            <w:pPr>
              <w:spacing w:after="0"/>
              <w:rPr>
                <w:sz w:val="14"/>
                <w:szCs w:val="14"/>
                <w:color w:val="auto"/>
              </w:rPr>
            </w:pPr>
          </w:p>
        </w:tc>
        <w:tc>
          <w:tcPr>
            <w:tcW w:w="240" w:type="dxa"/>
            <w:vAlign w:val="bottom"/>
            <w:gridSpan w:val="5"/>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10,164</w:t>
            </w:r>
          </w:p>
        </w:tc>
        <w:tc>
          <w:tcPr>
            <w:tcW w:w="2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314,332</w:t>
            </w:r>
          </w:p>
        </w:tc>
        <w:tc>
          <w:tcPr>
            <w:tcW w:w="0" w:type="dxa"/>
            <w:vAlign w:val="bottom"/>
          </w:tcPr>
          <w:p>
            <w:pPr>
              <w:spacing w:after="0"/>
              <w:rPr>
                <w:sz w:val="1"/>
                <w:szCs w:val="1"/>
                <w:color w:val="auto"/>
              </w:rPr>
            </w:pPr>
          </w:p>
        </w:tc>
      </w:tr>
      <w:tr>
        <w:trPr>
          <w:trHeight w:val="17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Current provisions relating to sales in current year</w:t>
            </w:r>
          </w:p>
        </w:tc>
        <w:tc>
          <w:tcPr>
            <w:tcW w:w="8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87,373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1,060,276</w:t>
            </w:r>
          </w:p>
        </w:tc>
        <w:tc>
          <w:tcPr>
            <w:tcW w:w="0" w:type="dxa"/>
            <w:vAlign w:val="bottom"/>
          </w:tcPr>
          <w:p>
            <w:pPr>
              <w:spacing w:after="0"/>
              <w:rPr>
                <w:sz w:val="1"/>
                <w:szCs w:val="1"/>
                <w:color w:val="auto"/>
              </w:rPr>
            </w:pPr>
          </w:p>
        </w:tc>
      </w:tr>
      <w:tr>
        <w:trPr>
          <w:trHeight w:val="172"/>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Adjustments relating to prior years</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(20,562)</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(24,262)</w:t>
            </w:r>
          </w:p>
        </w:tc>
        <w:tc>
          <w:tcPr>
            <w:tcW w:w="0" w:type="dxa"/>
            <w:vAlign w:val="bottom"/>
          </w:tcPr>
          <w:p>
            <w:pPr>
              <w:spacing w:after="0"/>
              <w:rPr>
                <w:sz w:val="1"/>
                <w:szCs w:val="1"/>
                <w:color w:val="auto"/>
              </w:rPr>
            </w:pPr>
          </w:p>
        </w:tc>
      </w:tr>
      <w:tr>
        <w:trPr>
          <w:trHeight w:val="17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Payments/credits relating to sales in current year</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(369,869)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(70,752)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(794,250)</w:t>
            </w:r>
          </w:p>
        </w:tc>
        <w:tc>
          <w:tcPr>
            <w:tcW w:w="0" w:type="dxa"/>
            <w:vAlign w:val="bottom"/>
          </w:tcPr>
          <w:p>
            <w:pPr>
              <w:spacing w:after="0"/>
              <w:rPr>
                <w:sz w:val="1"/>
                <w:szCs w:val="1"/>
                <w:color w:val="auto"/>
              </w:rPr>
            </w:pPr>
          </w:p>
        </w:tc>
      </w:tr>
      <w:tr>
        <w:trPr>
          <w:trHeight w:val="172"/>
        </w:trPr>
        <w:tc>
          <w:tcPr>
            <w:tcW w:w="3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Payments/credits relating to sales in prior years</w:t>
            </w:r>
          </w:p>
        </w:tc>
        <w:tc>
          <w:tcPr>
            <w:tcW w:w="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(172,656)</w:t>
            </w:r>
          </w:p>
        </w:tc>
        <w:tc>
          <w:tcPr>
            <w:tcW w:w="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(18,041)</w:t>
            </w:r>
          </w:p>
        </w:tc>
        <w:tc>
          <w:tcPr>
            <w:tcW w:w="2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(15,484)</w:t>
            </w:r>
          </w:p>
        </w:tc>
        <w:tc>
          <w:tcPr>
            <w:tcW w:w="2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(13,488)</w:t>
            </w:r>
          </w:p>
        </w:tc>
        <w:tc>
          <w:tcPr>
            <w:tcW w:w="40" w:type="dxa"/>
            <w:vAlign w:val="bottom"/>
            <w:tcBorders>
              <w:bottom w:val="single" w:sz="8" w:color="auto"/>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(219,669)</w:t>
            </w:r>
          </w:p>
        </w:tc>
        <w:tc>
          <w:tcPr>
            <w:tcW w:w="0" w:type="dxa"/>
            <w:vAlign w:val="bottom"/>
          </w:tcPr>
          <w:p>
            <w:pPr>
              <w:spacing w:after="0"/>
              <w:rPr>
                <w:sz w:val="1"/>
                <w:szCs w:val="1"/>
                <w:color w:val="auto"/>
              </w:rPr>
            </w:pPr>
          </w:p>
        </w:tc>
      </w:tr>
      <w:tr>
        <w:trPr>
          <w:trHeight w:val="16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Ending balance — December 31,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228,978</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43,645</w:t>
            </w:r>
          </w:p>
        </w:tc>
        <w:tc>
          <w:tcPr>
            <w:tcW w:w="20" w:type="dxa"/>
            <w:vAlign w:val="bottom"/>
          </w:tcPr>
          <w:p>
            <w:pPr>
              <w:spacing w:after="0"/>
              <w:rPr>
                <w:sz w:val="14"/>
                <w:szCs w:val="14"/>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50,507</w:t>
            </w:r>
          </w:p>
        </w:tc>
        <w:tc>
          <w:tcPr>
            <w:tcW w:w="40" w:type="dxa"/>
            <w:vAlign w:val="bottom"/>
          </w:tcPr>
          <w:p>
            <w:pPr>
              <w:spacing w:after="0"/>
              <w:rPr>
                <w:sz w:val="14"/>
                <w:szCs w:val="14"/>
                <w:color w:val="auto"/>
              </w:rPr>
            </w:pPr>
          </w:p>
        </w:tc>
        <w:tc>
          <w:tcPr>
            <w:tcW w:w="2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13,297</w:t>
            </w:r>
          </w:p>
        </w:tc>
        <w:tc>
          <w:tcPr>
            <w:tcW w:w="2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336,427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1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12"/>
          </w:tcPr>
          <w:p>
            <w:pPr>
              <w:ind w:left="40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6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right="131"/>
              <w:spacing w:after="0" w:line="88" w:lineRule="exact"/>
              <w:rPr>
                <w:sz w:val="20"/>
                <w:szCs w:val="20"/>
                <w:color w:val="auto"/>
              </w:rPr>
            </w:pPr>
            <w:r>
              <w:rPr>
                <w:rFonts w:ascii="Times New Roman" w:cs="Times New Roman" w:eastAsia="Times New Roman" w:hAnsi="Times New Roman"/>
                <w:sz w:val="10"/>
                <w:szCs w:val="10"/>
                <w:b w:val="1"/>
                <w:bCs w:val="1"/>
                <w:color w:val="auto"/>
              </w:rPr>
              <w:t>Contractual</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Discounts</w:t>
            </w:r>
            <w:r>
              <w:rPr>
                <w:rFonts w:ascii="Times New Roman" w:cs="Times New Roman" w:eastAsia="Times New Roman" w:hAnsi="Times New Roman"/>
                <w:sz w:val="15"/>
                <w:szCs w:val="15"/>
                <w:b w:val="1"/>
                <w:bCs w:val="1"/>
                <w:color w:val="auto"/>
                <w:vertAlign w:val="superscript"/>
              </w:rPr>
              <w:t>(2)</w:t>
            </w:r>
          </w:p>
        </w:tc>
        <w:tc>
          <w:tcPr>
            <w:tcW w:w="2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Product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Borders>
              <w:bottom w:val="single" w:sz="8" w:color="auto"/>
            </w:tcBorders>
            <w:gridSpan w:val="2"/>
          </w:tcPr>
          <w:p>
            <w:pPr>
              <w:jc w:val="center"/>
              <w:ind w:right="11"/>
              <w:spacing w:after="0" w:line="140" w:lineRule="exact"/>
              <w:rPr>
                <w:sz w:val="20"/>
                <w:szCs w:val="20"/>
                <w:color w:val="auto"/>
              </w:rPr>
            </w:pPr>
            <w:r>
              <w:rPr>
                <w:rFonts w:ascii="Times New Roman" w:cs="Times New Roman" w:eastAsia="Times New Roman" w:hAnsi="Times New Roman"/>
                <w:sz w:val="11"/>
                <w:szCs w:val="11"/>
                <w:b w:val="1"/>
                <w:bCs w:val="1"/>
                <w:color w:val="auto"/>
              </w:rPr>
              <w:t>Adjustments</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Returns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 balance — December 31, 2022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226,741</w:t>
            </w:r>
          </w:p>
        </w:tc>
        <w:tc>
          <w:tcPr>
            <w:tcW w:w="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26,175</w:t>
            </w:r>
          </w:p>
        </w:tc>
        <w:tc>
          <w:tcPr>
            <w:tcW w:w="20" w:type="dxa"/>
            <w:vAlign w:val="bottom"/>
            <w:shd w:val="clear" w:color="auto" w:fill="CFF0FC"/>
          </w:tcPr>
          <w:p>
            <w:pPr>
              <w:spacing w:after="0"/>
              <w:rPr>
                <w:sz w:val="14"/>
                <w:szCs w:val="14"/>
                <w:color w:val="auto"/>
              </w:rPr>
            </w:pPr>
          </w:p>
        </w:tc>
        <w:tc>
          <w:tcPr>
            <w:tcW w:w="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29,666</w:t>
            </w:r>
          </w:p>
        </w:tc>
        <w:tc>
          <w:tcPr>
            <w:tcW w:w="40" w:type="dxa"/>
            <w:vAlign w:val="bottom"/>
            <w:shd w:val="clear" w:color="auto" w:fill="CFF0FC"/>
          </w:tcPr>
          <w:p>
            <w:pPr>
              <w:spacing w:after="0"/>
              <w:rPr>
                <w:sz w:val="14"/>
                <w:szCs w:val="14"/>
                <w:color w:val="auto"/>
              </w:rPr>
            </w:pPr>
          </w:p>
        </w:tc>
        <w:tc>
          <w:tcPr>
            <w:tcW w:w="24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7,938</w:t>
            </w:r>
          </w:p>
        </w:tc>
        <w:tc>
          <w:tcPr>
            <w:tcW w:w="2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290,520</w:t>
            </w:r>
          </w:p>
        </w:tc>
        <w:tc>
          <w:tcPr>
            <w:tcW w:w="0" w:type="dxa"/>
            <w:vAlign w:val="bottom"/>
          </w:tcPr>
          <w:p>
            <w:pPr>
              <w:spacing w:after="0"/>
              <w:rPr>
                <w:sz w:val="1"/>
                <w:szCs w:val="1"/>
                <w:color w:val="auto"/>
              </w:rPr>
            </w:pPr>
          </w:p>
        </w:tc>
      </w:tr>
      <w:tr>
        <w:trPr>
          <w:trHeight w:val="17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Current provisions relating to sales in current year</w:t>
            </w:r>
          </w:p>
        </w:tc>
        <w:tc>
          <w:tcPr>
            <w:tcW w:w="8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509,780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326,860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33,417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71,449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941,506</w:t>
            </w:r>
          </w:p>
        </w:tc>
        <w:tc>
          <w:tcPr>
            <w:tcW w:w="0" w:type="dxa"/>
            <w:vAlign w:val="bottom"/>
          </w:tcPr>
          <w:p>
            <w:pPr>
              <w:spacing w:after="0"/>
              <w:rPr>
                <w:sz w:val="1"/>
                <w:szCs w:val="1"/>
                <w:color w:val="auto"/>
              </w:rPr>
            </w:pPr>
          </w:p>
        </w:tc>
      </w:tr>
      <w:tr>
        <w:trPr>
          <w:trHeight w:val="172"/>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Adjustments relating to prior years</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(8,921)</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2,841</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0" w:type="dxa"/>
            <w:vAlign w:val="bottom"/>
          </w:tcPr>
          <w:p>
            <w:pPr>
              <w:spacing w:after="0"/>
              <w:rPr>
                <w:sz w:val="1"/>
                <w:szCs w:val="1"/>
                <w:color w:val="auto"/>
              </w:rPr>
            </w:pPr>
          </w:p>
        </w:tc>
      </w:tr>
      <w:tr>
        <w:trPr>
          <w:trHeight w:val="17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Payments/credits relating to sales in current year</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(308,353)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(293,785)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(658,362)</w:t>
            </w:r>
          </w:p>
        </w:tc>
        <w:tc>
          <w:tcPr>
            <w:tcW w:w="0" w:type="dxa"/>
            <w:vAlign w:val="bottom"/>
          </w:tcPr>
          <w:p>
            <w:pPr>
              <w:spacing w:after="0"/>
              <w:rPr>
                <w:sz w:val="1"/>
                <w:szCs w:val="1"/>
                <w:color w:val="auto"/>
              </w:rPr>
            </w:pPr>
          </w:p>
        </w:tc>
      </w:tr>
      <w:tr>
        <w:trPr>
          <w:trHeight w:val="172"/>
        </w:trPr>
        <w:tc>
          <w:tcPr>
            <w:tcW w:w="3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Payments/credits relating to sales in prior years</w:t>
            </w:r>
          </w:p>
        </w:tc>
        <w:tc>
          <w:tcPr>
            <w:tcW w:w="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(184,833)</w:t>
            </w:r>
          </w:p>
        </w:tc>
        <w:tc>
          <w:tcPr>
            <w:tcW w:w="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(30,560)</w:t>
            </w:r>
          </w:p>
        </w:tc>
        <w:tc>
          <w:tcPr>
            <w:tcW w:w="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(24,860)</w:t>
            </w: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(12,999)</w:t>
            </w:r>
          </w:p>
        </w:tc>
        <w:tc>
          <w:tcPr>
            <w:tcW w:w="4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(253,252)</w:t>
            </w:r>
          </w:p>
        </w:tc>
        <w:tc>
          <w:tcPr>
            <w:tcW w:w="0" w:type="dxa"/>
            <w:vAlign w:val="bottom"/>
          </w:tcPr>
          <w:p>
            <w:pPr>
              <w:spacing w:after="0"/>
              <w:rPr>
                <w:sz w:val="1"/>
                <w:szCs w:val="1"/>
                <w:color w:val="auto"/>
              </w:rPr>
            </w:pPr>
          </w:p>
        </w:tc>
      </w:tr>
      <w:tr>
        <w:trPr>
          <w:trHeight w:val="16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Ending balance — December 31, 2023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234,414</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28,690</w:t>
            </w:r>
          </w:p>
        </w:tc>
        <w:tc>
          <w:tcPr>
            <w:tcW w:w="20" w:type="dxa"/>
            <w:vAlign w:val="bottom"/>
          </w:tcPr>
          <w:p>
            <w:pPr>
              <w:spacing w:after="0"/>
              <w:rPr>
                <w:sz w:val="14"/>
                <w:szCs w:val="14"/>
                <w:color w:val="auto"/>
              </w:rPr>
            </w:pPr>
          </w:p>
        </w:tc>
        <w:tc>
          <w:tcPr>
            <w:tcW w:w="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41,064</w:t>
            </w:r>
          </w:p>
        </w:tc>
        <w:tc>
          <w:tcPr>
            <w:tcW w:w="40" w:type="dxa"/>
            <w:vAlign w:val="bottom"/>
          </w:tcPr>
          <w:p>
            <w:pPr>
              <w:spacing w:after="0"/>
              <w:rPr>
                <w:sz w:val="14"/>
                <w:szCs w:val="14"/>
                <w:color w:val="auto"/>
              </w:rPr>
            </w:pPr>
          </w:p>
        </w:tc>
        <w:tc>
          <w:tcPr>
            <w:tcW w:w="2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10,164</w:t>
            </w:r>
          </w:p>
        </w:tc>
        <w:tc>
          <w:tcPr>
            <w:tcW w:w="2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314,332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-2195195</wp:posOffset>
            </wp:positionV>
            <wp:extent cx="4762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-2195195</wp:posOffset>
            </wp:positionV>
            <wp:extent cx="4762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-2195195</wp:posOffset>
            </wp:positionV>
            <wp:extent cx="4762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-2195195</wp:posOffset>
            </wp:positionV>
            <wp:extent cx="54610"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8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-1165225</wp:posOffset>
            </wp:positionV>
            <wp:extent cx="54610"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8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-1165225</wp:posOffset>
            </wp:positionV>
            <wp:extent cx="5461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8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-1165225</wp:posOffset>
            </wp:positionV>
            <wp:extent cx="5461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8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-1165225</wp:posOffset>
            </wp:positionV>
            <wp:extent cx="4762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-135890</wp:posOffset>
            </wp:positionV>
            <wp:extent cx="4762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-135890</wp:posOffset>
            </wp:positionV>
            <wp:extent cx="4762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-135890</wp:posOffset>
            </wp:positionV>
            <wp:extent cx="4762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-135890</wp:posOffset>
            </wp:positionV>
            <wp:extent cx="4762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9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45" w:lineRule="exact"/>
        <w:rPr>
          <w:sz w:val="20"/>
          <w:szCs w:val="20"/>
          <w:color w:val="auto"/>
        </w:rPr>
      </w:pPr>
    </w:p>
    <w:p>
      <w:pPr>
        <w:ind w:left="1160" w:hanging="264"/>
        <w:spacing w:after="0"/>
        <w:tabs>
          <w:tab w:leader="none" w:pos="116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“Contractual Adjustments” include “Medicaid Rebates” and “Medicare Part D” accruals</w:t>
      </w:r>
    </w:p>
    <w:p>
      <w:pPr>
        <w:spacing w:after="0" w:line="3" w:lineRule="exact"/>
        <w:rPr>
          <w:rFonts w:ascii="Times New Roman" w:cs="Times New Roman" w:eastAsia="Times New Roman" w:hAnsi="Times New Roman"/>
          <w:sz w:val="11"/>
          <w:szCs w:val="11"/>
          <w:color w:val="auto"/>
        </w:rPr>
      </w:pPr>
    </w:p>
    <w:p>
      <w:pPr>
        <w:ind w:left="1160" w:hanging="264"/>
        <w:spacing w:after="0"/>
        <w:tabs>
          <w:tab w:leader="none" w:pos="116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“Discounts” include “Chargebacks” and “Product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-158115</wp:posOffset>
            </wp:positionV>
            <wp:extent cx="81851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93">
                      <a:extLst>
                        <a:ext uri="{28A0092B-C50C-407E-A947-70E740481C1C}"/>
                      </a:extLst>
                    </a:blip>
                    <a:srcRect/>
                    <a:stretch>
                      <a:fillRect/>
                    </a:stretch>
                  </pic:blipFill>
                  <pic:spPr bwMode="auto">
                    <a:xfrm>
                      <a:off x="0" y="0"/>
                      <a:ext cx="818515" cy="6985"/>
                    </a:xfrm>
                    <a:prstGeom prst="rect">
                      <a:avLst/>
                    </a:prstGeom>
                    <a:noFill/>
                  </pic:spPr>
                </pic:pic>
              </a:graphicData>
            </a:graphic>
          </wp:anchor>
        </w:drawing>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Total revenue-related reserves as of December 31, 2025 and 2024, included in our consolidated balance sheets, are summarized as follows: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8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880" w:type="dxa"/>
            <w:vAlign w:val="bottom"/>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53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55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Reduction of accounts receivable</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21,049</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22,031</w:t>
            </w:r>
          </w:p>
        </w:tc>
        <w:tc>
          <w:tcPr>
            <w:tcW w:w="0" w:type="dxa"/>
            <w:vAlign w:val="bottom"/>
          </w:tcPr>
          <w:p>
            <w:pPr>
              <w:spacing w:after="0"/>
              <w:rPr>
                <w:sz w:val="1"/>
                <w:szCs w:val="1"/>
                <w:color w:val="auto"/>
              </w:rPr>
            </w:pPr>
          </w:p>
        </w:tc>
      </w:tr>
      <w:tr>
        <w:trPr>
          <w:trHeight w:val="172"/>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accrued sales discounts, allowances and reserves</w:t>
            </w:r>
          </w:p>
        </w:tc>
        <w:tc>
          <w:tcPr>
            <w:tcW w:w="300" w:type="dxa"/>
            <w:vAlign w:val="bottom"/>
          </w:tcPr>
          <w:p>
            <w:pPr>
              <w:spacing w:after="0"/>
              <w:rPr>
                <w:sz w:val="14"/>
                <w:szCs w:val="14"/>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247,126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272,452</w:t>
            </w:r>
          </w:p>
        </w:tc>
        <w:tc>
          <w:tcPr>
            <w:tcW w:w="0" w:type="dxa"/>
            <w:vAlign w:val="bottom"/>
          </w:tcPr>
          <w:p>
            <w:pPr>
              <w:spacing w:after="0"/>
              <w:rPr>
                <w:sz w:val="1"/>
                <w:szCs w:val="1"/>
                <w:color w:val="auto"/>
              </w:rPr>
            </w:pPr>
          </w:p>
        </w:tc>
      </w:tr>
      <w:tr>
        <w:trPr>
          <w:trHeight w:val="172"/>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Components of other long-term liabilities</w:t>
            </w: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47,860</w:t>
            </w:r>
          </w:p>
        </w:tc>
        <w:tc>
          <w:tcPr>
            <w:tcW w:w="1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41,944</w:t>
            </w:r>
          </w:p>
        </w:tc>
        <w:tc>
          <w:tcPr>
            <w:tcW w:w="0" w:type="dxa"/>
            <w:vAlign w:val="bottom"/>
          </w:tcPr>
          <w:p>
            <w:pPr>
              <w:spacing w:after="0"/>
              <w:rPr>
                <w:sz w:val="1"/>
                <w:szCs w:val="1"/>
                <w:color w:val="auto"/>
              </w:rPr>
            </w:pPr>
          </w:p>
        </w:tc>
      </w:tr>
      <w:tr>
        <w:trPr>
          <w:trHeight w:val="163"/>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revenue-related reserves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316,035</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336,427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-135890</wp:posOffset>
            </wp:positionV>
            <wp:extent cx="8890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95">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auto"/>
        </w:rPr>
        <w:t>Collaborative Arrangements</w:t>
      </w:r>
    </w:p>
    <w:p>
      <w:pPr>
        <w:spacing w:after="0" w:line="150" w:lineRule="exact"/>
        <w:rPr>
          <w:sz w:val="20"/>
          <w:szCs w:val="20"/>
          <w:color w:val="auto"/>
        </w:rPr>
      </w:pPr>
    </w:p>
    <w:p>
      <w:pPr>
        <w:ind w:left="640" w:right="659" w:firstLine="351"/>
        <w:spacing w:after="0"/>
        <w:rPr>
          <w:sz w:val="20"/>
          <w:szCs w:val="20"/>
          <w:color w:val="auto"/>
        </w:rPr>
      </w:pPr>
      <w:r>
        <w:rPr>
          <w:rFonts w:ascii="Times New Roman" w:cs="Times New Roman" w:eastAsia="Times New Roman" w:hAnsi="Times New Roman"/>
          <w:sz w:val="14"/>
          <w:szCs w:val="14"/>
          <w:color w:val="auto"/>
        </w:rPr>
        <w:t>The Company has entered into collaborative arrangements with pharmaceutical companies including, among others, Janssen Pharmaceuticals, Inc. (“Janssen, Inc.”), Janssen Pharmaceutica International, a division of Cilag International AG (“Janssen International”), and Janssen Pharmaceutica N.V. (together with Janssen, Inc., Janssen International and their affiliates, “Janssen”) related to INVEGA SUSTENNA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/XEPLION</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TRINZA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/TREVICTA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HAFYERA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/BYANNLI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(collectively, the “long-acting INVEGA products”) and RISPERDAL CONSTA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and Biogen International GmbH (together with its affiliates, “Biogen”) related to VUMERITY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Substantially all of the products developed under these arrangements are currently being marketed as approved products for which the Company received or receives payments for manufacturing services and/or royalties on net product sales.</w:t>
      </w:r>
    </w:p>
    <w:p>
      <w:pPr>
        <w:spacing w:after="0" w:line="2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Manufacturing Revenue</w:t>
      </w:r>
    </w:p>
    <w:p>
      <w:pPr>
        <w:spacing w:after="0" w:line="9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Company recognizes manufacturing revenues from the sale of products it manufactures for resale by its licensees. Substantially all of the manufacturing revenues are recognized at a point in time when control of the product passes to the licensee. The sales price for certain of the Company’s manufacturing revenues is based on the end-market sales price earned by its licensees. As end-market sales generally occur after the Company has recorded manufacturing revenue, the Company estimates the sales price for such products based on information supplied to it by the Company’s licensees, its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the Company’s actual and estimated manufacturing revenues have not been material to date.</w:t>
      </w:r>
    </w:p>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Royalty Revenue</w:t>
      </w:r>
    </w:p>
    <w:p>
      <w:pPr>
        <w:spacing w:after="0" w:line="13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The Company recognizes royalty revenues related to the sale by its licensees of products that incorporate the Company’s technologies. All of the Company’s royalties qualify for the sales-and-usage exemption under Topic 606 as (i) such royalties are based strictly on the sales-and-usage by the licensee; and (ii) a license of IP is the sole or predominant item to which such royalties relate. Based on this exemption, these royalties are earned in the period that the products are sold by the Company’s licensee and the Company has a present right to payment.</w:t>
      </w:r>
    </w:p>
    <w:p>
      <w:pPr>
        <w:spacing w:after="0" w:line="78"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Certain of the Company’s royalty revenues are recognized by the Company based on information supplied to the Company by its licensees and require estimates to be made. Differences between actual royalty revenues and estimated royalty revenues are reconciled and adjusted for in the period in which they become known, which is generally within the same quarter. The differences between the Company’s actual and estimated royalty revenues have not been material to date.</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Receivables, net</w:t>
      </w:r>
    </w:p>
    <w:p>
      <w:pPr>
        <w:spacing w:after="0" w:line="133"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Receivables, net, include amounts billed and amounts unbilled but currently unconditionally due from customers. The amounts due are stated at their net estimated realizable value. The Company’s unbilled receivable balance was $65.8 million and $69.5 million at December 31, 2025 and 2024, respectively, and related primarily to royalty revenue. The Company maintains an allowance for doubtful accounts to provide for the estimated amounts of receivables that will not be collected. The allowance is based upon an assessment of customer creditworthiness, historical payment experience, the age of outstanding receivables and collateral to the extent applicable. The Company’s allowance for doubtful accounts was approximately $0.4 million and $0.3 million at December 31, 2025 and 2024, respectively.</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w:t>
      </w:r>
    </w:p>
    <w:p>
      <w:pPr>
        <w:spacing w:after="0" w:line="133"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Contract assets include unbilled amounts that will result in a sale under certain of the Company’s manufacturing contracts. The amounts included in the contract assets table below are classified as “Current assets” in the accompanying consolidated balance sheets, as they relate to manufacturing processes that are completed in ten days to eight weeks.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Contract assets consisted of the following:</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Contract Assets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assets at January 1, 2024</w:t>
            </w:r>
          </w:p>
        </w:tc>
        <w:tc>
          <w:tcPr>
            <w:tcW w:w="2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Transferred to receivables, net</w:t>
            </w:r>
          </w:p>
        </w:tc>
        <w:tc>
          <w:tcPr>
            <w:tcW w:w="2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 at December 31, 2024</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2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Transferred to receivables, net</w:t>
            </w: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assets at December 31, 2025</w:t>
            </w:r>
          </w:p>
        </w:tc>
        <w:tc>
          <w:tcPr>
            <w:tcW w:w="2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-469900</wp:posOffset>
            </wp:positionV>
            <wp:extent cx="54610"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9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9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9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122"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Contract liabilities consist of contractual obligations related to deferred revenue. At December 31, 2025 and 2024, none and $1.2 million of the contract liabilities, respectively, were classified as “Contract liabilities–short-term” in the accompanying consolidated balance sheets and none of the contract liabilities in either period were classified as “Other long-term liabilities” in the accompanying consolidated balance sheets.</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Contract liabilities consisted of the following:</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3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Contract Liabilities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liabilities at January 1, 2024</w:t>
            </w:r>
          </w:p>
        </w:tc>
        <w:tc>
          <w:tcPr>
            <w:tcW w:w="2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Amounts recognized into revenue</w:t>
            </w:r>
          </w:p>
        </w:tc>
        <w:tc>
          <w:tcPr>
            <w:tcW w:w="2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20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at December 31, 2024</w:t>
            </w:r>
          </w:p>
        </w:tc>
        <w:tc>
          <w:tcPr>
            <w:tcW w:w="2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2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Amounts recognized into revenue</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liabilities at December 31, 2025</w:t>
            </w:r>
          </w:p>
        </w:tc>
        <w:tc>
          <w:tcPr>
            <w:tcW w:w="2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-469900</wp:posOffset>
            </wp:positionV>
            <wp:extent cx="5461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0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0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02">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122"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The Company’s functional and reporting currency is the U.S. dollar. Transactions in foreign currencies are recorded at the exchange rate prevailing on the date of the transaction. The resulting monetary assets and liabilities are translated into U.S. dollars at exchange rates prevailing on the subsequent balance sheet date. Gains and losses as a result of translation adjustments are recorded within “Other income (expense), net” in the accompanying consolidated statements of operations and comprehensive income. During the years ended December 31, 2025, 2024 and 2023, the Company recorded a gain of $1.0 million and losses of $0.8 million and $0.5 million, respectively, on foreign currency translation.</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Concentrations</w:t>
      </w:r>
    </w:p>
    <w:p>
      <w:pPr>
        <w:spacing w:after="0" w:line="133"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are receivables and marketable securities. Billings to large pharmaceutical companies and pharmaceutical wholesalers account for the majority of the Company’s receivables, and collateral is not required from these customers. To mitigate credit risk, the Company monitors the financial performance and credit-worthiness of its customers. The following represents revenue and receivables from the Company’s customers exceeding 10% of the total in each category as of, and for the years ended, December 31, 2025, 2024 and 2023:</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left="3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Customer</w:t>
            </w:r>
          </w:p>
        </w:tc>
        <w:tc>
          <w:tcPr>
            <w:tcW w:w="980" w:type="dxa"/>
            <w:vAlign w:val="bottom"/>
            <w:tcBorders>
              <w:bottom w:val="single" w:sz="8" w:color="auto"/>
            </w:tcBorders>
            <w:gridSpan w:val="3"/>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bottom w:val="single" w:sz="8" w:color="auto"/>
            </w:tcBorders>
            <w:gridSpan w:val="3"/>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Borders>
              <w:bottom w:val="single" w:sz="8" w:color="auto"/>
            </w:tcBorders>
            <w:gridSpan w:val="3"/>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520" w:type="dxa"/>
            <w:vAlign w:val="bottom"/>
            <w:gridSpan w:val="3"/>
            <w:vMerge w:val="continue"/>
          </w:tcPr>
          <w:p>
            <w:pPr>
              <w:spacing w:after="0"/>
              <w:rPr>
                <w:sz w:val="9"/>
                <w:szCs w:val="9"/>
                <w:color w:val="auto"/>
              </w:rPr>
            </w:pPr>
          </w:p>
        </w:tc>
        <w:tc>
          <w:tcPr>
            <w:tcW w:w="980" w:type="dxa"/>
            <w:vAlign w:val="bottom"/>
            <w:gridSpan w:val="3"/>
          </w:tcPr>
          <w:p>
            <w:pPr>
              <w:jc w:val="right"/>
              <w:ind w:right="320"/>
              <w:spacing w:after="0" w:line="109" w:lineRule="exact"/>
              <w:rPr>
                <w:sz w:val="20"/>
                <w:szCs w:val="20"/>
                <w:color w:val="auto"/>
              </w:rPr>
            </w:pPr>
            <w:r>
              <w:rPr>
                <w:rFonts w:ascii="Times New Roman" w:cs="Times New Roman" w:eastAsia="Times New Roman" w:hAnsi="Times New Roman"/>
                <w:sz w:val="11"/>
                <w:szCs w:val="11"/>
                <w:b w:val="1"/>
                <w:bCs w:val="1"/>
                <w:color w:val="auto"/>
              </w:rPr>
              <w:t>Receivables</w:t>
            </w:r>
          </w:p>
        </w:tc>
        <w:tc>
          <w:tcPr>
            <w:tcW w:w="640" w:type="dxa"/>
            <w:vAlign w:val="bottom"/>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9"/>
                <w:szCs w:val="9"/>
                <w:color w:val="auto"/>
              </w:rPr>
            </w:pPr>
          </w:p>
        </w:tc>
        <w:tc>
          <w:tcPr>
            <w:tcW w:w="980" w:type="dxa"/>
            <w:vAlign w:val="bottom"/>
            <w:gridSpan w:val="3"/>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Receivables</w:t>
            </w:r>
          </w:p>
        </w:tc>
        <w:tc>
          <w:tcPr>
            <w:tcW w:w="480" w:type="dxa"/>
            <w:vAlign w:val="bottom"/>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tcPr>
          <w:p>
            <w:pPr>
              <w:jc w:val="right"/>
              <w:ind w:right="320"/>
              <w:spacing w:after="0" w:line="109" w:lineRule="exact"/>
              <w:rPr>
                <w:sz w:val="20"/>
                <w:szCs w:val="20"/>
                <w:color w:val="auto"/>
              </w:rPr>
            </w:pPr>
            <w:r>
              <w:rPr>
                <w:rFonts w:ascii="Times New Roman" w:cs="Times New Roman" w:eastAsia="Times New Roman" w:hAnsi="Times New Roman"/>
                <w:sz w:val="11"/>
                <w:szCs w:val="11"/>
                <w:b w:val="1"/>
                <w:bCs w:val="1"/>
                <w:color w:val="auto"/>
              </w:rPr>
              <w:t>Receivables</w:t>
            </w:r>
          </w:p>
        </w:tc>
        <w:tc>
          <w:tcPr>
            <w:tcW w:w="620" w:type="dxa"/>
            <w:vAlign w:val="bottom"/>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McKesson</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w w:val="93"/>
              </w:rPr>
              <w:t>25%</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Cencora</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3"/>
              </w:rPr>
              <w:t>15%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Cardinal Health</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w w:val="93"/>
              </w:rPr>
              <w:t>19%</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Janssen</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3"/>
              </w:rPr>
              <w:t>17%</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Biogen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w w:val="93"/>
              </w:rPr>
              <w:t>11%</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61595</wp:posOffset>
            </wp:positionV>
            <wp:extent cx="402590"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03">
                      <a:extLst>
                        <a:ext uri="{28A0092B-C50C-407E-A947-70E740481C1C}"/>
                      </a:extLst>
                    </a:blip>
                    <a:srcRect/>
                    <a:stretch>
                      <a:fillRect/>
                    </a:stretch>
                  </pic:blipFill>
                  <pic:spPr bwMode="auto">
                    <a:xfrm>
                      <a:off x="0" y="0"/>
                      <a:ext cx="402590" cy="6985"/>
                    </a:xfrm>
                    <a:prstGeom prst="rect">
                      <a:avLst/>
                    </a:prstGeom>
                    <a:noFill/>
                  </pic:spPr>
                </pic:pic>
              </a:graphicData>
            </a:graphic>
          </wp:anchor>
        </w:drawing>
      </w:r>
    </w:p>
    <w:p>
      <w:pPr>
        <w:spacing w:after="0" w:line="77" w:lineRule="exact"/>
        <w:rPr>
          <w:sz w:val="20"/>
          <w:szCs w:val="20"/>
          <w:color w:val="auto"/>
        </w:rPr>
      </w:pPr>
    </w:p>
    <w:p>
      <w:pPr>
        <w:ind w:left="1420" w:right="879" w:hanging="460"/>
        <w:spacing w:after="0" w:line="286" w:lineRule="auto"/>
        <w:tabs>
          <w:tab w:leader="none" w:pos="14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the revenues or receivables for the customer did not exceed 10% of the Company’s total in each category as of or for the years ended December 31, 2025, 2024 and 2023, as noted.</w:t>
      </w:r>
    </w:p>
    <w:p>
      <w:pPr>
        <w:spacing w:after="0" w:line="6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holds its interest-bearing investments with major financial institutions and, in accordance with documented investment policies, the Company limits the amount of credit exposure to any one financial institution or corporate issuer. The Company’s investment objectives are, first, to ensure liquidity and conservation of capital and, second, to generate investment income.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Geographic Information</w:t>
      </w:r>
    </w:p>
    <w:p>
      <w:pPr>
        <w:spacing w:after="0" w:line="101" w:lineRule="exact"/>
        <w:rPr>
          <w:sz w:val="20"/>
          <w:szCs w:val="20"/>
          <w:color w:val="auto"/>
        </w:rPr>
      </w:pPr>
    </w:p>
    <w:p>
      <w:pPr>
        <w:ind w:left="640" w:right="1119" w:firstLine="351"/>
        <w:spacing w:after="0" w:line="292" w:lineRule="auto"/>
        <w:rPr>
          <w:sz w:val="20"/>
          <w:szCs w:val="20"/>
          <w:color w:val="auto"/>
        </w:rPr>
      </w:pPr>
      <w:r>
        <w:rPr>
          <w:rFonts w:ascii="Times New Roman" w:cs="Times New Roman" w:eastAsia="Times New Roman" w:hAnsi="Times New Roman"/>
          <w:sz w:val="14"/>
          <w:szCs w:val="14"/>
          <w:color w:val="auto"/>
        </w:rPr>
        <w:t>Company revenues by geographic location for the years ended December 31, 2025, 2024 and 2023, as determined by the location of the customer, are as follows: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1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5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 by region:</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1,372,787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1,410,159</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1,491,939</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Ireland</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86"/>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 of world</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102,358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146,179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170,287</w:t>
            </w:r>
          </w:p>
        </w:tc>
        <w:tc>
          <w:tcPr>
            <w:tcW w:w="0" w:type="dxa"/>
            <w:vAlign w:val="bottom"/>
          </w:tcPr>
          <w:p>
            <w:pPr>
              <w:spacing w:after="0"/>
              <w:rPr>
                <w:sz w:val="1"/>
                <w:szCs w:val="1"/>
                <w:color w:val="auto"/>
              </w:rPr>
            </w:pPr>
          </w:p>
        </w:tc>
      </w:tr>
      <w:tr>
        <w:trPr>
          <w:trHeight w:val="297"/>
        </w:trPr>
        <w:tc>
          <w:tcPr>
            <w:tcW w:w="3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location of the Company’s assets are as follows: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jc w:val="right"/>
              <w:ind w:right="43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45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 by region:</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U.S.:</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129,103</w:t>
            </w:r>
          </w:p>
        </w:tc>
        <w:tc>
          <w:tcPr>
            <w:tcW w:w="120" w:type="dxa"/>
            <w:vAlign w:val="bottom"/>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70,303</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Investments—short-term</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199,145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203,631</w:t>
            </w:r>
          </w:p>
        </w:tc>
        <w:tc>
          <w:tcPr>
            <w:tcW w:w="0" w:type="dxa"/>
            <w:vAlign w:val="bottom"/>
          </w:tcPr>
          <w:p>
            <w:pPr>
              <w:spacing w:after="0"/>
              <w:rPr>
                <w:sz w:val="1"/>
                <w:szCs w:val="1"/>
                <w:color w:val="auto"/>
              </w:rPr>
            </w:pPr>
          </w:p>
        </w:tc>
      </w:tr>
      <w:tr>
        <w:trPr>
          <w:trHeight w:val="172"/>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Receivables, net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265,440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306,259</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146,834</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129,332</w:t>
            </w:r>
          </w:p>
        </w:tc>
        <w:tc>
          <w:tcPr>
            <w:tcW w:w="0" w:type="dxa"/>
            <w:vAlign w:val="bottom"/>
          </w:tcPr>
          <w:p>
            <w:pPr>
              <w:spacing w:after="0"/>
              <w:rPr>
                <w:sz w:val="1"/>
                <w:szCs w:val="1"/>
                <w:color w:val="auto"/>
              </w:rPr>
            </w:pPr>
          </w:p>
        </w:tc>
      </w:tr>
      <w:tr>
        <w:trPr>
          <w:trHeight w:val="172"/>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Ireland: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259,467</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220,843</w:t>
            </w:r>
          </w:p>
        </w:tc>
        <w:tc>
          <w:tcPr>
            <w:tcW w:w="0" w:type="dxa"/>
            <w:vAlign w:val="bottom"/>
          </w:tcPr>
          <w:p>
            <w:pPr>
              <w:spacing w:after="0"/>
              <w:rPr>
                <w:sz w:val="1"/>
                <w:szCs w:val="1"/>
                <w:color w:val="auto"/>
              </w:rPr>
            </w:pPr>
          </w:p>
        </w:tc>
      </w:tr>
      <w:tr>
        <w:trPr>
          <w:trHeight w:val="172"/>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731,206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Investments—short-term</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256,891</w:t>
            </w:r>
          </w:p>
        </w:tc>
        <w:tc>
          <w:tcPr>
            <w:tcW w:w="0" w:type="dxa"/>
            <w:vAlign w:val="bottom"/>
          </w:tcPr>
          <w:p>
            <w:pPr>
              <w:spacing w:after="0"/>
              <w:rPr>
                <w:sz w:val="1"/>
                <w:szCs w:val="1"/>
                <w:color w:val="auto"/>
              </w:rPr>
            </w:pPr>
          </w:p>
        </w:tc>
      </w:tr>
      <w:tr>
        <w:trPr>
          <w:trHeight w:val="172"/>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Receivables, net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68,585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78,269</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128,883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149,827</w:t>
            </w:r>
          </w:p>
        </w:tc>
        <w:tc>
          <w:tcPr>
            <w:tcW w:w="0" w:type="dxa"/>
            <w:vAlign w:val="bottom"/>
          </w:tcPr>
          <w:p>
            <w:pPr>
              <w:spacing w:after="0"/>
              <w:rPr>
                <w:sz w:val="1"/>
                <w:szCs w:val="1"/>
                <w:color w:val="auto"/>
              </w:rPr>
            </w:pPr>
          </w:p>
        </w:tc>
      </w:tr>
      <w:tr>
        <w:trPr>
          <w:trHeight w:val="172"/>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assets: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U.S.:</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221,683</w:t>
            </w:r>
          </w:p>
        </w:tc>
        <w:tc>
          <w:tcPr>
            <w:tcW w:w="120" w:type="dxa"/>
            <w:vAlign w:val="bottom"/>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226,646</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Investments—long-term</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24,629</w:t>
            </w:r>
          </w:p>
        </w:tc>
        <w:tc>
          <w:tcPr>
            <w:tcW w:w="0" w:type="dxa"/>
            <w:vAlign w:val="bottom"/>
          </w:tcPr>
          <w:p>
            <w:pPr>
              <w:spacing w:after="0"/>
              <w:rPr>
                <w:sz w:val="1"/>
                <w:szCs w:val="1"/>
                <w:color w:val="auto"/>
              </w:rPr>
            </w:pPr>
          </w:p>
        </w:tc>
      </w:tr>
      <w:tr>
        <w:trPr>
          <w:trHeight w:val="172"/>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235,183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210,792</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Ireland:</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Investments—long-term</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48,519</w:t>
            </w:r>
          </w:p>
        </w:tc>
        <w:tc>
          <w:tcPr>
            <w:tcW w:w="0" w:type="dxa"/>
            <w:vAlign w:val="bottom"/>
          </w:tcPr>
          <w:p>
            <w:pPr>
              <w:spacing w:after="0"/>
              <w:rPr>
                <w:sz w:val="1"/>
                <w:szCs w:val="1"/>
                <w:color w:val="auto"/>
              </w:rPr>
            </w:pPr>
          </w:p>
        </w:tc>
      </w:tr>
      <w:tr>
        <w:trPr>
          <w:trHeight w:val="172"/>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 net and goodwill</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83,842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83,917</w:t>
            </w:r>
          </w:p>
        </w:tc>
        <w:tc>
          <w:tcPr>
            <w:tcW w:w="0" w:type="dxa"/>
            <w:vAlign w:val="bottom"/>
          </w:tcPr>
          <w:p>
            <w:pPr>
              <w:spacing w:after="0"/>
              <w:rPr>
                <w:sz w:val="1"/>
                <w:szCs w:val="1"/>
                <w:color w:val="auto"/>
              </w:rPr>
            </w:pPr>
          </w:p>
        </w:tc>
      </w:tr>
      <w:tr>
        <w:trPr>
          <w:trHeight w:val="172"/>
        </w:trPr>
        <w:tc>
          <w:tcPr>
            <w:tcW w:w="3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16,938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44,791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33"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For each of its R&amp;D programs, the Company incurs both external and internal expenses. External R&amp;D expenses include fees related to clinical and preclinical activities performed by contract research organizations, consulting fees and costs related to laboratory services, purchases of drug product materials and third-party manufacturing development costs. Internal R&amp;D expenses include employee-related expenses, occupancy costs, depreciation and general overhead. The Company tracks external R&amp;D expenses for each of its development programs, however, internal R&amp;D expenses are not tracked by individual program as they benefit multiple development programs or the Company’s products or technologies in general.</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33"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(“SG&amp;A”) expenses are primarily comprised of employee-related expenses associated with selling and marketing, finance, human resources, legal, information technology and other administrative personnel, outside marketing, advertising, financial and legal expenses and other general and administrative costs.</w:t>
      </w:r>
    </w:p>
    <w:p>
      <w:pPr>
        <w:spacing w:after="0" w:line="82"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Advertising costs are expensed as incurred. During the years ended December 31, 2025, 2024 and 2023, advertising costs totaled $89.7 million, $107.6 million and $127.6 million, respectively.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133"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Company’s share-based compensation programs permit grants of awards in the form of stock options and restricted stock unit awards (“RSUs”), which vest with the passage of time and/or based on the achievement of certain performance criteria. The Company issues new shares upon the exercise of stock options or the vesting of RSUs. Under the terms of the Company’s stock option and incentive plans (the “Plans”), the Company’s employees may, at the discretion of the plan administrator, become eligible in certain circumstances set forth in the Plans for accelerated vesting of certain awards granted to them under the Plans. In such circumstances, if there are no effective future service requirements for such employees, the remaining fair value of any such accelerated awards would be expensed as of the date of acceleration.</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Time-Based Stock Options</w:t>
      </w:r>
    </w:p>
    <w:p>
      <w:pPr>
        <w:spacing w:after="0" w:line="120"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Except as otherwise provided in the applicable Plan or award certificate, stock option grants to employees expire ten years from the date of grant and generally vest in four equal annual installments, commencing on the first anniversary of the date of grant, provided the employee remains continuously employed or in a service relationship with the Company during the applicable vesting period. Except as otherwise provided in the applicable Plan or Award Certificate (as defined in the 2018 Plan): (i) annual stock option grants to non-employee directors expire ten years from the date of grant and generally vest over a one-year period; and (ii) stock option grants to new non-employee directors expire ten years from the date of grant and generally vest over a three-year period. The estimated fair value of options is recognized over the requisite service period, which is generally the vesting period. Share-based compensation expense is based on awards ultimately expected to vest. Forfeitures are estimated based on historical experience at the time of grant and revised in subsequent periods if actual forfeitures differ from those estimates.</w:t>
      </w:r>
    </w:p>
    <w:p>
      <w:pPr>
        <w:spacing w:after="0" w:line="95"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The fair value of stock option grants is based on estimates as of the date of grant using a Black-Scholes option valuation model. The Company uses historical data as the basis for estimating stock option terms and forfeitures. Separate groups of employees that have similar historical stock option exercise and forfeiture behavior are considered separately for valuation purposes. The ranges of expected terms disclosed below reflect different expected behavior among certain groups of employees. Expected stock volatility factors are based on a weighted average of implied volatilities from traded options of the Company’s ordinary shares and historical share price volatility of the Company’s ordinary shares, which is determined based on a review of the weighted average of historical weekly price changes of the Company’s ordinary shares. The risk-free interest rate for periods commensurate with the expected term of the stock option is based on the U.S. treasury yield curve in effect at the time of grant. The dividend yield on the Company’s ordinary shares is estimated to be zero as the Company has not paid dividends and does not expect to pay dividends in the near future. The exercise price of options granted is equal to the closing price of the Company’s ordinary shares traded on the Nasdaq Global Select Market on the date of grant.</w:t>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fair value of each stock option granted was estimated on the grant date with the following weighted-average assumptions:</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560" w:type="dxa"/>
            <w:vAlign w:val="bottom"/>
          </w:tcPr>
          <w:p>
            <w:pPr>
              <w:spacing w:after="0"/>
              <w:rPr>
                <w:sz w:val="11"/>
                <w:szCs w:val="11"/>
                <w:color w:val="auto"/>
              </w:rPr>
            </w:pPr>
          </w:p>
        </w:tc>
        <w:tc>
          <w:tcPr>
            <w:tcW w:w="2280" w:type="dxa"/>
            <w:vAlign w:val="bottom"/>
            <w:tcBorders>
              <w:bottom w:val="single" w:sz="8" w:color="auto"/>
            </w:tcBorders>
            <w:gridSpan w:val="5"/>
          </w:tcPr>
          <w:p>
            <w:pPr>
              <w:jc w:val="center"/>
              <w:ind w:left="81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r>
      <w:tr>
        <w:trPr>
          <w:trHeight w:val="109"/>
        </w:trPr>
        <w:tc>
          <w:tcPr>
            <w:tcW w:w="4560" w:type="dxa"/>
            <w:vAlign w:val="bottom"/>
          </w:tcPr>
          <w:p>
            <w:pPr>
              <w:spacing w:after="0"/>
              <w:rPr>
                <w:sz w:val="9"/>
                <w:szCs w:val="9"/>
                <w:color w:val="auto"/>
              </w:rPr>
            </w:pPr>
          </w:p>
        </w:tc>
        <w:tc>
          <w:tcPr>
            <w:tcW w:w="1000" w:type="dxa"/>
            <w:vAlign w:val="bottom"/>
            <w:tcBorders>
              <w:bottom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Pr>
          <w:p>
            <w:pPr>
              <w:spacing w:after="0"/>
              <w:rPr>
                <w:sz w:val="9"/>
                <w:szCs w:val="9"/>
                <w:color w:val="auto"/>
              </w:rPr>
            </w:pPr>
          </w:p>
        </w:tc>
        <w:tc>
          <w:tcPr>
            <w:tcW w:w="980" w:type="dxa"/>
            <w:vAlign w:val="bottom"/>
            <w:tcBorders>
              <w:bottom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32"/>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r>
      <w:tr>
        <w:trPr>
          <w:trHeight w:val="16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option term</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5 - 7 years</w:t>
            </w:r>
          </w:p>
        </w:tc>
        <w:tc>
          <w:tcPr>
            <w:tcW w:w="10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5 - 7 years</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rPr>
              <w:t>5 - 8 years</w:t>
            </w: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Expected stock volatility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38 % - 41 %</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38 % - 42 %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40 % - 44 %</w:t>
            </w:r>
          </w:p>
        </w:tc>
      </w:tr>
      <w:tr>
        <w:trPr>
          <w:trHeight w:val="172"/>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3.75 % - 4.45 %</w:t>
            </w:r>
          </w:p>
        </w:tc>
        <w:tc>
          <w:tcPr>
            <w:tcW w:w="21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3.64 % - 4.60 %  3.34 % - 4.75 %</w:t>
            </w:r>
          </w:p>
        </w:tc>
      </w:tr>
      <w:tr>
        <w:trPr>
          <w:trHeight w:val="186"/>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Expected annual dividend yield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Time-Based Restricted Stock Unit Awards</w:t>
      </w:r>
    </w:p>
    <w:p>
      <w:pPr>
        <w:spacing w:after="0" w:line="120"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Except as otherwise provided in the applicable Plan or award certificate, time-based RSUs awarded to employees generally vest in four equal annual installments, commencing on the first anniversary of the date of grant, provided the employee remains continuously employed or in a service relationship with the Company during the applicable vesting period. Shares subject to these RSUs are delivered to the employee upon vesting, subject to payment of applicable withholding taxes. The fair value of time-based RSUs is equal to the closing price of the Company’s ordinary shares traded on the Nasdaq Global Select Market on the date of grant. Compensation expense, including the effect of forfeitures, is recognized over the applicable service period.</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Performance-Based Restricted Stock Unit Awards</w:t>
      </w:r>
    </w:p>
    <w:p>
      <w:pPr>
        <w:spacing w:after="0" w:line="131"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Performance-based RSUs awarded to employees vest upon the achievement of certain performance criteria, typically during or following the end of a specified performance period. The estimated fair value of these performance-based RSUs are generally based on the closing price of the Company’s ordinary shares traded on the Nasdaq Global Select Market on the date of grant, unless the performance-based RSU is also subject to a market condition. In that case, the fair value of the performance-based RSU is based on a Monte Carlo simulation model. Compensation expense for performance-based 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that the final outcome of the performance criteria is determined.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3"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evaluating the Company’s ability to recover its deferred tax assets, the Company considers all available positive and negative evidence including its past operating results, the existence of cumulative income in the most recent fiscal years, changes in the business in which the Company operates and its forecast of future taxable income. In determining future taxable income, the Company is responsible for assumptions utilized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92"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its tax position on a quarterly basis. The Company also accrues for potential interest and penalties related to unrecognized tax benefits in income tax expense.</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Comprehensive Income</w:t>
      </w:r>
    </w:p>
    <w:p>
      <w:pPr>
        <w:spacing w:after="0" w:line="133"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Comprehensive income consists of net income and other comprehensive income. Other comprehensive income includes changes in equity that are excluded from net income, such as unrealized holding gains and losses on available-for-sale investments.</w:t>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122"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Basic earnings per ordinary share from continuing operations is calculated based upon net income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RSUs.</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3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Accounting Standards Update (“ASU”) 2023-07, </w:t>
      </w:r>
      <w:r>
        <w:rPr>
          <w:rFonts w:ascii="Times New Roman" w:cs="Times New Roman" w:eastAsia="Times New Roman" w:hAnsi="Times New Roman"/>
          <w:sz w:val="14"/>
          <w:szCs w:val="14"/>
          <w:i w:val="1"/>
          <w:iCs w:val="1"/>
          <w:color w:val="auto"/>
        </w:rPr>
        <w:t>Segment Reporting: Improvements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Reportable Segment Disclosure </w:t>
      </w:r>
      <w:r>
        <w:rPr>
          <w:rFonts w:ascii="Times New Roman" w:cs="Times New Roman" w:eastAsia="Times New Roman" w:hAnsi="Times New Roman"/>
          <w:sz w:val="14"/>
          <w:szCs w:val="14"/>
          <w:color w:val="auto"/>
        </w:rPr>
        <w:t>(“Topic 280”) to establish standards for reporting information about operating segments.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segments are defined as components of an enterprise engaging in business activities for which separate financial information is available and regularly reviewed by the chief operating decision maker (“CODM”) in deciding how to allocate resources and in assessing performance. The Company has utilized the management approach to determine that the Company is managed as one segment on a consolidated basis and is the business of developing, manufacturing and commercializing medicines designed to address unmet medical needs of patients in major therapeutic areas. The Company’s CODM, the Chairman and Chief Executive Officer, reviews the Company’s operating results on an aggregate basis and manages the Company’s operations as a single operating unit. The CODM measures profitability on a reportable segment basis using net income (loss) and utilizes this information in allocating resources and in assessing performance by monitoring budget versus actual results. Please refer to Note 18,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in these “Notes to Consolidated Financial Statements” in this Annual Report for further information.</w:t>
      </w:r>
    </w:p>
    <w:p>
      <w:pPr>
        <w:spacing w:after="0" w:line="77" w:lineRule="exact"/>
        <w:rPr>
          <w:sz w:val="20"/>
          <w:szCs w:val="20"/>
          <w:color w:val="auto"/>
        </w:rPr>
      </w:pPr>
    </w:p>
    <w:p>
      <w:pPr>
        <w:jc w:val="center"/>
        <w:ind w:right="6319"/>
        <w:spacing w:after="0"/>
        <w:rPr>
          <w:sz w:val="20"/>
          <w:szCs w:val="20"/>
          <w:color w:val="auto"/>
        </w:rPr>
      </w:pPr>
      <w:r>
        <w:rPr>
          <w:rFonts w:ascii="Times New Roman" w:cs="Times New Roman" w:eastAsia="Times New Roman" w:hAnsi="Times New Roman"/>
          <w:sz w:val="14"/>
          <w:szCs w:val="14"/>
          <w:b w:val="1"/>
          <w:bCs w:val="1"/>
          <w:i w:val="1"/>
          <w:iCs w:val="1"/>
          <w:color w:val="auto"/>
        </w:rPr>
        <w:t>Employee Benefit Plans</w:t>
      </w:r>
    </w:p>
    <w:p>
      <w:pPr>
        <w:spacing w:after="0" w:line="131" w:lineRule="exact"/>
        <w:rPr>
          <w:sz w:val="20"/>
          <w:szCs w:val="20"/>
          <w:color w:val="auto"/>
        </w:rPr>
      </w:pPr>
    </w:p>
    <w:p>
      <w:pPr>
        <w:jc w:val="center"/>
        <w:ind w:right="6359"/>
        <w:spacing w:after="0"/>
        <w:rPr>
          <w:sz w:val="20"/>
          <w:szCs w:val="20"/>
          <w:color w:val="auto"/>
        </w:rPr>
      </w:pPr>
      <w:r>
        <w:rPr>
          <w:rFonts w:ascii="Times New Roman" w:cs="Times New Roman" w:eastAsia="Times New Roman" w:hAnsi="Times New Roman"/>
          <w:sz w:val="14"/>
          <w:szCs w:val="14"/>
          <w:i w:val="1"/>
          <w:iCs w:val="1"/>
          <w:color w:val="auto"/>
        </w:rPr>
        <w:t>401(k) Plan</w:t>
      </w:r>
    </w:p>
    <w:p>
      <w:pPr>
        <w:spacing w:after="0" w:line="13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Company maintains a 401(k) retirement savings plan (the “401(k) Plan”), which covers all of its eligible U.S.-based employees. Eligible employees may contribute up to 100% of their eligible compensation, subject to certain Internal Revenue Service (“IRS”) limitations. The Company matches 100% of employee contributions up to the first 5% of employee pay, up to IRS limits. Employee and Company contributions are fully vested when made. During the years ended December 31, 2025, 2024 and 2023, the Company contributed $16.3 million, $15.1 million and $15.0 million, respectively, to match employee deferrals under the 401(k) Plan.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Defined Contribution Plan</w:t>
      </w:r>
    </w:p>
    <w:p>
      <w:pPr>
        <w:spacing w:after="0" w:line="131"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The Company maintains a defined contribution plan for its Ireland-based employees (the “Defined Contribution Plan”). The Defined Contribution Plan provides for eligible employees to contribute up to a maximum of 40%, depending upon their age, of their total taxable earnings subject to an earnings cap of €115,000. The Company provides a match of up to 18% of taxable earnings depending upon an individual’s contribution level. During the years ended December 31, 2025, 2024 and 2023, the Company contributed $2.5 million, $3.4 million and $5.6 million, respectively, in contributions to the Defined Contribution Plan.</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w:t>
      </w:r>
    </w:p>
    <w:p>
      <w:pPr>
        <w:spacing w:after="0" w:line="133"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80"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(“Topic 740”)</w:t>
      </w:r>
      <w:r>
        <w:rPr>
          <w:rFonts w:ascii="Times New Roman" w:cs="Times New Roman" w:eastAsia="Times New Roman" w:hAnsi="Times New Roman"/>
          <w:sz w:val="14"/>
          <w:szCs w:val="14"/>
          <w:i w:val="1"/>
          <w:iCs w:val="1"/>
          <w:color w:val="auto"/>
        </w:rPr>
        <w:t>: Improvements to Income Tax Disclosures,</w:t>
      </w:r>
      <w:r>
        <w:rPr>
          <w:rFonts w:ascii="Times New Roman" w:cs="Times New Roman" w:eastAsia="Times New Roman" w:hAnsi="Times New Roman"/>
          <w:sz w:val="14"/>
          <w:szCs w:val="14"/>
          <w:color w:val="auto"/>
        </w:rPr>
        <w:t xml:space="preserve">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This ASU became effective for public companies for annual periods beginning after December 15, 2024. This guidance was applied on a retrospective basis. See Note 17,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in these “Notes to Consolidated Financial Statements” in this Annual Report for additional information.</w:t>
      </w:r>
    </w:p>
    <w:p>
      <w:pPr>
        <w:spacing w:after="0" w:line="76"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Disaggregation Disclosures</w:t>
      </w:r>
      <w:r>
        <w:rPr>
          <w:rFonts w:ascii="Times New Roman" w:cs="Times New Roman" w:eastAsia="Times New Roman" w:hAnsi="Times New Roman"/>
          <w:sz w:val="14"/>
          <w:szCs w:val="14"/>
          <w:color w:val="auto"/>
        </w:rPr>
        <w:t>, to improve disclosures about a public business entity’s expenses and address requests from investors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detailed information about the types of expenses (including purchases of inventory, employee compensation, depreciation, amortization and depletion) in commonly-presented expense captions, such as cost of sales, selling, general and administrative expenses, and research and development. All disclosure requirements under this guidance are required for public business entities and effective for annual periods beginning after December 15, 2026 and interim periods beginning after December 15, 2027. Early adoption is permitted and the amendments in this guidance will be applied prospectively to financial statements for periods after the effective dates. The Company is currently evaluating the impact this ASU will have on its consolidated financial statements and related disclosures.</w:t>
      </w:r>
    </w:p>
    <w:p>
      <w:pPr>
        <w:spacing w:after="0" w:line="89" w:lineRule="exact"/>
        <w:rPr>
          <w:sz w:val="20"/>
          <w:szCs w:val="20"/>
          <w:color w:val="auto"/>
        </w:rPr>
      </w:pPr>
    </w:p>
    <w:p>
      <w:pPr>
        <w:ind w:left="640" w:right="759" w:firstLine="351"/>
        <w:spacing w:after="0" w:line="266"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Targeted Improvements to the Accounting for Internal-Use Software.</w:t>
      </w:r>
      <w:r>
        <w:rPr>
          <w:rFonts w:ascii="Times New Roman" w:cs="Times New Roman" w:eastAsia="Times New Roman" w:hAnsi="Times New Roman"/>
          <w:sz w:val="14"/>
          <w:szCs w:val="14"/>
          <w:color w:val="auto"/>
        </w:rPr>
        <w:t xml:space="preserve"> This ASU updates the requirements for capitalization of internal-use software, removing all reference to prescriptive and sequential software development stages (referred to as “project stages”). This ASU is effective for annual periods beginning after December 15, 2027, and for interim periods within those fiscal years. The Company is currently assessing the impact this ASU will have on its consolidated financial statements and related disclosures.</w:t>
      </w:r>
    </w:p>
    <w:p>
      <w:pPr>
        <w:spacing w:after="0" w:line="85" w:lineRule="exact"/>
        <w:rPr>
          <w:sz w:val="20"/>
          <w:szCs w:val="20"/>
          <w:color w:val="auto"/>
        </w:rPr>
      </w:pPr>
    </w:p>
    <w:p>
      <w:pPr>
        <w:ind w:left="640" w:right="839" w:firstLine="351"/>
        <w:spacing w:after="0" w:line="266"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w:t>
      </w:r>
      <w:r>
        <w:rPr>
          <w:rFonts w:ascii="Times New Roman" w:cs="Times New Roman" w:eastAsia="Times New Roman" w:hAnsi="Times New Roman"/>
          <w:sz w:val="14"/>
          <w:szCs w:val="14"/>
          <w:color w:val="auto"/>
        </w:rPr>
        <w:t>. The amendments in this update clarify current interim disclosure requirements and provide a comprehensive list of required interim disclosures. The update also incorporates a disclosure principle that requires entities to disclose events that occur after the end of the reporting period. This update is effective for interim periods within annual periods beginning after December 15, 2027, though early adoption is permitted. The Company is currently assessing the impact this ASU will have on its consolidated financial statements and related disclosures.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REVENUE FROM CONTRACTS WITH CUSTOMERS</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During the years ended December 31, 2025, 2024 and 2023, the Company recorded product sales, net, as follows: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560" w:type="dxa"/>
            <w:vAlign w:val="bottom"/>
            <w:gridSpan w:val="2"/>
            <w:vMerge w:val="continue"/>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VIVITROL</w:t>
            </w:r>
          </w:p>
        </w:tc>
        <w:tc>
          <w:tcPr>
            <w:tcW w:w="2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467,912</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457,315</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400,419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ARISTADA and ARISTADA INITIO</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370,044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346,187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327,690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LYBALVI</w:t>
            </w:r>
          </w:p>
        </w:tc>
        <w:tc>
          <w:tcPr>
            <w:tcW w:w="19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346,687</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280,032</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191,889</w:t>
            </w: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product sales, net</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1,184,643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1,083,534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919,998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color w:val="auto"/>
              </w:rPr>
              <w:t>F-17</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-858520</wp:posOffset>
            </wp:positionV>
            <wp:extent cx="4762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-858520</wp:posOffset>
            </wp:positionV>
            <wp:extent cx="47625"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-858520</wp:posOffset>
            </wp:positionV>
            <wp:extent cx="4762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1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During the years ended December 31, 2025, 2024 and 2023, the Company recorded manufacturing and royalty revenues from its collaboration arrangements as follows:</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6"/>
          </w:tcPr>
          <w:p>
            <w:pPr>
              <w:jc w:val="center"/>
              <w:ind w:left="575"/>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90"/>
        </w:trPr>
        <w:tc>
          <w:tcPr>
            <w:tcW w:w="4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ind w:right="15"/>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jc w:val="center"/>
              <w:ind w:right="92"/>
              <w:spacing w:after="0" w:line="90" w:lineRule="exact"/>
              <w:rPr>
                <w:sz w:val="20"/>
                <w:szCs w:val="20"/>
                <w:color w:val="auto"/>
              </w:rPr>
            </w:pPr>
            <w:r>
              <w:rPr>
                <w:rFonts w:ascii="Times New Roman" w:cs="Times New Roman" w:eastAsia="Times New Roman" w:hAnsi="Times New Roman"/>
                <w:sz w:val="10"/>
                <w:szCs w:val="10"/>
                <w:b w:val="1"/>
                <w:bCs w:val="1"/>
                <w:color w:val="auto"/>
              </w:rPr>
              <w:t>Royalty</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37"/>
        </w:trPr>
        <w:tc>
          <w:tcPr>
            <w:tcW w:w="4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63"/>
        </w:trPr>
        <w:tc>
          <w:tcPr>
            <w:tcW w:w="44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Long-acting INVEGA products</w:t>
            </w:r>
            <w:r>
              <w:rPr>
                <w:rFonts w:ascii="Times New Roman" w:cs="Times New Roman" w:eastAsia="Times New Roman" w:hAnsi="Times New Roman"/>
                <w:sz w:val="18"/>
                <w:szCs w:val="18"/>
                <w:color w:val="auto"/>
                <w:vertAlign w:val="superscript"/>
              </w:rPr>
              <w:t>(1)</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109,572</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109,572</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VUMERITY</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130,468</w:t>
            </w:r>
          </w:p>
        </w:tc>
        <w:tc>
          <w:tcPr>
            <w:tcW w:w="80" w:type="dxa"/>
            <w:vAlign w:val="bottom"/>
          </w:tcPr>
          <w:p>
            <w:pPr>
              <w:spacing w:after="0"/>
              <w:rPr>
                <w:sz w:val="14"/>
                <w:szCs w:val="14"/>
                <w:color w:val="auto"/>
              </w:rPr>
            </w:pPr>
          </w:p>
        </w:tc>
      </w:tr>
      <w:tr>
        <w:trPr>
          <w:trHeight w:val="17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RISPERDAL CONSTA</w:t>
            </w: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19,569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19,624</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9,887</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31,592</w:t>
            </w:r>
          </w:p>
        </w:tc>
        <w:tc>
          <w:tcPr>
            <w:tcW w:w="80" w:type="dxa"/>
            <w:vAlign w:val="bottom"/>
          </w:tcPr>
          <w:p>
            <w:pPr>
              <w:spacing w:after="0"/>
              <w:rPr>
                <w:sz w:val="14"/>
                <w:szCs w:val="14"/>
                <w:color w:val="auto"/>
              </w:rPr>
            </w:pPr>
          </w:p>
        </w:tc>
      </w:tr>
      <w:tr>
        <w:trPr>
          <w:trHeight w:val="183"/>
        </w:trPr>
        <w:tc>
          <w:tcPr>
            <w:tcW w:w="448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45,995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245,261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291,256</w:t>
            </w:r>
          </w:p>
        </w:tc>
        <w:tc>
          <w:tcPr>
            <w:tcW w:w="80" w:type="dxa"/>
            <w:vAlign w:val="bottom"/>
            <w:shd w:val="clear" w:color="auto" w:fill="CFF0FC"/>
          </w:tcPr>
          <w:p>
            <w:pPr>
              <w:spacing w:after="0"/>
              <w:rPr>
                <w:sz w:val="15"/>
                <w:szCs w:val="15"/>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08"/>
        </w:trPr>
        <w:tc>
          <w:tcPr>
            <w:tcW w:w="44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center"/>
              <w:ind w:left="575"/>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90"/>
        </w:trPr>
        <w:tc>
          <w:tcPr>
            <w:tcW w:w="4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ind w:right="15"/>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jc w:val="center"/>
              <w:ind w:right="92"/>
              <w:spacing w:after="0" w:line="90" w:lineRule="exact"/>
              <w:rPr>
                <w:sz w:val="20"/>
                <w:szCs w:val="20"/>
                <w:color w:val="auto"/>
              </w:rPr>
            </w:pPr>
            <w:r>
              <w:rPr>
                <w:rFonts w:ascii="Times New Roman" w:cs="Times New Roman" w:eastAsia="Times New Roman" w:hAnsi="Times New Roman"/>
                <w:sz w:val="10"/>
                <w:szCs w:val="10"/>
                <w:b w:val="1"/>
                <w:bCs w:val="1"/>
                <w:color w:val="auto"/>
              </w:rPr>
              <w:t>Royalty</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37"/>
        </w:trPr>
        <w:tc>
          <w:tcPr>
            <w:tcW w:w="4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63"/>
        </w:trPr>
        <w:tc>
          <w:tcPr>
            <w:tcW w:w="44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Long-acting INVEGA products</w:t>
            </w:r>
            <w:r>
              <w:rPr>
                <w:rFonts w:ascii="Times New Roman" w:cs="Times New Roman" w:eastAsia="Times New Roman" w:hAnsi="Times New Roman"/>
                <w:sz w:val="18"/>
                <w:szCs w:val="18"/>
                <w:color w:val="auto"/>
                <w:vertAlign w:val="superscript"/>
              </w:rPr>
              <w:t>(1)</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236,386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236,386</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VUMERITY</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134,047</w:t>
            </w:r>
          </w:p>
        </w:tc>
        <w:tc>
          <w:tcPr>
            <w:tcW w:w="80" w:type="dxa"/>
            <w:vAlign w:val="bottom"/>
          </w:tcPr>
          <w:p>
            <w:pPr>
              <w:spacing w:after="0"/>
              <w:rPr>
                <w:sz w:val="14"/>
                <w:szCs w:val="14"/>
                <w:color w:val="auto"/>
              </w:rPr>
            </w:pPr>
          </w:p>
        </w:tc>
      </w:tr>
      <w:tr>
        <w:trPr>
          <w:trHeight w:val="17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RISPERDAL CONSTA</w:t>
            </w: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23,172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23,444</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56,962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23,256</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80,218</w:t>
            </w:r>
          </w:p>
        </w:tc>
        <w:tc>
          <w:tcPr>
            <w:tcW w:w="80" w:type="dxa"/>
            <w:vAlign w:val="bottom"/>
          </w:tcPr>
          <w:p>
            <w:pPr>
              <w:spacing w:after="0"/>
              <w:rPr>
                <w:sz w:val="14"/>
                <w:szCs w:val="14"/>
                <w:color w:val="auto"/>
              </w:rPr>
            </w:pPr>
          </w:p>
        </w:tc>
      </w:tr>
      <w:tr>
        <w:trPr>
          <w:trHeight w:val="183"/>
        </w:trPr>
        <w:tc>
          <w:tcPr>
            <w:tcW w:w="448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119,426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354,669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474,095</w:t>
            </w:r>
          </w:p>
        </w:tc>
        <w:tc>
          <w:tcPr>
            <w:tcW w:w="80" w:type="dxa"/>
            <w:vAlign w:val="bottom"/>
            <w:shd w:val="clear" w:color="auto" w:fill="CFF0FC"/>
          </w:tcPr>
          <w:p>
            <w:pPr>
              <w:spacing w:after="0"/>
              <w:rPr>
                <w:sz w:val="15"/>
                <w:szCs w:val="15"/>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08"/>
        </w:trPr>
        <w:tc>
          <w:tcPr>
            <w:tcW w:w="44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center"/>
              <w:ind w:left="575"/>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90"/>
        </w:trPr>
        <w:tc>
          <w:tcPr>
            <w:tcW w:w="4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ind w:right="35"/>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37"/>
        </w:trPr>
        <w:tc>
          <w:tcPr>
            <w:tcW w:w="4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Royalty Revenue</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63"/>
        </w:trPr>
        <w:tc>
          <w:tcPr>
            <w:tcW w:w="44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Long-acting INVEGA products</w:t>
            </w:r>
            <w:r>
              <w:rPr>
                <w:rFonts w:ascii="Times New Roman" w:cs="Times New Roman" w:eastAsia="Times New Roman" w:hAnsi="Times New Roman"/>
                <w:sz w:val="18"/>
                <w:szCs w:val="18"/>
                <w:color w:val="auto"/>
                <w:vertAlign w:val="superscript"/>
              </w:rPr>
              <w:t>(1)</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486,101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486,101</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VUMERITY</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129,326</w:t>
            </w:r>
          </w:p>
        </w:tc>
        <w:tc>
          <w:tcPr>
            <w:tcW w:w="80" w:type="dxa"/>
            <w:vAlign w:val="bottom"/>
          </w:tcPr>
          <w:p>
            <w:pPr>
              <w:spacing w:after="0"/>
              <w:rPr>
                <w:sz w:val="14"/>
                <w:szCs w:val="14"/>
                <w:color w:val="auto"/>
              </w:rPr>
            </w:pPr>
          </w:p>
        </w:tc>
      </w:tr>
      <w:tr>
        <w:trPr>
          <w:trHeight w:val="17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RISPERDAL CONSTA</w:t>
            </w: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36,123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37,276</w:t>
            </w:r>
          </w:p>
        </w:tc>
        <w:tc>
          <w:tcPr>
            <w:tcW w:w="80" w:type="dxa"/>
            <w:vAlign w:val="bottom"/>
            <w:shd w:val="clear" w:color="auto" w:fill="CFF0FC"/>
          </w:tcPr>
          <w:p>
            <w:pPr>
              <w:spacing w:after="0"/>
              <w:rPr>
                <w:sz w:val="14"/>
                <w:szCs w:val="14"/>
                <w:color w:val="auto"/>
              </w:rPr>
            </w:pP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63,489</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27,196</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90,685</w:t>
            </w:r>
          </w:p>
        </w:tc>
        <w:tc>
          <w:tcPr>
            <w:tcW w:w="80" w:type="dxa"/>
            <w:vAlign w:val="bottom"/>
          </w:tcPr>
          <w:p>
            <w:pPr>
              <w:spacing w:after="0"/>
              <w:rPr>
                <w:sz w:val="14"/>
                <w:szCs w:val="14"/>
                <w:color w:val="auto"/>
              </w:rPr>
            </w:pPr>
          </w:p>
        </w:tc>
      </w:tr>
      <w:tr>
        <w:trPr>
          <w:trHeight w:val="183"/>
        </w:trPr>
        <w:tc>
          <w:tcPr>
            <w:tcW w:w="448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142,498</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600,890</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743,388</w:t>
            </w:r>
          </w:p>
        </w:tc>
        <w:tc>
          <w:tcPr>
            <w:tcW w:w="80" w:type="dxa"/>
            <w:vAlign w:val="bottom"/>
            <w:shd w:val="clear" w:color="auto" w:fill="CFF0FC"/>
          </w:tcPr>
          <w:p>
            <w:pPr>
              <w:spacing w:after="0"/>
              <w:rPr>
                <w:sz w:val="15"/>
                <w:szCs w:val="15"/>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-1792605</wp:posOffset>
            </wp:positionV>
            <wp:extent cx="4762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-1779270</wp:posOffset>
            </wp:positionV>
            <wp:extent cx="4762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-1792605</wp:posOffset>
            </wp:positionV>
            <wp:extent cx="4762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-1779270</wp:posOffset>
            </wp:positionV>
            <wp:extent cx="4762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-1792605</wp:posOffset>
            </wp:positionV>
            <wp:extent cx="4762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-1779270</wp:posOffset>
            </wp:positionV>
            <wp:extent cx="4762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-906145</wp:posOffset>
            </wp:positionV>
            <wp:extent cx="4762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-892810</wp:posOffset>
            </wp:positionV>
            <wp:extent cx="4762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-906145</wp:posOffset>
            </wp:positionV>
            <wp:extent cx="4762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-892810</wp:posOffset>
            </wp:positionV>
            <wp:extent cx="4762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-906145</wp:posOffset>
            </wp:positionV>
            <wp:extent cx="4762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-892810</wp:posOffset>
            </wp:positionV>
            <wp:extent cx="4762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-19685</wp:posOffset>
            </wp:positionV>
            <wp:extent cx="4762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-6350</wp:posOffset>
            </wp:positionV>
            <wp:extent cx="4762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-19685</wp:posOffset>
            </wp:positionV>
            <wp:extent cx="4762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-6350</wp:posOffset>
            </wp:positionV>
            <wp:extent cx="4762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3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73" w:lineRule="exact"/>
        <w:rPr>
          <w:sz w:val="20"/>
          <w:szCs w:val="20"/>
          <w:color w:val="auto"/>
        </w:rPr>
      </w:pPr>
    </w:p>
    <w:p>
      <w:pPr>
        <w:ind w:left="1160" w:right="1299" w:hanging="264"/>
        <w:spacing w:after="0" w:line="268" w:lineRule="auto"/>
        <w:tabs>
          <w:tab w:leader="none" w:pos="1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-226060</wp:posOffset>
            </wp:positionV>
            <wp:extent cx="81851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31">
                      <a:extLst>
                        <a:ext uri="{28A0092B-C50C-407E-A947-70E740481C1C}"/>
                      </a:extLst>
                    </a:blip>
                    <a:srcRect/>
                    <a:stretch>
                      <a:fillRect/>
                    </a:stretch>
                  </pic:blipFill>
                  <pic:spPr bwMode="auto">
                    <a:xfrm>
                      <a:off x="0" y="0"/>
                      <a:ext cx="818515" cy="6985"/>
                    </a:xfrm>
                    <a:prstGeom prst="rect">
                      <a:avLst/>
                    </a:prstGeom>
                    <a:noFill/>
                  </pic:spPr>
                </pic:pic>
              </a:graphicData>
            </a:graphic>
          </wp:anchor>
        </w:drawing>
      </w:r>
    </w:p>
    <w:p>
      <w:pPr>
        <w:spacing w:after="0" w:line="59"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In November 2021, the Company received notice of partial termination of an exclusive license agreement with Janssen. Under this license agreement, the Company provided Janssen with rights to, and know-how, training and technical assistance in respect of, the Company’s small particle pharmaceutical compound technology, known as NANOCRYSTAL technology, which was used to develop the long-acting INVEGA products. When the partial termination became effective in February 2022, Janssen ceased paying royalties related to sales of INVEGA SUSTENNA, INVEGA TRINZA and INVEGA HAFYERA. Accordingly, the Company ceased recognizing royalty revenue related to sales of these products in February 2022. In April 2022, the Company commenced binding arbitration proceedings related to, among other things, Janssen’s partial termination of this license agreement and Janssen’s royalty and other obligations under the agreement. In May 2023, the arbitral tribunal (the “Tribunal”) in the arbitration proceedings issued a final award (the “Final Award”) which concluded the arbitration proceedings. The Final Award provided, among other things, that the Company was due back royalties of $195.4 million, inclusive of $8.1 million in late-payment interest related to 2022 U.S. net sales of the long-acting INVEGA products, which amount the Company received from Janssen in the second quarter of 2023, and is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Following issuance of the Final Award, the Company recognized royalty revenues related to the back royalties noted above and resumed recognizing royalty revenue related to ongoing U.S. sales of the long-acting INVEGA products. During 2023, the Company recorded $486.1 million in royalty revenue from sales of the long-acting INVEGA products, including $195.4 million in back royalties and associated interest related to net sales of the long-acting INVEGA in the U.S. in 2022, and approximately $290.7 million related to resumed recognition of royalty revenue related to worldwide net sales of the long-acting INVEGA products.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Investments consist of the following:</w:t>
      </w:r>
    </w:p>
    <w:p>
      <w:pPr>
        <w:spacing w:after="0" w:line="131"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4"/>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Losses</w:t>
            </w: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7"/>
              </w:rPr>
              <w:t>Less than</w:t>
            </w:r>
          </w:p>
        </w:tc>
        <w:tc>
          <w:tcPr>
            <w:tcW w:w="40" w:type="dxa"/>
            <w:vAlign w:val="bottom"/>
          </w:tcPr>
          <w:p>
            <w:pPr>
              <w:spacing w:after="0"/>
              <w:rPr>
                <w:sz w:val="8"/>
                <w:szCs w:val="8"/>
                <w:color w:val="auto"/>
              </w:rPr>
            </w:pPr>
          </w:p>
        </w:tc>
        <w:tc>
          <w:tcPr>
            <w:tcW w:w="70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Pr>
          <w:p>
            <w:pPr>
              <w:ind w:left="12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6"/>
              </w:rPr>
              <w:t>One Year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One Year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101,033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198,773</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199,645</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Certificates of deposit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long-term investments</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198,918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199,790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40" w:type="dxa"/>
            <w:vAlign w:val="bottom"/>
            <w:tcBorders>
              <w:top w:val="single" w:sz="8" w:color="CFF0FC"/>
              <w:bottom w:val="single" w:sz="8" w:color="auto"/>
            </w:tcBorders>
          </w:tcPr>
          <w:p>
            <w:pPr>
              <w:ind w:left="1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Borders>
              <w:top w:val="single" w:sz="8" w:color="CFF0F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6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60" w:type="dxa"/>
            <w:vAlign w:val="bottom"/>
            <w:tcBorders>
              <w:top w:val="single" w:sz="8" w:color="CFF0F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40" w:type="dxa"/>
            <w:vAlign w:val="bottom"/>
            <w:tcBorders>
              <w:top w:val="single" w:sz="8" w:color="CFF0F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60" w:type="dxa"/>
            <w:vAlign w:val="bottom"/>
            <w:tcBorders>
              <w:top w:val="single" w:sz="8" w:color="CFF0F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266,506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267,205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459,123</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460,522</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24,484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(158)</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24,326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73,340</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Certificates of deposit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long-term investments</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73,485</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73,148</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532,608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(347)</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-2385060</wp:posOffset>
            </wp:positionV>
            <wp:extent cx="73025" cy="1479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33">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-2385060</wp:posOffset>
            </wp:positionV>
            <wp:extent cx="73025" cy="1479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3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-2385060</wp:posOffset>
            </wp:positionV>
            <wp:extent cx="73025" cy="1479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35">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-2385060</wp:posOffset>
            </wp:positionV>
            <wp:extent cx="73025" cy="1479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36">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-2385060</wp:posOffset>
            </wp:positionV>
            <wp:extent cx="73025" cy="147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37">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-2044065</wp:posOffset>
            </wp:positionV>
            <wp:extent cx="73025" cy="1479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3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-2044065</wp:posOffset>
            </wp:positionV>
            <wp:extent cx="73025" cy="1479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39">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-2044065</wp:posOffset>
            </wp:positionV>
            <wp:extent cx="73025" cy="1479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40">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-2044065</wp:posOffset>
            </wp:positionV>
            <wp:extent cx="73025" cy="1479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41">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-2044065</wp:posOffset>
            </wp:positionV>
            <wp:extent cx="73025" cy="1479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42">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-1799590</wp:posOffset>
            </wp:positionV>
            <wp:extent cx="4762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-1786255</wp:posOffset>
            </wp:positionV>
            <wp:extent cx="4762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-1799590</wp:posOffset>
            </wp:positionV>
            <wp:extent cx="4762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-1786255</wp:posOffset>
            </wp:positionV>
            <wp:extent cx="4762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-1799590</wp:posOffset>
            </wp:positionV>
            <wp:extent cx="4762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-1786255</wp:posOffset>
            </wp:positionV>
            <wp:extent cx="4762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-1799590</wp:posOffset>
            </wp:positionV>
            <wp:extent cx="4762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-1786255</wp:posOffset>
            </wp:positionV>
            <wp:extent cx="4762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-1799590</wp:posOffset>
            </wp:positionV>
            <wp:extent cx="4762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-1786255</wp:posOffset>
            </wp:positionV>
            <wp:extent cx="4762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-1164590</wp:posOffset>
            </wp:positionV>
            <wp:extent cx="73025" cy="1479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53">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-1164590</wp:posOffset>
            </wp:positionV>
            <wp:extent cx="73025" cy="1479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5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-1164590</wp:posOffset>
            </wp:positionV>
            <wp:extent cx="73025" cy="1479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55">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-605155</wp:posOffset>
            </wp:positionV>
            <wp:extent cx="73025" cy="1479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56">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-605155</wp:posOffset>
            </wp:positionV>
            <wp:extent cx="73025" cy="1479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57">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-605155</wp:posOffset>
            </wp:positionV>
            <wp:extent cx="73025" cy="1479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5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-605155</wp:posOffset>
            </wp:positionV>
            <wp:extent cx="73025" cy="1479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59">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-264160</wp:posOffset>
            </wp:positionV>
            <wp:extent cx="73025" cy="1479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60">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-264160</wp:posOffset>
            </wp:positionV>
            <wp:extent cx="73025" cy="1479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61">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-264160</wp:posOffset>
            </wp:positionV>
            <wp:extent cx="73025" cy="1479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62">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-264160</wp:posOffset>
            </wp:positionV>
            <wp:extent cx="73025" cy="1479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63">
                      <a:extLst>
                        <a:ext uri="{28A0092B-C50C-407E-A947-70E740481C1C}"/>
                      </a:extLst>
                    </a:blip>
                    <a:srcRect/>
                    <a:stretch>
                      <a:fillRect/>
                    </a:stretch>
                  </pic:blipFill>
                  <pic:spPr bwMode="auto">
                    <a:xfrm>
                      <a:off x="0" y="0"/>
                      <a:ext cx="73025" cy="147955"/>
                    </a:xfrm>
                    <a:prstGeom prst="rect">
                      <a:avLst/>
                    </a:prstGeom>
                    <a:noFill/>
                  </pic:spPr>
                </pic:pic>
              </a:graphicData>
            </a:graphic>
          </wp:anchor>
        </w:drawing>
      </w:r>
    </w:p>
    <w:p>
      <w:pPr>
        <w:spacing w:after="0" w:line="51" w:lineRule="exact"/>
        <w:rPr>
          <w:sz w:val="20"/>
          <w:szCs w:val="20"/>
          <w:color w:val="auto"/>
        </w:rPr>
      </w:pPr>
    </w:p>
    <w:p>
      <w:pPr>
        <w:ind w:left="640" w:right="979" w:firstLine="351"/>
        <w:spacing w:after="0" w:line="292" w:lineRule="auto"/>
        <w:rPr>
          <w:sz w:val="20"/>
          <w:szCs w:val="20"/>
          <w:color w:val="auto"/>
        </w:rPr>
      </w:pPr>
      <w:r>
        <w:rPr>
          <w:rFonts w:ascii="Times New Roman" w:cs="Times New Roman" w:eastAsia="Times New Roman" w:hAnsi="Times New Roman"/>
          <w:sz w:val="14"/>
          <w:szCs w:val="14"/>
          <w:color w:val="auto"/>
        </w:rPr>
        <w:t>Realized gains and losses on the sales and maturities of investments, which were identified using the specific identification method, were as follows:</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8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the sales and maturities of investments</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697,492</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310,286</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355,522</w:t>
            </w:r>
          </w:p>
        </w:tc>
        <w:tc>
          <w:tcPr>
            <w:tcW w:w="0" w:type="dxa"/>
            <w:vAlign w:val="bottom"/>
          </w:tcPr>
          <w:p>
            <w:pPr>
              <w:spacing w:after="0"/>
              <w:rPr>
                <w:sz w:val="1"/>
                <w:szCs w:val="1"/>
                <w:color w:val="auto"/>
              </w:rPr>
            </w:pP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Realized gains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Realized losses</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40" w:right="1099" w:firstLine="351"/>
        <w:spacing w:after="0" w:line="292" w:lineRule="auto"/>
        <w:rPr>
          <w:sz w:val="20"/>
          <w:szCs w:val="20"/>
          <w:color w:val="auto"/>
        </w:rPr>
      </w:pPr>
      <w:r>
        <w:rPr>
          <w:rFonts w:ascii="Times New Roman" w:cs="Times New Roman" w:eastAsia="Times New Roman" w:hAnsi="Times New Roman"/>
          <w:sz w:val="14"/>
          <w:szCs w:val="14"/>
          <w:color w:val="auto"/>
        </w:rPr>
        <w:t>The Company’s available-for-sale and held-to-maturity securities at December 31, 2025 had contractual maturities in the following periods:</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6"/>
          </w:tcPr>
          <w:p>
            <w:pPr>
              <w:ind w:left="340"/>
              <w:spacing w:after="0"/>
              <w:rPr>
                <w:sz w:val="20"/>
                <w:szCs w:val="20"/>
                <w:color w:val="auto"/>
              </w:rPr>
            </w:pPr>
            <w:r>
              <w:rPr>
                <w:rFonts w:ascii="Times New Roman" w:cs="Times New Roman" w:eastAsia="Times New Roman" w:hAnsi="Times New Roman"/>
                <w:sz w:val="11"/>
                <w:szCs w:val="11"/>
                <w:b w:val="1"/>
                <w:bCs w:val="1"/>
                <w:color w:val="auto"/>
              </w:rPr>
              <w:t>Available-for-sale</w:t>
            </w:r>
          </w:p>
        </w:tc>
        <w:tc>
          <w:tcPr>
            <w:tcW w:w="100" w:type="dxa"/>
            <w:vAlign w:val="bottom"/>
          </w:tcPr>
          <w:p>
            <w:pPr>
              <w:spacing w:after="0"/>
              <w:rPr>
                <w:sz w:val="11"/>
                <w:szCs w:val="11"/>
                <w:color w:val="auto"/>
              </w:rPr>
            </w:pPr>
          </w:p>
        </w:tc>
        <w:tc>
          <w:tcPr>
            <w:tcW w:w="1740" w:type="dxa"/>
            <w:vAlign w:val="bottom"/>
            <w:gridSpan w:val="5"/>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Held-to-maturity</w:t>
            </w:r>
          </w:p>
        </w:tc>
      </w:tr>
      <w:tr>
        <w:trPr>
          <w:trHeight w:val="90"/>
        </w:trPr>
        <w:tc>
          <w:tcPr>
            <w:tcW w:w="2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jc w:val="center"/>
              <w:ind w:right="160"/>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right"/>
              <w:ind w:right="95"/>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2"/>
          </w:tcPr>
          <w:p>
            <w:pPr>
              <w:jc w:val="center"/>
              <w:ind w:right="240"/>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ind w:right="75"/>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100" w:type="dxa"/>
            <w:vAlign w:val="bottom"/>
          </w:tcPr>
          <w:p>
            <w:pPr>
              <w:spacing w:after="0"/>
              <w:rPr>
                <w:sz w:val="7"/>
                <w:szCs w:val="7"/>
                <w:color w:val="auto"/>
              </w:rPr>
            </w:pPr>
          </w:p>
        </w:tc>
      </w:tr>
      <w:tr>
        <w:trPr>
          <w:trHeight w:val="137"/>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1"/>
                <w:szCs w:val="11"/>
                <w:color w:val="auto"/>
              </w:rPr>
            </w:pPr>
          </w:p>
        </w:tc>
      </w:tr>
      <w:tr>
        <w:trPr>
          <w:trHeight w:val="16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Within 1 year</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104,442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104,680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4"/>
                <w:szCs w:val="14"/>
                <w:color w:val="auto"/>
              </w:rPr>
            </w:pP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After 1 year through 5 years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94,331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94,965</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198,773</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199,645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5"/>
                <w:szCs w:val="15"/>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-19685</wp:posOffset>
            </wp:positionV>
            <wp:extent cx="4762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-6350</wp:posOffset>
            </wp:positionV>
            <wp:extent cx="4762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-19685</wp:posOffset>
            </wp:positionV>
            <wp:extent cx="4762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-6350</wp:posOffset>
            </wp:positionV>
            <wp:extent cx="4762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-19685</wp:posOffset>
            </wp:positionV>
            <wp:extent cx="4762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-6350</wp:posOffset>
            </wp:positionV>
            <wp:extent cx="47625"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7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7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83"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In February 2025, the Company entered into an agreement whereby it is committed to provide up to €10.0 million to a partnership, Fountain Healthcare Partners Fund IV, L.P. (“Fountain”), which was created to carry on the business of investing exclusively in companies and businesses engaged in the healthcare, pharmaceutical and life sciences sectors. The Company’s commitment represents approximately 9.2% of the partnership’s total funding, and the Company is accounting for its investment in Fountain under the equity method. As of December 31, 2025, the Company had made payments of, and its investment is equal to, $0.7 million (€0.7 million), which is included within “Other assets” in the accompanying condensed consolidated balance sheets.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FAIR VALUE</w:t>
      </w:r>
    </w:p>
    <w:p>
      <w:pPr>
        <w:spacing w:after="0" w:line="99"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assets and liabilities that are measured at fair value on a recurring basis and indicates the fair value hierarchy and the valuation techniques the Company utilized to determine such fair value:</w:t>
      </w:r>
    </w:p>
    <w:p>
      <w:pPr>
        <w:sectPr>
          <w:pgSz w:w="11900" w:h="16838" w:orient="portrait"/>
          <w:cols w:equalWidth="0" w:num="1">
            <w:col w:w="9019"/>
          </w:cols>
          <w:pgMar w:left="1440" w:top="638" w:right="1440" w:bottom="1440" w:gutter="0" w:footer="0" w:header="0"/>
        </w:sectPr>
      </w:pP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Cash equivalents</w:t>
      </w:r>
    </w:p>
    <w:p>
      <w:pPr>
        <w:spacing w:after="0" w:line="11" w:lineRule="exact"/>
        <w:rPr>
          <w:sz w:val="20"/>
          <w:szCs w:val="20"/>
          <w:color w:val="auto"/>
        </w:rPr>
      </w:pPr>
    </w:p>
    <w:p>
      <w:pPr>
        <w:ind w:left="780" w:right="600"/>
        <w:spacing w:after="0" w:line="272" w:lineRule="auto"/>
        <w:rPr>
          <w:sz w:val="20"/>
          <w:szCs w:val="20"/>
          <w:color w:val="auto"/>
        </w:rPr>
      </w:pPr>
      <w:r>
        <w:rPr>
          <w:rFonts w:ascii="Times New Roman" w:cs="Times New Roman" w:eastAsia="Times New Roman" w:hAnsi="Times New Roman"/>
          <w:sz w:val="14"/>
          <w:szCs w:val="14"/>
          <w:color w:val="auto"/>
        </w:rPr>
        <w:t>U.S. government and agency debt securities Corporate debt securities</w:t>
      </w:r>
    </w:p>
    <w:p>
      <w:pPr>
        <w:spacing w:after="0" w:line="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Total</w:t>
      </w: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Cash equivalents</w:t>
      </w:r>
    </w:p>
    <w:p>
      <w:pPr>
        <w:spacing w:after="0" w:line="11" w:lineRule="exact"/>
        <w:rPr>
          <w:sz w:val="20"/>
          <w:szCs w:val="20"/>
          <w:color w:val="auto"/>
        </w:rPr>
      </w:pPr>
    </w:p>
    <w:p>
      <w:pPr>
        <w:ind w:left="780" w:right="600"/>
        <w:spacing w:after="0" w:line="272" w:lineRule="auto"/>
        <w:rPr>
          <w:sz w:val="20"/>
          <w:szCs w:val="20"/>
          <w:color w:val="auto"/>
        </w:rPr>
      </w:pPr>
      <w:r>
        <w:rPr>
          <w:rFonts w:ascii="Times New Roman" w:cs="Times New Roman" w:eastAsia="Times New Roman" w:hAnsi="Times New Roman"/>
          <w:sz w:val="14"/>
          <w:szCs w:val="14"/>
          <w:color w:val="auto"/>
        </w:rPr>
        <w:t>U.S. government and agency debt securities Corporate debt securities</w:t>
      </w:r>
    </w:p>
    <w:p>
      <w:pPr>
        <w:spacing w:after="0" w:line="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26"/>
        </w:trPr>
        <w:tc>
          <w:tcPr>
            <w:tcW w:w="88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w w:val="94"/>
              </w:rPr>
              <w:t>Level 3</w:t>
            </w:r>
          </w:p>
        </w:tc>
        <w:tc>
          <w:tcPr>
            <w:tcW w:w="0" w:type="dxa"/>
            <w:vAlign w:val="bottom"/>
          </w:tcPr>
          <w:p>
            <w:pPr>
              <w:spacing w:after="0"/>
              <w:rPr>
                <w:sz w:val="1"/>
                <w:szCs w:val="1"/>
                <w:color w:val="auto"/>
              </w:rPr>
            </w:pPr>
          </w:p>
        </w:tc>
      </w:tr>
      <w:tr>
        <w:trPr>
          <w:trHeight w:val="150"/>
        </w:trPr>
        <w:tc>
          <w:tcPr>
            <w:tcW w:w="88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-7620</wp:posOffset>
            </wp:positionV>
            <wp:extent cx="4909820" cy="1162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73">
                      <a:extLst>
                        <a:ext uri="{28A0092B-C50C-407E-A947-70E740481C1C}"/>
                      </a:extLst>
                    </a:blip>
                    <a:srcRect/>
                    <a:stretch>
                      <a:fillRect/>
                    </a:stretch>
                  </pic:blipFill>
                  <pic:spPr bwMode="auto">
                    <a:xfrm>
                      <a:off x="0" y="0"/>
                      <a:ext cx="4909820" cy="11620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18,583</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18,583</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101,371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94,246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98,274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97,774</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218,228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112,829</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104,899</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vMerge w:val="restart"/>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1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60" w:type="dxa"/>
            <w:vAlign w:val="bottom"/>
          </w:tcPr>
          <w:p>
            <w:pPr>
              <w:spacing w:after="0"/>
              <w:rPr>
                <w:sz w:val="24"/>
                <w:szCs w:val="24"/>
                <w:color w:val="auto"/>
              </w:rPr>
            </w:pPr>
          </w:p>
        </w:tc>
        <w:tc>
          <w:tcPr>
            <w:tcW w:w="14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60" w:type="dxa"/>
            <w:vAlign w:val="bottom"/>
          </w:tcPr>
          <w:p>
            <w:pPr>
              <w:spacing w:after="0"/>
              <w:rPr>
                <w:sz w:val="24"/>
                <w:szCs w:val="2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315,882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217,643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217,643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541,913</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273,478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268,435</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-1192530</wp:posOffset>
            </wp:positionV>
            <wp:extent cx="4909820" cy="1092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74">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-974725</wp:posOffset>
            </wp:positionV>
            <wp:extent cx="4909820" cy="13652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75">
                      <a:extLst>
                        <a:ext uri="{28A0092B-C50C-407E-A947-70E740481C1C}"/>
                      </a:extLst>
                    </a:blip>
                    <a:srcRect/>
                    <a:stretch>
                      <a:fillRect/>
                    </a:stretch>
                  </pic:blipFill>
                  <pic:spPr bwMode="auto">
                    <a:xfrm>
                      <a:off x="0" y="0"/>
                      <a:ext cx="4909820" cy="13652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-572135</wp:posOffset>
            </wp:positionV>
            <wp:extent cx="4909820" cy="1092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76">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-353695</wp:posOffset>
            </wp:positionV>
            <wp:extent cx="4909820" cy="1092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77">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-135890</wp:posOffset>
            </wp:positionV>
            <wp:extent cx="4909820" cy="13652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78">
                      <a:extLst>
                        <a:ext uri="{28A0092B-C50C-407E-A947-70E740481C1C}"/>
                      </a:extLst>
                    </a:blip>
                    <a:srcRect/>
                    <a:stretch>
                      <a:fillRect/>
                    </a:stretch>
                  </pic:blipFill>
                  <pic:spPr bwMode="auto">
                    <a:xfrm>
                      <a:off x="0" y="0"/>
                      <a:ext cx="4909820" cy="13652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3900" w:space="720"/>
            <w:col w:w="4399"/>
          </w:cols>
          <w:pgMar w:left="1440" w:top="638" w:right="1440" w:bottom="1440" w:gutter="0" w:footer="0" w:header="0"/>
          <w:type w:val="continuous"/>
        </w:sectPr>
      </w:pPr>
    </w:p>
    <w:p>
      <w:pPr>
        <w:ind w:left="640" w:right="959" w:firstLine="351"/>
        <w:spacing w:after="0" w:line="274" w:lineRule="auto"/>
        <w:rPr>
          <w:sz w:val="20"/>
          <w:szCs w:val="20"/>
          <w:color w:val="auto"/>
        </w:rPr>
      </w:pPr>
      <w:r>
        <w:rPr>
          <w:rFonts w:ascii="Times New Roman" w:cs="Times New Roman" w:eastAsia="Times New Roman" w:hAnsi="Times New Roman"/>
          <w:sz w:val="14"/>
          <w:szCs w:val="14"/>
          <w:color w:val="auto"/>
        </w:rPr>
        <w:t>The Company transfers its financial assets and liabilities, measured at fair value on a recurring basis, between the fair value hierarchies at the end of each reporting period. There were no transfers of any securities between levels during the year ended December 31, 2025.</w:t>
      </w:r>
    </w:p>
    <w:p>
      <w:pPr>
        <w:spacing w:after="0" w:line="50"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is a rollforward of the fair value of the Company’s assets with fair values that were determined using Level 3 inputs at December 31, 2025:</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6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January 1, 2025</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4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Purchase of a corporate debt security</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500</w:t>
            </w:r>
          </w:p>
        </w:tc>
      </w:tr>
      <w:tr>
        <w:trPr>
          <w:trHeight w:val="203"/>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500</w:t>
            </w:r>
          </w:p>
        </w:tc>
      </w:tr>
    </w:tbl>
    <w:p>
      <w:pPr>
        <w:spacing w:after="0" w:line="103" w:lineRule="exact"/>
        <w:rPr>
          <w:sz w:val="20"/>
          <w:szCs w:val="20"/>
          <w:color w:val="auto"/>
        </w:rPr>
      </w:pPr>
    </w:p>
    <w:p>
      <w:pPr>
        <w:ind w:left="640" w:right="839" w:firstLine="351"/>
        <w:spacing w:after="0" w:line="263" w:lineRule="auto"/>
        <w:rPr>
          <w:sz w:val="20"/>
          <w:szCs w:val="20"/>
          <w:color w:val="auto"/>
        </w:rPr>
      </w:pPr>
      <w:r>
        <w:rPr>
          <w:rFonts w:ascii="Times New Roman" w:cs="Times New Roman" w:eastAsia="Times New Roman" w:hAnsi="Times New Roman"/>
          <w:sz w:val="14"/>
          <w:szCs w:val="14"/>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INVENTORY</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Inventory consists of the following:</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5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68,387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72,139</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90,498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79,871</w:t>
            </w:r>
          </w:p>
        </w:tc>
      </w:tr>
      <w:tr>
        <w:trPr>
          <w:trHeight w:val="172"/>
        </w:trPr>
        <w:tc>
          <w:tcPr>
            <w:tcW w:w="5320" w:type="dxa"/>
            <w:vAlign w:val="bottom"/>
            <w:tcBorders>
              <w:bottom w:val="single" w:sz="8" w:color="CFF0FC"/>
            </w:tcBorders>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Finished goods</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37,740</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30,877</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196,625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182,887</w:t>
            </w: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54610</wp:posOffset>
            </wp:positionV>
            <wp:extent cx="1309370"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81">
                      <a:extLst>
                        <a:ext uri="{28A0092B-C50C-407E-A947-70E740481C1C}"/>
                      </a:extLst>
                    </a:blip>
                    <a:srcRect/>
                    <a:stretch>
                      <a:fillRect/>
                    </a:stretch>
                  </pic:blipFill>
                  <pic:spPr bwMode="auto">
                    <a:xfrm>
                      <a:off x="0" y="0"/>
                      <a:ext cx="1309370" cy="6985"/>
                    </a:xfrm>
                    <a:prstGeom prst="rect">
                      <a:avLst/>
                    </a:prstGeom>
                    <a:noFill/>
                  </pic:spPr>
                </pic:pic>
              </a:graphicData>
            </a:graphic>
          </wp:anchor>
        </w:drawing>
      </w:r>
    </w:p>
    <w:p>
      <w:pPr>
        <w:spacing w:after="0" w:line="81" w:lineRule="exact"/>
        <w:rPr>
          <w:sz w:val="20"/>
          <w:szCs w:val="20"/>
          <w:color w:val="auto"/>
        </w:rPr>
      </w:pPr>
    </w:p>
    <w:p>
      <w:pPr>
        <w:ind w:left="1240" w:right="879" w:hanging="344"/>
        <w:spacing w:after="0" w:line="264" w:lineRule="auto"/>
        <w:tabs>
          <w:tab w:leader="none" w:pos="12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December 31, 2025 and 2024, the Company had $31.7 million and $22.7 million, respectively, of finished goods inventory located at its third-party warehouse and shipping service provider.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PROPERTY, PLANT AND EQUIPMENT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Property, plant and equipment consists of the following:</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5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Land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957</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Building and improvements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134,699</w:t>
            </w: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255,773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244,113</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42,416</w:t>
            </w:r>
          </w:p>
        </w:tc>
      </w:tr>
      <w:tr>
        <w:trPr>
          <w:trHeight w:val="172"/>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58,391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480,576</w:t>
            </w: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(267,010)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(253,012)</w:t>
            </w:r>
          </w:p>
        </w:tc>
      </w:tr>
      <w:tr>
        <w:trPr>
          <w:trHeight w:val="163"/>
        </w:trPr>
        <w:tc>
          <w:tcPr>
            <w:tcW w:w="53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221,722</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227,564</w:t>
            </w:r>
          </w:p>
        </w:tc>
        <w:tc>
          <w:tcPr>
            <w:tcW w:w="80" w:type="dxa"/>
            <w:vAlign w:val="bottom"/>
            <w:tcBorders>
              <w:top w:val="single" w:sz="8" w:color="CFF0FC"/>
            </w:tcBorders>
          </w:tcPr>
          <w:p>
            <w:pPr>
              <w:spacing w:after="0"/>
              <w:rPr>
                <w:sz w:val="14"/>
                <w:szCs w:val="14"/>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-360680</wp:posOffset>
            </wp:positionV>
            <wp:extent cx="4762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8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83" w:lineRule="exact"/>
        <w:rPr>
          <w:sz w:val="20"/>
          <w:szCs w:val="20"/>
          <w:color w:val="auto"/>
        </w:rPr>
      </w:pPr>
    </w:p>
    <w:p>
      <w:pPr>
        <w:ind w:left="640" w:right="939" w:firstLine="351"/>
        <w:spacing w:after="0" w:line="292" w:lineRule="auto"/>
        <w:rPr>
          <w:sz w:val="20"/>
          <w:szCs w:val="20"/>
          <w:color w:val="auto"/>
        </w:rPr>
      </w:pPr>
      <w:r>
        <w:rPr>
          <w:rFonts w:ascii="Times New Roman" w:cs="Times New Roman" w:eastAsia="Times New Roman" w:hAnsi="Times New Roman"/>
          <w:sz w:val="14"/>
          <w:szCs w:val="14"/>
          <w:color w:val="auto"/>
        </w:rPr>
        <w:t>Depreciation expense was $31.1 million, $27.4 million and $25.7 million for the years ended December 31, 2025, 2024 and 2023, respectively.</w:t>
      </w:r>
    </w:p>
    <w:p>
      <w:pPr>
        <w:spacing w:after="0" w:line="70"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Amounts included as construction in progress in the consolidated balance sheets primarily include capital expenditures at the Company’s manufacturing facility in Wilmington, Ohio. The Company continues to evaluate its manufacturing capacity based on expectations of demand for its products and will continue to record such amounts within construction in progress until such time as the underlying assets are placed into service. The Company continues to periodically evaluate whether facts and circumstances indicate that the carrying value of its long-lived assets to be held and used may not be recoverable.</w:t>
      </w:r>
    </w:p>
    <w:p>
      <w:pPr>
        <w:spacing w:after="0" w:line="78" w:lineRule="exact"/>
        <w:rPr>
          <w:sz w:val="20"/>
          <w:szCs w:val="20"/>
          <w:color w:val="auto"/>
        </w:rPr>
      </w:pPr>
    </w:p>
    <w:p>
      <w:pPr>
        <w:ind w:left="640" w:right="839" w:firstLine="351"/>
        <w:spacing w:after="0" w:line="274" w:lineRule="auto"/>
        <w:rPr>
          <w:sz w:val="20"/>
          <w:szCs w:val="20"/>
          <w:color w:val="auto"/>
        </w:rPr>
      </w:pPr>
      <w:r>
        <w:rPr>
          <w:rFonts w:ascii="Times New Roman" w:cs="Times New Roman" w:eastAsia="Times New Roman" w:hAnsi="Times New Roman"/>
          <w:sz w:val="14"/>
          <w:szCs w:val="14"/>
          <w:color w:val="auto"/>
        </w:rPr>
        <w:t>In December 2023, the Company determined that $2.9 million of its construction in progress at its Wilmington, Ohio manufacturing facility had no future value and was written off through “cost of goods manufactured and sold” in the accompanying consolidated statements of operations and comprehensive income during the year ended December 31, 2023.</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INTANGIBLE ASSETS AND GOODWILL</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Intangible assets and goodwill consists of the following:</w:t>
      </w:r>
    </w:p>
    <w:p>
      <w:pPr>
        <w:spacing w:after="0" w:line="152"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80"/>
              <w:spacing w:after="0" w:line="96" w:lineRule="exact"/>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80"/>
              <w:spacing w:after="0" w:line="96"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8"/>
              </w:rPr>
              <w:t>Amortizable</w:t>
            </w:r>
          </w:p>
        </w:tc>
        <w:tc>
          <w:tcPr>
            <w:tcW w:w="100" w:type="dxa"/>
            <w:vAlign w:val="bottom"/>
          </w:tcPr>
          <w:p>
            <w:pPr>
              <w:spacing w:after="0"/>
              <w:rPr>
                <w:sz w:val="10"/>
                <w:szCs w:val="10"/>
                <w:color w:val="auto"/>
              </w:rPr>
            </w:pPr>
          </w:p>
        </w:tc>
        <w:tc>
          <w:tcPr>
            <w:tcW w:w="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40" w:type="dxa"/>
            <w:vAlign w:val="bottom"/>
          </w:tcPr>
          <w:p>
            <w:pPr>
              <w:spacing w:after="0"/>
              <w:rPr>
                <w:sz w:val="10"/>
                <w:szCs w:val="10"/>
                <w:color w:val="auto"/>
              </w:rPr>
            </w:pPr>
          </w:p>
        </w:tc>
        <w:tc>
          <w:tcPr>
            <w:tcW w:w="860" w:type="dxa"/>
            <w:vAlign w:val="bottom"/>
            <w:gridSpan w:val="3"/>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w w:val="95"/>
              </w:rPr>
              <w:t>Net Carrying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140" w:type="dxa"/>
            <w:vAlign w:val="bottom"/>
          </w:tcPr>
          <w:p>
            <w:pPr>
              <w:spacing w:after="0"/>
              <w:rPr>
                <w:sz w:val="10"/>
                <w:szCs w:val="10"/>
                <w:color w:val="auto"/>
              </w:rPr>
            </w:pPr>
          </w:p>
        </w:tc>
        <w:tc>
          <w:tcPr>
            <w:tcW w:w="860" w:type="dxa"/>
            <w:vAlign w:val="bottom"/>
            <w:gridSpan w:val="3"/>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78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Net Carrying</w:t>
            </w:r>
          </w:p>
        </w:tc>
        <w:tc>
          <w:tcPr>
            <w:tcW w:w="0" w:type="dxa"/>
            <w:vAlign w:val="bottom"/>
          </w:tcPr>
          <w:p>
            <w:pPr>
              <w:spacing w:after="0"/>
              <w:rPr>
                <w:sz w:val="1"/>
                <w:szCs w:val="1"/>
                <w:color w:val="auto"/>
              </w:rPr>
            </w:pPr>
          </w:p>
        </w:tc>
      </w:tr>
      <w:tr>
        <w:trPr>
          <w:trHeight w:val="131"/>
        </w:trPr>
        <w:tc>
          <w:tcPr>
            <w:tcW w:w="1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Life (Years)</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4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4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Goodwill</w:t>
            </w: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83,027</w:t>
            </w:r>
          </w:p>
        </w:tc>
        <w:tc>
          <w:tcPr>
            <w:tcW w:w="28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83,027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83,027</w:t>
            </w:r>
          </w:p>
        </w:tc>
        <w:tc>
          <w:tcPr>
            <w:tcW w:w="30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83,027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4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color w:val="auto"/>
              </w:rPr>
              <w:t>Finite-lived intangible assets:</w:t>
            </w:r>
          </w:p>
        </w:tc>
        <w:tc>
          <w:tcPr>
            <w:tcW w:w="66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Collaboration agreements</w:t>
            </w:r>
          </w:p>
        </w:tc>
        <w:tc>
          <w:tcPr>
            <w:tcW w:w="66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465,590</w:t>
            </w:r>
          </w:p>
        </w:tc>
        <w:tc>
          <w:tcPr>
            <w:tcW w:w="28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(465,590)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465,590</w:t>
            </w:r>
          </w:p>
        </w:tc>
        <w:tc>
          <w:tcPr>
            <w:tcW w:w="30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(465,590)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Capitalized IP</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auto"/>
              </w:rPr>
              <w:t>11-13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118,160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(117,345)</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118,160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(117,270)</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583,750</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(582,935)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583,750</w:t>
            </w:r>
          </w:p>
        </w:tc>
        <w:tc>
          <w:tcPr>
            <w:tcW w:w="30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(582,860)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-456565</wp:posOffset>
            </wp:positionV>
            <wp:extent cx="4762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-442595</wp:posOffset>
            </wp:positionV>
            <wp:extent cx="4762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-456565</wp:posOffset>
            </wp:positionV>
            <wp:extent cx="4762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-442595</wp:posOffset>
            </wp:positionV>
            <wp:extent cx="4762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-456565</wp:posOffset>
            </wp:positionV>
            <wp:extent cx="4762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-442595</wp:posOffset>
            </wp:positionV>
            <wp:extent cx="4762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-456565</wp:posOffset>
            </wp:positionV>
            <wp:extent cx="4762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-442595</wp:posOffset>
            </wp:positionV>
            <wp:extent cx="4762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-456565</wp:posOffset>
            </wp:positionV>
            <wp:extent cx="4762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-442595</wp:posOffset>
            </wp:positionV>
            <wp:extent cx="4762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-456565</wp:posOffset>
            </wp:positionV>
            <wp:extent cx="4762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-442595</wp:posOffset>
            </wp:positionV>
            <wp:extent cx="47625"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-19685</wp:posOffset>
            </wp:positionV>
            <wp:extent cx="4762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-6350</wp:posOffset>
            </wp:positionV>
            <wp:extent cx="4762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-19685</wp:posOffset>
            </wp:positionV>
            <wp:extent cx="4762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-6350</wp:posOffset>
            </wp:positionV>
            <wp:extent cx="4762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-19685</wp:posOffset>
            </wp:positionV>
            <wp:extent cx="4762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-6350</wp:posOffset>
            </wp:positionV>
            <wp:extent cx="4762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-19685</wp:posOffset>
            </wp:positionV>
            <wp:extent cx="47625"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-6350</wp:posOffset>
            </wp:positionV>
            <wp:extent cx="47625"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-19685</wp:posOffset>
            </wp:positionV>
            <wp:extent cx="4762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-6350</wp:posOffset>
            </wp:positionV>
            <wp:extent cx="47625"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1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83"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The Company’s finite-lived intangible assets primarily consisted of collaborative agreements and the NANOCRYSTAL and oral controlled release technologies acquired as part of the EDT acquisition. These intangible assets were fully amortized in the year ended December 31, 2024. The Company recorded less than $0.1 million, $1.1 million and $35.7 million of amortization expense related to its finite-lived intangible assets during the years ended December 31, 2025, 2024 and 2023, respectively.</w:t>
      </w:r>
    </w:p>
    <w:p>
      <w:pPr>
        <w:spacing w:after="0" w:line="86"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The Company performed its annual goodwill impairment test as of October 31, 2025. The Company elected to perform a qualitative impairment test and determined that based on the weight of all available evidence, the fair value of the reporting unit more-likely-than-not exceeded its carrying value.</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LEASES</w:t>
      </w:r>
    </w:p>
    <w:p>
      <w:pPr>
        <w:spacing w:after="0" w:line="131"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All of the Company’s leases are accounted for as operating leases. At December 31, 2025 and 2024, the operating leases held by the Company had a weighted average incremental borrowing rate of 3.6% and 4.0%, respectively, and a weighted average remaining lease term of 5.8 years and 7.2 years, respectively. During the years ended December 31, 2025, 2024 and 2023, cash paid for amounts included for the measurement of lease liabilities was $10.3 million, $10.1 million and $10.3 million, respectively. The Company recorded operating lease expense of $7.5 million, $7.2 million and $10.2 million for the years ended December 31, 2025, 2024 and 2023, respectively.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7" w:name="page108"/>
    <w:bookmarkEnd w:id="107"/>
    <w:tbl>
      <w:tblPr>
        <w:tblLayout w:type="fixed"/>
        <w:tblInd w:w="640" w:type="dxa"/>
        <w:tblCellMar>
          <w:top w:w="0" w:type="dxa"/>
          <w:left w:w="0" w:type="dxa"/>
          <w:bottom w:w="0" w:type="dxa"/>
          <w:right w:w="0" w:type="dxa"/>
        </w:tblCellMar>
      </w:tblPr>
      <w:tr>
        <w:trPr>
          <w:trHeight w:val="172"/>
        </w:trPr>
        <w:tc>
          <w:tcPr>
            <w:tcW w:w="634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634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11"/>
        </w:trPr>
        <w:tc>
          <w:tcPr>
            <w:tcW w:w="6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Future lease payments under non-cancelable leases as of December 31, 2025 consisted of the following:</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6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r>
      <w:tr>
        <w:trPr>
          <w:trHeight w:val="163"/>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10,480</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9,613</w:t>
            </w:r>
          </w:p>
        </w:tc>
        <w:tc>
          <w:tcPr>
            <w:tcW w:w="100" w:type="dxa"/>
            <w:vAlign w:val="bottom"/>
          </w:tcPr>
          <w:p>
            <w:pPr>
              <w:spacing w:after="0"/>
              <w:rPr>
                <w:sz w:val="14"/>
                <w:szCs w:val="14"/>
                <w:color w:val="auto"/>
              </w:rPr>
            </w:pPr>
          </w:p>
        </w:tc>
      </w:tr>
      <w:tr>
        <w:trPr>
          <w:trHeight w:val="172"/>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9,611</w:t>
            </w:r>
          </w:p>
        </w:tc>
        <w:tc>
          <w:tcPr>
            <w:tcW w:w="100" w:type="dxa"/>
            <w:vAlign w:val="bottom"/>
          </w:tcPr>
          <w:p>
            <w:pPr>
              <w:spacing w:after="0"/>
              <w:rPr>
                <w:sz w:val="14"/>
                <w:szCs w:val="14"/>
                <w:color w:val="auto"/>
              </w:rPr>
            </w:pPr>
          </w:p>
        </w:tc>
      </w:tr>
      <w:tr>
        <w:trPr>
          <w:trHeight w:val="172"/>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2030</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9,345</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41,026</w:t>
            </w:r>
          </w:p>
        </w:tc>
        <w:tc>
          <w:tcPr>
            <w:tcW w:w="100" w:type="dxa"/>
            <w:vAlign w:val="bottom"/>
          </w:tcPr>
          <w:p>
            <w:pPr>
              <w:spacing w:after="0"/>
              <w:rPr>
                <w:sz w:val="14"/>
                <w:szCs w:val="14"/>
                <w:color w:val="auto"/>
              </w:rPr>
            </w:pPr>
          </w:p>
        </w:tc>
      </w:tr>
      <w:tr>
        <w:trPr>
          <w:trHeight w:val="163"/>
        </w:trPr>
        <w:tc>
          <w:tcPr>
            <w:tcW w:w="63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89,752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6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Less: imputed interest</w:t>
            </w:r>
          </w:p>
        </w:tc>
        <w:tc>
          <w:tcPr>
            <w:tcW w:w="2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(19,753)</w:t>
            </w:r>
          </w:p>
        </w:tc>
      </w:tr>
      <w:tr>
        <w:trPr>
          <w:trHeight w:val="203"/>
        </w:trPr>
        <w:tc>
          <w:tcPr>
            <w:tcW w:w="63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69,999</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-251460</wp:posOffset>
            </wp:positionV>
            <wp:extent cx="54610"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1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1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1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ACCOUNTS PAYABLE AND ACCRUED EXPENSES</w:t>
      </w:r>
    </w:p>
    <w:p>
      <w:pPr>
        <w:sectPr>
          <w:pgSz w:w="11900" w:h="16838" w:orient="portrait"/>
          <w:cols w:equalWidth="0" w:num="1">
            <w:col w:w="9019"/>
          </w:cols>
          <w:pgMar w:left="1440" w:top="638" w:right="1440" w:bottom="1440" w:gutter="0" w:footer="0" w:header="0"/>
        </w:sectPr>
      </w:pP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Accounts payable and accrued expenses consists of the following:</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6985</wp:posOffset>
            </wp:positionV>
            <wp:extent cx="4909820" cy="1092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15">
                      <a:extLst>
                        <a:ext uri="{28A0092B-C50C-407E-A947-70E740481C1C}"/>
                      </a:extLst>
                    </a:blip>
                    <a:srcRect/>
                    <a:stretch>
                      <a:fillRect/>
                    </a:stretch>
                  </pic:blipFill>
                  <pic:spPr bwMode="auto">
                    <a:xfrm>
                      <a:off x="0" y="0"/>
                      <a:ext cx="4909820" cy="10922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Accrued compensation</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Accrued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-100965</wp:posOffset>
            </wp:positionV>
            <wp:extent cx="4909820" cy="1162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16">
                      <a:extLst>
                        <a:ext uri="{28A0092B-C50C-407E-A947-70E740481C1C}"/>
                      </a:extLst>
                    </a:blip>
                    <a:srcRect/>
                    <a:stretch>
                      <a:fillRect/>
                    </a:stretch>
                  </pic:blipFill>
                  <pic:spPr bwMode="auto">
                    <a:xfrm>
                      <a:off x="0" y="0"/>
                      <a:ext cx="4909820" cy="116205"/>
                    </a:xfrm>
                    <a:prstGeom prst="rect">
                      <a:avLst/>
                    </a:prstGeom>
                    <a:noFill/>
                  </pic:spPr>
                </pic:pic>
              </a:graphicData>
            </a:graphic>
          </wp:anchor>
        </w:drawing>
      </w:r>
    </w:p>
    <w:p>
      <w:pPr>
        <w:spacing w:after="0" w:line="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Total accounts payable and accrued expenses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r>
      <w:tr>
        <w:trPr>
          <w:trHeight w:val="148"/>
        </w:trPr>
        <w:tc>
          <w:tcPr>
            <w:tcW w:w="1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107,950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45,630</w:t>
            </w:r>
          </w:p>
        </w:tc>
        <w:tc>
          <w:tcPr>
            <w:tcW w:w="20" w:type="dxa"/>
            <w:vAlign w:val="bottom"/>
          </w:tcPr>
          <w:p>
            <w:pPr>
              <w:spacing w:after="0"/>
              <w:rPr>
                <w:sz w:val="12"/>
                <w:szCs w:val="12"/>
                <w:color w:val="auto"/>
              </w:rPr>
            </w:pPr>
          </w:p>
        </w:tc>
      </w:tr>
      <w:tr>
        <w:trPr>
          <w:trHeight w:val="172"/>
        </w:trPr>
        <w:tc>
          <w:tcPr>
            <w:tcW w:w="14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82,450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70,960</w:t>
            </w:r>
          </w:p>
        </w:tc>
      </w:tr>
      <w:tr>
        <w:trPr>
          <w:trHeight w:val="186"/>
        </w:trPr>
        <w:tc>
          <w:tcPr>
            <w:tcW w:w="14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99,165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68,742</w:t>
            </w:r>
          </w:p>
        </w:tc>
      </w:tr>
      <w:tr>
        <w:trPr>
          <w:trHeight w:val="164"/>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289,565</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185,332</w:t>
            </w:r>
          </w:p>
        </w:tc>
        <w:tc>
          <w:tcPr>
            <w:tcW w:w="20" w:type="dxa"/>
            <w:vAlign w:val="bottom"/>
          </w:tcPr>
          <w:p>
            <w:pPr>
              <w:spacing w:after="0"/>
              <w:rPr>
                <w:sz w:val="14"/>
                <w:szCs w:val="14"/>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2">
            <w:col w:w="5240" w:space="720"/>
            <w:col w:w="3059"/>
          </w:cols>
          <w:pgMar w:left="1440" w:top="638"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4"/>
          <w:szCs w:val="14"/>
          <w:color w:val="auto"/>
        </w:rPr>
        <w:t>A summary of the Company’s current provision for sales discounts, allowances and reserves is as follows:</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5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Medicaid rebates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186,068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202,044</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Product discounts</w:t>
            </w: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19,351</w:t>
            </w: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23,843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26,933</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18,527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24,124</w:t>
            </w:r>
          </w:p>
        </w:tc>
      </w:tr>
      <w:tr>
        <w:trPr>
          <w:trHeight w:val="20"/>
        </w:trPr>
        <w:tc>
          <w:tcPr>
            <w:tcW w:w="5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accrued sales discounts, allowances and reserves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247,126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272,452</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2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83"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Included in accounts payable was approximately $59.6 million and $11.4 million of amounts payable related to state Medicaid rebates as of December 31, 2025 and 2024, respectively.</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LONG-TERM DEBT</w:t>
      </w:r>
    </w:p>
    <w:p>
      <w:pPr>
        <w:spacing w:after="0" w:line="131"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In November 2025, the Company entered into the Bridge Credit Agreement in order to fund the Avadel Acquisition. The Bridge Credit Agreement provided for a senior secured bridge term loan facility (the “Bridge Credit Facility”) in an aggregate principal amount of up to approximately $1.5 billion that was available to finance the Avadel Acquisition. In addition, the Company placed approximately $731.2 million of its cash into an escrow account to finance the remainder of the consideration for the Avadel Acquisition. Loans under the Bridge Credit Facility were available, subject to the satisfaction of certain conditions set forth in the Bridge Credit Agreement, and were scheduled to mature on the date that is 364 days after the date on which the loans were funded under the Bridge Credit Facility. The commitments under the Bridge Credit Facility were to terminate on the earlier of (i) the date on which all of the consideration payable in respect of the Avadel Acquisition was paid in full without the making of any loans under the Bridge Credit Facility and (ii) the date on which a Mandatory Cancellation Event (as defined in the Bridge Credit Agreement) occurred or existed. Accordingly, on February 12, 2026, in connection with completion of the Avadel Acquisition and the Company’s entry into the Credit Agreement (as defined below), the Company terminated the Bridge Credit Agreement, as the commitments under the Credit Agreement, together with the Company’s cash on hand, were sufficient to fund the Avadel Acquisition. During the year ended December 31, 2025, the Company incurred approximately $12.3 million in financing costs related to the Bridge Credit Agreement which was recorded within “Interest expense” in the accompanying consolidated statements of operations and comprehensive income.</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type w:val="continuous"/>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On February 12, 2026, in connection with the Avadel Acquisition, the Company entered into a credit agreement (the “Credit Agreement”), by and among Alkermes plc, as the TopCo Borrower, Alkermes, Inc., as the U.S. Borrower, Alkermes Finance LLC, as the U.S. Co-Borrower, JPMorgan Chase Bank, N.A., as Administrative Agent, Joint Lead Arranger and Joint Bookrunner, BofA Securities, Inc., as Joint Lead Arranger and Joint Bookrunner, and the lenders party thereto. The Credit Agreement provides for (i) a senior secured term loan A facility in an aggregate principal amount of up to $750.0 million (the “TLA Facility”) and (ii) a senior secured term loan B facility in an aggregate principal amount of up to $775.0 million (the “TLB Facility” and together with the TLA Facility, the “Facilities”). The TLA Facility matures on February 12, 2031, and the TLB Facility matures on August 12, 2031. On the closing date of the Facilities (the “Closing Date”), the Company borrowed the full $1.525 billion available under the Facilities.</w:t>
      </w:r>
    </w:p>
    <w:p>
      <w:pPr>
        <w:spacing w:after="0" w:line="92" w:lineRule="exact"/>
        <w:rPr>
          <w:sz w:val="20"/>
          <w:szCs w:val="20"/>
          <w:color w:val="auto"/>
        </w:rPr>
      </w:pPr>
    </w:p>
    <w:p>
      <w:pPr>
        <w:ind w:left="640" w:right="779" w:firstLine="351"/>
        <w:spacing w:after="0" w:line="262" w:lineRule="auto"/>
        <w:rPr>
          <w:sz w:val="20"/>
          <w:szCs w:val="20"/>
          <w:color w:val="auto"/>
        </w:rPr>
      </w:pPr>
      <w:r>
        <w:rPr>
          <w:rFonts w:ascii="Times New Roman" w:cs="Times New Roman" w:eastAsia="Times New Roman" w:hAnsi="Times New Roman"/>
          <w:sz w:val="14"/>
          <w:szCs w:val="14"/>
          <w:color w:val="auto"/>
        </w:rPr>
        <w:t>Borrowings under the TLA Facility will bear interest at an annual rate of, at the Company’s option, either (i) the Term SOFR Rate (as defined in the Credit Agreement) plus a Secured Net Leverage Ratio (as defined in the Credit Agreement)-based margin, which will initially be 2.75% per annum or (ii) the Alternate Base Rate (as defined in the Credit Agreement) plus a Secured Net Leverage Ratio-based margin, which will initially be 1.75% per annum. Borrowings under the TLB Facility will bear interest at an annual rate of, at the Company’s option, either (i) the Term SOFR Rate plus a margin of 2.75% per annum or (ii) the Alternate Base Rate plus a margin of 1.75% per annum. The Company has agreed to pay certain fees and expenses in connection with the Facilities, as set forth in the Credit Agreement and certain related fee letters.</w:t>
      </w:r>
    </w:p>
    <w:p>
      <w:pPr>
        <w:spacing w:after="0" w:line="91"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The Credit Agreement (other than with respect to the TLB Facility) requires the maintenance of a maximum Secured Net Leverage Ratio and a minimum Consolidated Interest Coverage Ratio (as defined in the Credit Agreement), in each case, with the levels set forth in the Credit Agreement, as of the last day of any fiscal quarter of the Company ending after the Closing Date. In addition, the Credit Agreement contains customary affirmative and negative covenants that apply after the Closing Date, including limitations on indebtedness, liens, mergers, consolidations, sales of assets, investments, transactions with affiliates, restricted payments and sales and leasebacks. The Credit Agreement also contains certain customary events of default, including upon a change of control.</w:t>
      </w:r>
    </w:p>
    <w:p>
      <w:pPr>
        <w:spacing w:after="0" w:line="256" w:lineRule="exact"/>
        <w:rPr>
          <w:sz w:val="20"/>
          <w:szCs w:val="20"/>
          <w:color w:val="auto"/>
        </w:rPr>
      </w:pPr>
    </w:p>
    <w:p>
      <w:pPr>
        <w:ind w:left="640" w:right="1039" w:firstLine="351"/>
        <w:spacing w:after="0" w:line="292" w:lineRule="auto"/>
        <w:rPr>
          <w:sz w:val="20"/>
          <w:szCs w:val="20"/>
          <w:color w:val="auto"/>
        </w:rPr>
      </w:pPr>
      <w:r>
        <w:rPr>
          <w:rFonts w:ascii="Times New Roman" w:cs="Times New Roman" w:eastAsia="Times New Roman" w:hAnsi="Times New Roman"/>
          <w:sz w:val="14"/>
          <w:szCs w:val="14"/>
          <w:color w:val="auto"/>
        </w:rPr>
        <w:t>The Credit Agreement is guaranteed by subsidiary guarantors and secured by a lien on substantially all of the assets of the borrowers and the subsidiary guarantors, whether owned as of the Closing Date or thereafter acquired.</w:t>
      </w:r>
    </w:p>
    <w:p>
      <w:pPr>
        <w:spacing w:after="0" w:line="70"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In December 2024, the Company prepaid in full all previously outstanding term loans (the “Former Term Loans”) under, and terminated, the Company’s then-in-effect amended and restated credit agreement without penalty, through paying off the remaining principal amount due thereunder of $289.5 million. The Company accounted for such prepayment as a debt extinguishment and recorded a loss of approximately $0.8 million within “Other income (expense), net” in the accompanying consolidated statements of operations and comprehensive income for the year ended December 31, 2024.</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EARNINGS PER SHARE</w:t>
      </w:r>
    </w:p>
    <w:p>
      <w:pPr>
        <w:spacing w:after="0" w:line="13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Basic earnings per ordinary share from continuing operations is calculated based upon net income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RSUs.</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41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1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Numerator:</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241,664</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372,138</w:t>
            </w:r>
          </w:p>
        </w:tc>
        <w:tc>
          <w:tcPr>
            <w:tcW w:w="3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519,157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Net loss from discontinued operations</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(5,068)</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(163,400)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241,664</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367,070</w:t>
            </w:r>
          </w:p>
        </w:tc>
        <w:tc>
          <w:tcPr>
            <w:tcW w:w="3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355,757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 w:type="dxa"/>
            <w:vAlign w:val="bottom"/>
          </w:tcPr>
          <w:p>
            <w:pPr>
              <w:spacing w:after="0"/>
              <w:rPr>
                <w:sz w:val="12"/>
                <w:szCs w:val="12"/>
                <w:color w:val="auto"/>
              </w:rPr>
            </w:pPr>
          </w:p>
        </w:tc>
        <w:tc>
          <w:tcPr>
            <w:tcW w:w="3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Denominator:</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Weighted average number of ordinary shares outstanding</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164,703</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165,392</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166,223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 w:type="dxa"/>
            <w:vAlign w:val="bottom"/>
          </w:tcPr>
          <w:p>
            <w:pPr>
              <w:spacing w:after="0"/>
              <w:rPr>
                <w:sz w:val="12"/>
                <w:szCs w:val="12"/>
                <w:color w:val="auto"/>
              </w:rPr>
            </w:pPr>
          </w:p>
        </w:tc>
        <w:tc>
          <w:tcPr>
            <w:tcW w:w="3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Effect of dilutive securities:</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6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3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3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Dilutive ordinary share equivalents</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used in calculating diluted earnings per ordinary share</w:t>
            </w: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168,743</w:t>
            </w: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169,198</w:t>
            </w: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169,730</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F-23</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-1677035</wp:posOffset>
            </wp:positionV>
            <wp:extent cx="47625"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-1677035</wp:posOffset>
            </wp:positionV>
            <wp:extent cx="4762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-1677035</wp:posOffset>
            </wp:positionV>
            <wp:extent cx="4762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-974725</wp:posOffset>
            </wp:positionV>
            <wp:extent cx="47625"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-974725</wp:posOffset>
            </wp:positionV>
            <wp:extent cx="4762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-974725</wp:posOffset>
            </wp:positionV>
            <wp:extent cx="4762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-742950</wp:posOffset>
            </wp:positionV>
            <wp:extent cx="4762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-728980</wp:posOffset>
            </wp:positionV>
            <wp:extent cx="4762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-742950</wp:posOffset>
            </wp:positionV>
            <wp:extent cx="4762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-728980</wp:posOffset>
            </wp:positionV>
            <wp:extent cx="4762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3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The following potential ordinary share equivalents were not included in the net income (loss) per share calculation because the effect would have been anti-dilutive:</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900" w:type="dxa"/>
            <w:vAlign w:val="bottom"/>
            <w:vMerge w:val="continue"/>
          </w:tcPr>
          <w:p>
            <w:pPr>
              <w:spacing w:after="0"/>
              <w:rPr>
                <w:sz w:val="9"/>
                <w:szCs w:val="9"/>
                <w:color w:val="auto"/>
              </w:rPr>
            </w:pPr>
          </w:p>
        </w:tc>
        <w:tc>
          <w:tcPr>
            <w:tcW w:w="1160" w:type="dxa"/>
            <w:vAlign w:val="bottom"/>
            <w:tcBorders>
              <w:bottom w:val="single" w:sz="8" w:color="auto"/>
            </w:tcBorders>
          </w:tcPr>
          <w:p>
            <w:pPr>
              <w:jc w:val="right"/>
              <w:ind w:right="3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1120" w:type="dxa"/>
            <w:vAlign w:val="bottom"/>
            <w:tcBorders>
              <w:bottom w:val="single" w:sz="8" w:color="auto"/>
            </w:tcBorders>
          </w:tcPr>
          <w:p>
            <w:pPr>
              <w:jc w:val="right"/>
              <w:ind w:right="37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140" w:type="dxa"/>
            <w:vAlign w:val="bottom"/>
            <w:tcBorders>
              <w:bottom w:val="single" w:sz="8" w:color="auto"/>
            </w:tcBorders>
          </w:tcPr>
          <w:p>
            <w:pPr>
              <w:jc w:val="right"/>
              <w:ind w:right="392"/>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9,468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11,517</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12,422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11,711</w:t>
            </w:r>
          </w:p>
        </w:tc>
        <w:tc>
          <w:tcPr>
            <w:tcW w:w="1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13,908</w:t>
            </w:r>
          </w:p>
        </w:tc>
        <w:tc>
          <w:tcPr>
            <w:tcW w:w="1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-19685</wp:posOffset>
            </wp:positionV>
            <wp:extent cx="5461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3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-6350</wp:posOffset>
            </wp:positionV>
            <wp:extent cx="5461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3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-19685</wp:posOffset>
            </wp:positionV>
            <wp:extent cx="4762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-6350</wp:posOffset>
            </wp:positionV>
            <wp:extent cx="4762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4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980" w:right="6319" w:hanging="342"/>
        <w:spacing w:after="0" w:line="409" w:lineRule="auto"/>
        <w:tabs>
          <w:tab w:leader="none" w:pos="844"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SHAREHOLDERS’ EQUITY </w:t>
      </w:r>
      <w:r>
        <w:rPr>
          <w:rFonts w:ascii="Times New Roman" w:cs="Times New Roman" w:eastAsia="Times New Roman" w:hAnsi="Times New Roman"/>
          <w:sz w:val="14"/>
          <w:szCs w:val="14"/>
          <w:b w:val="1"/>
          <w:bCs w:val="1"/>
          <w:i w:val="1"/>
          <w:iCs w:val="1"/>
          <w:color w:val="auto"/>
        </w:rPr>
        <w:t>Share Repurchase Program</w:t>
      </w:r>
    </w:p>
    <w:p>
      <w:pPr>
        <w:spacing w:after="0" w:line="1"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In February 2024, the Company’s board of directors approved a share repurchase program authorizing the Company to repurchase ordinary shares of the Company in an aggregate amount of up to $400.0 million (exclusive of any fees, commissions or other expenses related to such repurchases) from time to time on the open market (the “Repurchase Program”). The specific timing and amounts of repurchases under the Repurchase Program will depend on a variety of factors, including but not limited to ongoing assessments of the Company’s needs, alternative investment opportunities, the market price of the Company’s ordinary shares and general market conditions. The Repurchase Program has no set expiration date and may be suspended or discontinued at any time. During the year ended December 31, 2025, the Company did not repurchase any of its ordinary shares under the Repurchase Program. During the year ended December 31, 2024, the Company repurchased approximately 7.9 million of its ordinary shares under the Repurchase Program at an average price of $25.33 per share, resulting in a total cost, exclusive of any fees, commissions or other expenses related to such repurchase of $200.0 million. All ordinary shares repurchased were returned to treasury. As of December 31, 2025, the remaining amount authorized under the Repurchase Program was $200.0 million.</w:t>
      </w:r>
    </w:p>
    <w:p>
      <w:pPr>
        <w:spacing w:after="0" w:line="95" w:lineRule="exact"/>
        <w:rPr>
          <w:sz w:val="20"/>
          <w:szCs w:val="20"/>
          <w:color w:val="auto"/>
        </w:rPr>
      </w:pPr>
    </w:p>
    <w:p>
      <w:pPr>
        <w:ind w:left="980" w:right="5859" w:hanging="342"/>
        <w:spacing w:after="0" w:line="449" w:lineRule="auto"/>
        <w:tabs>
          <w:tab w:leader="none" w:pos="844"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SHARE-BASED COMPENSATION </w:t>
      </w:r>
      <w:r>
        <w:rPr>
          <w:rFonts w:ascii="Times New Roman" w:cs="Times New Roman" w:eastAsia="Times New Roman" w:hAnsi="Times New Roman"/>
          <w:sz w:val="14"/>
          <w:szCs w:val="14"/>
          <w:b w:val="1"/>
          <w:bCs w:val="1"/>
          <w:i w:val="1"/>
          <w:iCs w:val="1"/>
          <w:color w:val="auto"/>
        </w:rPr>
        <w:t>Share-Based Compensation Expense</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presents share-based compensation expense from continuing and discontinued operations included in the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Company’s consolidated statements of operations and comprehensive income:</w:t>
      </w:r>
    </w:p>
    <w:p>
      <w:pPr>
        <w:spacing w:after="0" w:line="28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5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60" w:type="dxa"/>
            <w:vAlign w:val="bottom"/>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 manufactured and sold</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66,300</w:t>
            </w: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62,754</w:t>
            </w: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55,611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 from continuing operations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98,716</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96,637</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 from discontinued operations</w:t>
            </w: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8,188</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Total share-based compensation expense</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98,716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96,637</w:t>
            </w:r>
          </w:p>
        </w:tc>
        <w:tc>
          <w:tcPr>
            <w:tcW w:w="1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-592455</wp:posOffset>
            </wp:positionV>
            <wp:extent cx="4762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-592455</wp:posOffset>
            </wp:positionV>
            <wp:extent cx="4762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-592455</wp:posOffset>
            </wp:positionV>
            <wp:extent cx="4762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-135890</wp:posOffset>
            </wp:positionV>
            <wp:extent cx="4762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4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62"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During the years ended December 31, 2025, 2024 and 2023, $3.2 million, $3.1 million and $3.2 million, respectively, of share-based compensation expense was capitalized and recorded as “Inventory” and $1.6 million, none and none, respectively, of share-based compensation expense was capitalized and recorded as “Other assets” in the accompanying consolidated balance sheets.</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 Plans</w:t>
      </w:r>
    </w:p>
    <w:p>
      <w:pPr>
        <w:spacing w:after="0" w:line="11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Company has one share-based compensation plan pursuant to which awards are currently being made: the 2018 Stock Option and Incentive Plan, as amended (the “2018 Plan”). The Company has two share-based compensation plans pursuant to which outstanding awards have been made, but from which no further awards can or will be made: the Alkermes plc Amended and Restated 2008 Stock Option and Incentive Plan, as amended, (the “2008 Plan”) and the Alkermes plc 2011 Stock Option and Incentive Plan, as amended (the “2011 Plan,” and together with the 2018 Plan and the 2008 Plan, the “the Alkermes Stock Option and Incentive Plans”). Effective May 20, 2020, the 2018 Plan was amended such that any shares underlying any outstanding awards granted under the 2011 Plan or the 2008 Plan that are forfeited, canceled, repurchased or otherwise terminated (other than by exercise) from and after such date will become available for issuance pursuant to the 2018 Plan, notwithstanding anything to the contrary in the terms of the 2011 Plan or the 2008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The 2018 Plan allows for the issuance of non-qualified and incentive stock options, restricted stock, restricted stock unit awards, cash-based awards and performance shares to employees, officers and directors of, and consultants to, the Company in such amounts and with such terms and conditions as may be determined by the compensation committee of the Company’s board of directors, subject to the provisions of the 2018 Plan, as applicable.</w:t>
      </w:r>
    </w:p>
    <w:p>
      <w:pPr>
        <w:spacing w:after="0" w:line="86" w:lineRule="exact"/>
        <w:rPr>
          <w:sz w:val="20"/>
          <w:szCs w:val="20"/>
          <w:color w:val="auto"/>
        </w:rPr>
      </w:pPr>
    </w:p>
    <w:p>
      <w:pPr>
        <w:ind w:left="640" w:right="699" w:firstLine="351"/>
        <w:spacing w:after="0" w:line="267" w:lineRule="auto"/>
        <w:rPr>
          <w:sz w:val="20"/>
          <w:szCs w:val="20"/>
          <w:color w:val="auto"/>
        </w:rPr>
      </w:pPr>
      <w:r>
        <w:rPr>
          <w:rFonts w:ascii="Times New Roman" w:cs="Times New Roman" w:eastAsia="Times New Roman" w:hAnsi="Times New Roman"/>
          <w:sz w:val="14"/>
          <w:szCs w:val="14"/>
          <w:color w:val="auto"/>
        </w:rPr>
        <w:t>On May 21, 2025, the Company’s shareholders approved an amended version of the then-current version of the 2018 Plan that served to, among other things, increase the number of ordinary shares authorized for issuance thereunder by 4.25 million. At December 31, 2025, there were 17.9 million ordinary shares available for issuance in the aggregate under the 2018 Plan. The 2018 Plan provides that awards other than stock options will be counted against the total number of shares available under the plan in a 1.8-to-1 ratio.</w:t>
      </w:r>
    </w:p>
    <w:p>
      <w:pPr>
        <w:spacing w:after="0" w:line="2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summary of stock option activity is presented in the following table:</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280" w:type="dxa"/>
            <w:vAlign w:val="bottom"/>
          </w:tcPr>
          <w:p>
            <w:pPr>
              <w:spacing w:after="0"/>
              <w:rPr>
                <w:sz w:val="11"/>
                <w:szCs w:val="11"/>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37"/>
        </w:trPr>
        <w:tc>
          <w:tcPr>
            <w:tcW w:w="5280" w:type="dxa"/>
            <w:vAlign w:val="bottom"/>
          </w:tcPr>
          <w:p>
            <w:pPr>
              <w:spacing w:after="0"/>
              <w:rPr>
                <w:sz w:val="11"/>
                <w:szCs w:val="11"/>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80" w:type="dxa"/>
            <w:vAlign w:val="bottom"/>
          </w:tcPr>
          <w:p>
            <w:pPr>
              <w:spacing w:after="0"/>
              <w:rPr>
                <w:sz w:val="11"/>
                <w:szCs w:val="11"/>
                <w:color w:val="auto"/>
              </w:rPr>
            </w:pP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January 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17,478,619</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80" w:type="dxa"/>
            <w:vAlign w:val="bottom"/>
            <w:shd w:val="clear" w:color="auto" w:fill="CFF0FC"/>
          </w:tcPr>
          <w:p>
            <w:pPr>
              <w:spacing w:after="0"/>
              <w:rPr>
                <w:sz w:val="14"/>
                <w:szCs w:val="14"/>
                <w:color w:val="auto"/>
              </w:rPr>
            </w:pPr>
          </w:p>
        </w:tc>
      </w:tr>
      <w:tr>
        <w:trPr>
          <w:trHeight w:val="172"/>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1,807,610</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tcPr>
          <w:p>
            <w:pPr>
              <w:spacing w:after="0"/>
              <w:rPr>
                <w:sz w:val="14"/>
                <w:szCs w:val="14"/>
                <w:color w:val="auto"/>
              </w:rPr>
            </w:pPr>
          </w:p>
        </w:tc>
      </w:tr>
      <w:tr>
        <w:trPr>
          <w:trHeight w:val="172"/>
        </w:trPr>
        <w:tc>
          <w:tcPr>
            <w:tcW w:w="5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(1,826,407)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shd w:val="clear" w:color="auto" w:fill="CFF0FC"/>
          </w:tcPr>
          <w:p>
            <w:pPr>
              <w:spacing w:after="0"/>
              <w:rPr>
                <w:sz w:val="14"/>
                <w:szCs w:val="14"/>
                <w:color w:val="auto"/>
              </w:rPr>
            </w:pPr>
          </w:p>
        </w:tc>
      </w:tr>
      <w:tr>
        <w:trPr>
          <w:trHeight w:val="172"/>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Expired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(1,034,094)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80" w:type="dxa"/>
            <w:vAlign w:val="bottom"/>
          </w:tcPr>
          <w:p>
            <w:pPr>
              <w:spacing w:after="0"/>
              <w:rPr>
                <w:sz w:val="14"/>
                <w:szCs w:val="14"/>
                <w:color w:val="auto"/>
              </w:rPr>
            </w:pPr>
          </w:p>
        </w:tc>
      </w:tr>
      <w:tr>
        <w:trPr>
          <w:trHeight w:val="172"/>
        </w:trPr>
        <w:tc>
          <w:tcPr>
            <w:tcW w:w="5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(190,358)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80" w:type="dxa"/>
            <w:vAlign w:val="bottom"/>
            <w:shd w:val="clear" w:color="auto" w:fill="CFF0FC"/>
          </w:tcPr>
          <w:p>
            <w:pPr>
              <w:spacing w:after="0"/>
              <w:rPr>
                <w:sz w:val="14"/>
                <w:szCs w:val="14"/>
                <w:color w:val="auto"/>
              </w:rPr>
            </w:pPr>
          </w:p>
        </w:tc>
      </w:tr>
      <w:tr>
        <w:trPr>
          <w:trHeight w:val="163"/>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Outstanding, December 31, 2025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16,235,370</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80" w:type="dxa"/>
            <w:vAlign w:val="bottom"/>
            <w:tcBorders>
              <w:top w:val="single" w:sz="8" w:color="CFF0FC"/>
            </w:tcBorders>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4"/>
        </w:trPr>
        <w:tc>
          <w:tcPr>
            <w:tcW w:w="528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Exercisable, December 31, 2025</w:t>
            </w:r>
          </w:p>
        </w:tc>
        <w:tc>
          <w:tcPr>
            <w:tcW w:w="110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10,855,664</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31.20</w:t>
            </w:r>
          </w:p>
        </w:tc>
        <w:tc>
          <w:tcPr>
            <w:tcW w:w="8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-265430</wp:posOffset>
            </wp:positionV>
            <wp:extent cx="47625"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5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83"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The weighted average grant date fair value of stock options granted during the years ended December 31, 2025, 2024 and 2023 was $16.30, $14.08 and $13.74, respectively. The aggregate intrinsic value of stock options exercised during the years ended December 31, 2025, 2024 and 2023 was $16.3 million, $10.9 million and $6.0 million, respectively.</w:t>
      </w:r>
    </w:p>
    <w:p>
      <w:pPr>
        <w:spacing w:after="0" w:line="82"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At December 31, 2025, there were 5.2 million stock options expected to vest, with a weighted average exercise price of $30.46 per share, a weighted average contractual remaining life of 7.7 years and an aggregate intrinsic value of $3.2 million. At December 31, 2025, the aggregate intrinsic value of stock options exercisable was $34.6 million with a weighted average remaining contractual term of 4.3 years. The number of stock options expected to vest was determined by applying the pre-vesting forfeiture rate to the total number of outstanding unvested options. The intrinsic value of a stock option is the amount by which the market value of the underlying shares exceeds the exercise price of the stock option.</w:t>
      </w:r>
    </w:p>
    <w:p>
      <w:pPr>
        <w:spacing w:after="0" w:line="80" w:lineRule="exact"/>
        <w:rPr>
          <w:sz w:val="20"/>
          <w:szCs w:val="20"/>
          <w:color w:val="auto"/>
        </w:rPr>
      </w:pPr>
    </w:p>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At December 31, 2025, there was $28.8 million of unrecognized share-based compensation expense related to unvested stock options, which is expected to be recognized over a weighted average period of 1.9 years.</w:t>
      </w:r>
    </w:p>
    <w:p>
      <w:pPr>
        <w:spacing w:after="0" w:line="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Unit Awards</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summary of time-based RSU activity is presented in the following table:</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280" w:type="dxa"/>
            <w:vAlign w:val="bottom"/>
          </w:tcPr>
          <w:p>
            <w:pPr>
              <w:spacing w:after="0"/>
              <w:rPr>
                <w:sz w:val="10"/>
                <w:szCs w:val="10"/>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8"/>
        </w:trPr>
        <w:tc>
          <w:tcPr>
            <w:tcW w:w="52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January 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4,905,206</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2,115,535</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(343,414)</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(2,044,461)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December 31, 2025</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4,632,866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weighted average grant date fair values of time-vesting RSUs granted during the years ended December 31, 2025, 2024 and</w:t>
      </w:r>
    </w:p>
    <w:p>
      <w:pPr>
        <w:spacing w:after="0" w:line="25" w:lineRule="exact"/>
        <w:rPr>
          <w:sz w:val="20"/>
          <w:szCs w:val="20"/>
          <w:color w:val="auto"/>
        </w:rPr>
      </w:pPr>
    </w:p>
    <w:p>
      <w:pPr>
        <w:ind w:left="640" w:right="1019"/>
        <w:spacing w:after="0" w:line="272" w:lineRule="auto"/>
        <w:rPr>
          <w:sz w:val="20"/>
          <w:szCs w:val="20"/>
          <w:color w:val="auto"/>
        </w:rPr>
      </w:pPr>
      <w:r>
        <w:rPr>
          <w:rFonts w:ascii="Times New Roman" w:cs="Times New Roman" w:eastAsia="Times New Roman" w:hAnsi="Times New Roman"/>
          <w:sz w:val="14"/>
          <w:szCs w:val="14"/>
          <w:color w:val="auto"/>
        </w:rPr>
        <w:t>2023 were $35.24, $29.51 and $27.65, respectively. The total fair value of time-vesting RSUs that vested during the years ended December 31, 2025, 2024 and 2023, was $51.6 million, $51.6 million and $63.0 million, respectively.</w:t>
      </w:r>
    </w:p>
    <w:p>
      <w:pPr>
        <w:spacing w:after="0" w:line="83" w:lineRule="exact"/>
        <w:rPr>
          <w:sz w:val="20"/>
          <w:szCs w:val="20"/>
          <w:color w:val="auto"/>
        </w:rPr>
      </w:pPr>
    </w:p>
    <w:p>
      <w:pPr>
        <w:ind w:left="640" w:right="899" w:firstLine="351"/>
        <w:spacing w:after="0" w:line="292" w:lineRule="auto"/>
        <w:rPr>
          <w:sz w:val="20"/>
          <w:szCs w:val="20"/>
          <w:color w:val="auto"/>
        </w:rPr>
      </w:pPr>
      <w:r>
        <w:rPr>
          <w:rFonts w:ascii="Times New Roman" w:cs="Times New Roman" w:eastAsia="Times New Roman" w:hAnsi="Times New Roman"/>
          <w:sz w:val="14"/>
          <w:szCs w:val="14"/>
          <w:color w:val="auto"/>
        </w:rPr>
        <w:t>At December 31, 2025, there was $59.8 million of total unrecognized share-based compensation expense related to unvested time-vesting RSUs, which will be recognized over a weighted average remaining contractual term of 1.9 years.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 Awards</w:t>
      </w:r>
    </w:p>
    <w:p>
      <w:pPr>
        <w:spacing w:after="0" w:line="133"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In February 2025, 2024 and 2023, the compensation committee of the Company’s board of directors approved the Company’s long-term incentive plans, pursuant to which awards of performance-based RSUs are granted to employees of the Company at the Senior Vice President level and above, in each case subject to vesting based on the achievement of certain financial, commercial and/or R&amp;D performance criteria to be assessed over a performance period of three years from the date of the grant, and subject, at the end of such three-year performance period, to upward or downward adjustment based on a market condition tied to relative share price performance over the three-year performance period.</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summary of performance-based RSU activity is presented in the following table:</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280" w:type="dxa"/>
            <w:vAlign w:val="bottom"/>
          </w:tcPr>
          <w:p>
            <w:pPr>
              <w:spacing w:after="0"/>
              <w:rPr>
                <w:sz w:val="11"/>
                <w:szCs w:val="11"/>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8"/>
        </w:trPr>
        <w:tc>
          <w:tcPr>
            <w:tcW w:w="52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January 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1,335,658</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533,031</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(145,745)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(469,513)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December 31, 2025</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1,253,431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5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73"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The weighted average grant date fair values of performance-based RSUs granted during the years ended December 31, 2025, 2024 and 2023 were $40.15, $32.46 and $29.91, respectively. The total fair value of performance-based RSUs that vested during the years ended December 31, 2025, 2024 and 2023 were $8.2 million, $10.1 million and $5.9 million, respectively. At December 31, 2025, there was $5.2 million of unrecognized share-based compensation expense related to unvested performance-based RSUs which would be recognized in accordance with the terms of the awards when the Company deems it probable that the performance criteria will be met.</w:t>
      </w:r>
    </w:p>
    <w:p>
      <w:pPr>
        <w:spacing w:after="0" w:line="9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 xml:space="preserve">During the year ended December 31, 2024, the Company recognized share-based compensation expense related to certain performance-based RSUs that were granted during 2021. As of December 31, 2023, the financial performance criteria for these awards were deemed not probable of being achieved; however, in February 2024, the compensation committee of the Company’s board of directors determined that the Company partially achieved the financial performance criteria. This was considered a modification in accordance with FASB ASC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and resulted in a modification charge of approximately $6.8 million. In February 2024, the compensation committee of the Company’s board of directors also determined that the Company achieved the pipeline performance criteria for these awards, resulting in a $2.6 million incremental share-based compensation expense, as it was deemed such pipeline performance criteria had been met. The share-based compensation expense related to these achievements was recognized in 2024.</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15. DISCONTINUED OPERATIONS</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Mural Oncology Separation</w:t>
      </w:r>
    </w:p>
    <w:p>
      <w:pPr>
        <w:spacing w:after="0" w:line="133"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November 2023, the Company completed the Separation. In connection with the Separation, the Company entered into a separation agreement with Mural, dated as of November 13, 2023, that, among other things, set forth the Company’s agreements with Mural regarding the principal actions taken or to be taken in connection with the Separation, including the Distribution. The separation agreement identified those assets to be transferred to, liabilities to be assumed by and contracts to be assigned to Mural as part of the Separation and it provided for when and how such transfers, assumptions and assignments were to occur. The purpose of the separation agreement was to provide Mural and the Company with those assets necessary to operate their respective businesses and to retain or assume the respective liabilities related to those assets.</w:t>
      </w:r>
    </w:p>
    <w:p>
      <w:pPr>
        <w:spacing w:after="0" w:line="80"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Each of Mural and the Company agreed to releases with respect to pre-Distribution claims, and cross-indemnities with respect to post-Distribution claims, that are principally designed to place financial responsibility for the obligations and liabilities allocated to Mural under the separation agreement with Mural, and financial responsibility for the obligations and liabilities allocated to the Company under the separation agreement with the Company.</w:t>
      </w:r>
    </w:p>
    <w:p>
      <w:pPr>
        <w:spacing w:after="0" w:line="86"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 Company determined that the Separation and related Distribution qualified as tax-free for U.S. federal income tax purposes, which required significant judgment by management. In making such determinations, the Company applied U.S. federal tax law to relevant facts and circumstances and obtained: (i) a favorable private letter ruling from the IRS; (ii) a tax opinion; and (iii) other external tax advice related to the concluded tax treatment. If the Separation and Distribution were to ultimately fail to qualify for tax-free treatment for U.S. federal income tax purposes, the Company and/or its shareholders could be subject to significant liabilities, which could have material adverse impacts on the Company’s business, financial condition, results of operations and cash flows in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auto"/>
        </w:rPr>
        <w:t>future reporting periods. Furthermore, other than taxes recorded on the transfer of intellectual property, the Company determined that the Separation and related Distribution qualified as tax-free for Irish tax purposes, which required significant judgment by management. In making such determinations, the Company applied Irish tax law to relevant facts and circumstances and obtained: (i) a tax opinion; and (ii) other external tax advice related to the concluded tax treatment. If the Separation and Distribution were to ultimately fail to qualify for tax-free treatment for Irish tax purposes, the Company and/or its shareholders could be subject to significant liabilities, which could have material adverse impacts on the Company’s business, financial condition, results of operations and cash flows in future reporting periods.</w:t>
      </w:r>
    </w:p>
    <w:p>
      <w:pPr>
        <w:spacing w:after="0" w:line="9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connection with the Separation, the Company also entered into a tax matters agreement with Mural, dated as of November 13, 2023. The tax matters agreement governs the Company’s and Mural’s respective rights, responsibilities and obligations with respect to taxes (including taxes arising in the ordinary course of business and taxes, if any, incurred as a result of any failure of the Distribution, together with certain related transactions, to qualify as tax-free for U.S. federal income tax purposes), tax attributes, the preparation and filing of tax returns, the control of audits and other tax proceedings, and assistance and cooperation in respect of tax matters.</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Discontinued Operations</w:t>
      </w:r>
    </w:p>
    <w:p>
      <w:pPr>
        <w:spacing w:after="0" w:line="122"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The results of the former oncology business and transaction costs related to the Separation have been reflected as “Loss from discontinued operations, net of taxes” in the accompanying consolidated statement of operations and comprehensive income through the Separation Date in November 2023. The transaction costs related to the Separation were $36.0 million during 2023, primarily related to professional fees for separation activities within the finance, tax, legal and information technology functions.</w:t>
      </w:r>
    </w:p>
    <w:p>
      <w:pPr>
        <w:spacing w:after="0" w:line="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following table summarizes expenses of the discontinued operations for the years ended December 31, 2024 and 2023:</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1"/>
                <w:szCs w:val="11"/>
                <w:color w:val="auto"/>
              </w:rPr>
            </w:pPr>
          </w:p>
        </w:tc>
        <w:tc>
          <w:tcPr>
            <w:tcW w:w="2120" w:type="dxa"/>
            <w:vAlign w:val="bottom"/>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9"/>
        </w:trPr>
        <w:tc>
          <w:tcPr>
            <w:tcW w:w="5380" w:type="dxa"/>
            <w:vAlign w:val="bottom"/>
            <w:gridSpan w:val="2"/>
            <w:vMerge w:val="continue"/>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5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3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 from discontinued operations</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goods manufactured</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116,177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operating expenses from discontinued operations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5,790</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164,803</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 from discontinued operations</w:t>
            </w:r>
          </w:p>
        </w:tc>
        <w:tc>
          <w:tcPr>
            <w:tcW w:w="2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(5,790)</w:t>
            </w: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(164,803)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benefit from discontinued operations</w:t>
            </w: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(722)</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 and comprehensive loss from discontinued operations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(5,068)</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-367665</wp:posOffset>
            </wp:positionV>
            <wp:extent cx="4762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-367665</wp:posOffset>
            </wp:positionV>
            <wp:extent cx="4762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-135890</wp:posOffset>
            </wp:positionV>
            <wp:extent cx="4762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6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83"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summarizes the significant non-cash items and capital expenditures of the discontinued operations that are included in the consolidated statements of cash flows for the year ended December 31, 2023:</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8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9"/>
        </w:trPr>
        <w:tc>
          <w:tcPr>
            <w:tcW w:w="6260" w:type="dxa"/>
            <w:vAlign w:val="bottom"/>
            <w:gridSpan w:val="2"/>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91"/>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8,188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340" w:type="dxa"/>
            <w:vAlign w:val="bottom"/>
          </w:tcPr>
          <w:p>
            <w:pPr>
              <w:spacing w:after="0"/>
              <w:rPr>
                <w:sz w:val="14"/>
                <w:szCs w:val="14"/>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3,803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 of property, plant and equipment</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16. COLLABORATIVE ARRANGEMENTS</w:t>
      </w:r>
    </w:p>
    <w:p>
      <w:pPr>
        <w:spacing w:after="0" w:line="13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 xml:space="preserve">The Company has entered into several collaborative arrangements to develop and commercialize products and, in connection with such arrangements, to access technologies, financial, marketing, manufacturing and other resources. Refer to the “Patents and Proprietary Rights” section in “Item 1— Business” of this Annual Report for information with respect to IP protection for these products. The collaboration revenue the Company has earned in the years ended December 31, 2025, 2024 and 2023 is summarized in Note 3,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within the notes to the consolidated financial statements in this Annual Report.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Company’s significant collaborative arrangements are described below:</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Janssen</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auto"/>
        </w:rPr>
        <w:t>INVEGA SUSTENNA/XEPLION, INVEGA TRINZA/TREVICTA and INVEGA HAFYERA/BYANNLI</w:t>
      </w:r>
    </w:p>
    <w:p>
      <w:pPr>
        <w:spacing w:after="0" w:line="118" w:lineRule="exact"/>
        <w:rPr>
          <w:sz w:val="20"/>
          <w:szCs w:val="20"/>
          <w:color w:val="auto"/>
        </w:rPr>
      </w:pPr>
    </w:p>
    <w:p>
      <w:pPr>
        <w:ind w:left="640" w:right="719" w:firstLine="351"/>
        <w:spacing w:after="0" w:line="258" w:lineRule="auto"/>
        <w:rPr>
          <w:sz w:val="20"/>
          <w:szCs w:val="20"/>
          <w:color w:val="auto"/>
        </w:rPr>
      </w:pPr>
      <w:r>
        <w:rPr>
          <w:rFonts w:ascii="Times New Roman" w:cs="Times New Roman" w:eastAsia="Times New Roman" w:hAnsi="Times New Roman"/>
          <w:sz w:val="14"/>
          <w:szCs w:val="14"/>
          <w:color w:val="auto"/>
        </w:rPr>
        <w:t>Under an exclusive license agreement with Janssen, the Company provided Janssen with rights to, and know-how, training and technical assistance in respect of, the Company’s small particle pharmaceutical compound technology, known as NANOCRYSTAL technology, which was used to develop the long-acting INVEGA products, and the Company received milestone payments from Janssen upon the achievement of certain development goals from Janssen; there are no further milestones to be earned under this agreement. The agreement also provides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As of August 30, 2024, all patent royalties had expired. The know-how royalty is a tiered royalty of 3.5%, 5.5% and 7.5% on aggregate worldwide net sales of below $250 million, between $250 million and $500 million, and greater than $500 million, respectively. The know-how royalty rate resets to 3.5% at the beginning of each calendar year and is payable until 15 years from first commercial sale of a product in each individual country, subject to expiry of the agreement. These royalty payments may be reduced in any country based on patent litigation or on competing products achieving certain minimum sales thresholds. The license agreement, unless earlier terminated, terminates upon the expiration of the last of the patents subject to the agreement. After expiration, Janssen retains a non-exclusive, royalty-free license to develop, manufacture and commercialize the products, subject to certain surviving obligations. Janssen may terminate the license agreement in whole or in part upon three months’ notice to the Company. The Company and Janssen have the right to terminate the agreement upon a material breach of the other party, which is not cured within a certain time period, or upon the other party’s bankruptcy or insolvency.</w:t>
      </w:r>
    </w:p>
    <w:p>
      <w:pPr>
        <w:spacing w:after="0" w:line="9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November 2021, the Company received notice from Janssen of partial termination of the license agreement, following which Janssen ceased paying the Company royalties related to U.S. sales of INVEGA SUSTENNA, INVEGA TRINZA and INVEGA HAFYERA. In April 2022, the Company commenced binding arbitration proceedings related to, among other things, Janssen’s partial termination of this license agreement and Janssen’s royalty and other obligations under the agreement. In May 2023, the Tribunal in the arbitration proceedings issued a Final Award that served to reinstate the Janssen royalties and required payment by Janssen of back royalties and interest for amounts owed but not yet paid since the effective date of the partial termination. The Final Award also provided, among other things, that the Company was entitled to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auto"/>
        </w:rPr>
        <w:t>RISPERDAL CONSTA</w:t>
      </w:r>
    </w:p>
    <w:p>
      <w:pPr>
        <w:spacing w:after="0" w:line="118" w:lineRule="exact"/>
        <w:rPr>
          <w:sz w:val="20"/>
          <w:szCs w:val="20"/>
          <w:color w:val="auto"/>
        </w:rPr>
      </w:pPr>
    </w:p>
    <w:p>
      <w:pPr>
        <w:ind w:left="640" w:right="1119" w:firstLine="351"/>
        <w:spacing w:after="0" w:line="274" w:lineRule="auto"/>
        <w:rPr>
          <w:sz w:val="20"/>
          <w:szCs w:val="20"/>
          <w:color w:val="auto"/>
        </w:rPr>
      </w:pPr>
      <w:r>
        <w:rPr>
          <w:rFonts w:ascii="Times New Roman" w:cs="Times New Roman" w:eastAsia="Times New Roman" w:hAnsi="Times New Roman"/>
          <w:sz w:val="14"/>
          <w:szCs w:val="14"/>
          <w:color w:val="auto"/>
        </w:rPr>
        <w:t>Under a product development agreement, the Company collaborated with Janssen on the development of RISPERDAL CONSTA. Under the development agreement, Janssen provided funding to the Company for the development of RISPERDAL CONSTA and Janssen is responsible for securing all necessary regulatory approvals for the product.</w:t>
      </w:r>
    </w:p>
    <w:p>
      <w:pPr>
        <w:spacing w:after="0" w:line="82"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Under two license agreements, the Company granted Janssen and an affiliate of Janssen exclusive worldwide licenses to use and sell RISPERDAL CONSTA. Under its license agreements with Janssen, the Company receives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the Company. Either party may terminate the license agreements by written notice following a breach which continues for 90 days after the delivery of written notice thereof or upon the other party’s insolvency. The licenses granted to Janssen expire on a country-by-country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fifteen-year minimum shall pertain regardless. After expiration, Janssen retains a non-exclusive, royalty-free license to manufacture, use and sell RISPERDAL CONSTA.</w:t>
      </w:r>
    </w:p>
    <w:p>
      <w:pPr>
        <w:spacing w:after="0" w:line="95"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The Company exclusively manufactures RISPERDAL CONSTA at its Wilmington, Ohio facility for commercial sale. Under its manufacturing and supply agreement with Janssen, the Company records manufacturing revenues when product is fully manufactured and approved for shipment by both Janssen and the Company. Revenue is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the Company. In the event that Janssen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1139"/>
        <w:spacing w:after="0" w:line="292" w:lineRule="auto"/>
        <w:rPr>
          <w:sz w:val="20"/>
          <w:szCs w:val="20"/>
          <w:color w:val="auto"/>
        </w:rPr>
      </w:pPr>
      <w:r>
        <w:rPr>
          <w:rFonts w:ascii="Times New Roman" w:cs="Times New Roman" w:eastAsia="Times New Roman" w:hAnsi="Times New Roman"/>
          <w:sz w:val="14"/>
          <w:szCs w:val="14"/>
          <w:color w:val="auto"/>
        </w:rPr>
        <w:t>terminates the manufacturing and supply agreement without terminating the license agreements, the royalty rate payable to the Company on Janssen’s net sales of RISPERDAL CONSTA would increase from 2.5% to 5.0%.</w:t>
      </w:r>
    </w:p>
    <w:p>
      <w:pPr>
        <w:spacing w:after="0" w:line="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Biogen</w:t>
      </w:r>
    </w:p>
    <w:p>
      <w:pPr>
        <w:spacing w:after="0" w:line="133" w:lineRule="exact"/>
        <w:rPr>
          <w:sz w:val="20"/>
          <w:szCs w:val="20"/>
          <w:color w:val="auto"/>
        </w:rPr>
      </w:pPr>
    </w:p>
    <w:p>
      <w:pPr>
        <w:jc w:val="both"/>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Under a license and collaboration agreement with Biogen, the Company granted Biogen a worldwide, exclusive, sublicensable license to develop, manufacture and commercialize VUMERITY and other products covered by patents licensed to Biogen under the agreement.</w:t>
      </w:r>
    </w:p>
    <w:p>
      <w:pPr>
        <w:spacing w:after="0" w:line="71"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Under this license and collaboration agreement, the Company received an upfront cash payment and milestone payments related to the achievement of certain milestones. The Company is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8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the Company receives a 15% royalty on worldwide net sales of VUMERITY, subject to increases for VUMERITY manufactured and/or packaged by Biogen or its designees. The Company is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are subject to customary reductions, as set forth in the license and collaboration agreement.</w:t>
      </w:r>
    </w:p>
    <w:p>
      <w:pPr>
        <w:spacing w:after="0" w:line="91"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Following FDA approval of VUMERITY in 2019, Biogen is responsible for all development and commercialization activities for VUMERITY and all other products covered by the patents that we licensed to Biogen.</w:t>
      </w:r>
    </w:p>
    <w:p>
      <w:pPr>
        <w:spacing w:after="0" w:line="5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Under the license and collaboration agreement, Biogen appointed the Company as the toll manufacturer of clinical and commercial supplies of VUMERITY, subject to Biogen’s right to manufacture or have manufactured commercial supplies as a back-up manufacturer. In October 2019, the Company entered into a commercial supply agreement with Biogen for the commercial supply of VUMERITY, an amendment to such commercial supply agreement and an amendment to the license and collaboration agreement with Biogen, pursuant to which Biogen has, following a completed technology transfer and an agreed manufacturing transition period, assumed all responsibility for the manufacture (itself or through a designee) of clinical and commercial supplies of VUMERITY in exchange for an increase in the royalty rate to be paid by Biogen to the Company on net sales of product that is manufactured by Biogen or its designee. In May 2024, the Company completed the sale of the Athlone Facility where VUMERITY was manufactured. In connection with the sale of the Athlone Facility, the Company entered into a subcontracting arrangement with the purchaser of the Athlone Facility for the manufacture of VUMERITY through the manufacturing transition period, which concluded in August 2025.</w:t>
      </w:r>
    </w:p>
    <w:p>
      <w:pPr>
        <w:spacing w:after="0" w:line="92"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the Company.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the Company’s request, the VUMERITY program will revert to the Company.</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17. INCOME TAXES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Company’s provision (benefit) for income taxes from continuing operations consists of the following:</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6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68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income tax provision (benefit):</w:t>
            </w: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Domestic - Ireland</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Foreign - U.S.</w:t>
            </w: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29,898</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vMerge w:val="continue"/>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income tax provision (benefit)</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vMerge w:val="restart"/>
          </w:tcPr>
          <w:p>
            <w:pPr>
              <w:spacing w:after="0"/>
              <w:rPr>
                <w:sz w:val="14"/>
                <w:szCs w:val="14"/>
                <w:color w:val="auto"/>
              </w:rPr>
            </w:pPr>
          </w:p>
        </w:tc>
        <w:tc>
          <w:tcPr>
            <w:tcW w:w="31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vMerge w:val="continue"/>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provision (benefit):</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Domestic - Ireland</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28,620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61,783</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(107,064)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 U.S.</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(21,261)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vMerge w:val="continue"/>
          </w:tcPr>
          <w:p>
            <w:pPr>
              <w:spacing w:after="0"/>
              <w:rPr>
                <w:sz w:val="14"/>
                <w:szCs w:val="14"/>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deferred income tax provision (benefit)</w:t>
            </w: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28,774</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40,522</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(97,379)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 income tax provision (benefit)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71,612</w:t>
            </w:r>
          </w:p>
        </w:tc>
        <w:tc>
          <w:tcPr>
            <w:tcW w:w="1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(97,638)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F-29</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-1533525</wp:posOffset>
            </wp:positionV>
            <wp:extent cx="4762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-1533525</wp:posOffset>
            </wp:positionV>
            <wp:extent cx="4762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-1533525</wp:posOffset>
            </wp:positionV>
            <wp:extent cx="47625"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-858520</wp:posOffset>
            </wp:positionV>
            <wp:extent cx="4762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-858520</wp:posOffset>
            </wp:positionV>
            <wp:extent cx="4762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-858520</wp:posOffset>
            </wp:positionV>
            <wp:extent cx="4762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7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The income tax provisions in 2025 and 2024 were primarily due to taxes on income earned in Ireland. The income tax benefit in 2023 was primarily due to the partial release of the valuation allowance maintained against certain Irish deferred tax assets, partially offset by taxes on income earned in the U.S. and Ireland.</w:t>
      </w:r>
    </w:p>
    <w:p>
      <w:pPr>
        <w:spacing w:after="0" w:line="82"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In December 2022, the EU implemented a new corporate minimum tax rate of 15% on companies with consolidated annual revenue of at least €750.0 million, which was transposed into Irish law effective as of January 1, 2024. The Company has determined that this new minimum tax had no material impact for the years ended December 31, 2025 and 2024.</w:t>
      </w:r>
    </w:p>
    <w:p>
      <w:pPr>
        <w:spacing w:after="0" w:line="82"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 xml:space="preserve">The income tax benefit associated with the Company’s former oncology business, and the tax impact of the Separation, are discussed in further detail in Note 15,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xml:space="preserve"> in these “Notes to Consolidated Financial Statements” in this Annual Report. The tax benefits included within discontinued operations were $0.7 million, and $1.4 million for the years ended December 31, 2024, and 2023, respectively.</w:t>
      </w:r>
    </w:p>
    <w:p>
      <w:pPr>
        <w:spacing w:after="0" w:line="76"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No provision for income tax has been provided on undistributed earnings of the Company’s foreign subsidiaries because such earnings are indefinitely reinvested in the foreign operations. Cumulative unremitted earnings of U.S. subsidiaries totaled approximately $965.7 million at December 31, 2025. In the event of a repatriation of those earnings in the form of dividends or otherwise, the Company may be liable for income taxes, subject to adjustment, if any, for foreign tax credits and foreign withholding taxes payable to foreign tax authorities. The Company estimates that approximately $70.0 million of income taxes would be payable on the repatriation of the unremitted earnings to Ireland.</w:t>
      </w:r>
    </w:p>
    <w:p>
      <w:pPr>
        <w:spacing w:after="0" w:line="91"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distribution of the Company’s income before the provision (benefit) for income taxes by geographical area consists of the following:</w:t>
      </w:r>
    </w:p>
    <w:p>
      <w:pPr>
        <w:spacing w:after="0" w:line="65"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560" w:type="dxa"/>
            <w:vAlign w:val="bottom"/>
            <w:gridSpan w:val="2"/>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ind w:left="10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9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Domestic - Ireland</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6"/>
              </w:rPr>
              <w:t>280,129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440,674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411,767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Foreign - U.S.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w w:val="98"/>
              </w:rPr>
              <w:t>11,321</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80" w:type="dxa"/>
            <w:vAlign w:val="bottom"/>
            <w:tcBorders>
              <w:bottom w:val="single" w:sz="8" w:color="CFF0FC"/>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continuing operations before provision (benefit) for income taxes</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6"/>
              </w:rPr>
              <w:t>291,450</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443,750</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421,519</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20" w:type="dxa"/>
            <w:vAlign w:val="bottom"/>
          </w:tcPr>
          <w:p>
            <w:pPr>
              <w:spacing w:after="0"/>
              <w:rPr>
                <w:sz w:val="22"/>
                <w:szCs w:val="22"/>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The components of the Company’s net deferred tax assets consist of the following:</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18"/>
                <w:szCs w:val="18"/>
                <w:color w:val="auto"/>
              </w:rPr>
            </w:pPr>
          </w:p>
        </w:tc>
        <w:tc>
          <w:tcPr>
            <w:tcW w:w="154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556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1"/>
                <w:szCs w:val="11"/>
                <w:color w:val="auto"/>
              </w:rPr>
            </w:pP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("NOL") carryforwards</w:t>
            </w:r>
          </w:p>
        </w:tc>
        <w:tc>
          <w:tcPr>
            <w:tcW w:w="16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58,850</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Tax credits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28,716</w:t>
            </w: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26,882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32,483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Accrued expenses and reserves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45,635</w:t>
            </w: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41,189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65,843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71,167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Lease liability</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16,293</w:t>
            </w: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17,537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4,621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(83,364)</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(79,727)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4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169,077</w:t>
            </w: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194,725</w:t>
            </w:r>
          </w:p>
        </w:tc>
        <w:tc>
          <w:tcPr>
            <w:tcW w:w="80" w:type="dxa"/>
            <w:vAlign w:val="bottom"/>
            <w:tcBorders>
              <w:top w:val="single" w:sz="8" w:color="CFF0FC"/>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(3,845)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(22,458)</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(21,917)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Right-to-use asset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(15,010)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(16,337)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(1,949)</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(1,940)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tcPr>
          <w:p>
            <w:pPr>
              <w:spacing w:after="0"/>
              <w:rPr>
                <w:sz w:val="14"/>
                <w:szCs w:val="14"/>
                <w:color w:val="auto"/>
              </w:rPr>
            </w:pPr>
          </w:p>
        </w:tc>
        <w:tc>
          <w:tcPr>
            <w:tcW w:w="5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(43,262)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(40,194)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rPr>
                <w:sz w:val="17"/>
                <w:szCs w:val="17"/>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1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125,815</w:t>
            </w: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154,531</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520" w:type="dxa"/>
            <w:vAlign w:val="bottom"/>
          </w:tcPr>
          <w:p>
            <w:pPr>
              <w:spacing w:after="0"/>
              <w:rPr>
                <w:sz w:val="24"/>
                <w:szCs w:val="24"/>
                <w:color w:val="auto"/>
              </w:rPr>
            </w:pPr>
          </w:p>
        </w:tc>
        <w:tc>
          <w:tcPr>
            <w:tcW w:w="5040" w:type="dxa"/>
            <w:vAlign w:val="bottom"/>
            <w:tcBorders>
              <w:top w:val="single" w:sz="8" w:color="CFF0FC"/>
            </w:tcBorders>
          </w:tcPr>
          <w:p>
            <w:pPr>
              <w:ind w:left="3720"/>
              <w:spacing w:after="0"/>
              <w:rPr>
                <w:sz w:val="20"/>
                <w:szCs w:val="20"/>
                <w:color w:val="auto"/>
              </w:rPr>
            </w:pPr>
            <w:r>
              <w:rPr>
                <w:rFonts w:ascii="Times New Roman" w:cs="Times New Roman" w:eastAsia="Times New Roman" w:hAnsi="Times New Roman"/>
                <w:sz w:val="14"/>
                <w:szCs w:val="14"/>
                <w:color w:val="auto"/>
              </w:rPr>
              <w:t>F-30</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-3061335</wp:posOffset>
            </wp:positionV>
            <wp:extent cx="4762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-3047365</wp:posOffset>
            </wp:positionV>
            <wp:extent cx="4762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-3176905</wp:posOffset>
            </wp:positionV>
            <wp:extent cx="4762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-3061335</wp:posOffset>
            </wp:positionV>
            <wp:extent cx="4762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-3047365</wp:posOffset>
            </wp:positionV>
            <wp:extent cx="4762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-3176905</wp:posOffset>
            </wp:positionV>
            <wp:extent cx="4762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-3061335</wp:posOffset>
            </wp:positionV>
            <wp:extent cx="4762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-3047365</wp:posOffset>
            </wp:positionV>
            <wp:extent cx="4762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-3176905</wp:posOffset>
            </wp:positionV>
            <wp:extent cx="47625"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-1642745</wp:posOffset>
            </wp:positionV>
            <wp:extent cx="4762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-1642745</wp:posOffset>
            </wp:positionV>
            <wp:extent cx="4762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-974725</wp:posOffset>
            </wp:positionV>
            <wp:extent cx="47625"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-974725</wp:posOffset>
            </wp:positionV>
            <wp:extent cx="4762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-742950</wp:posOffset>
            </wp:positionV>
            <wp:extent cx="47625"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-728980</wp:posOffset>
            </wp:positionV>
            <wp:extent cx="47625"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9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activity in the valuation allowance associated with deferred taxes consists of the following:</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(Additions) /</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 End</w:t>
            </w:r>
          </w:p>
        </w:tc>
        <w:tc>
          <w:tcPr>
            <w:tcW w:w="0" w:type="dxa"/>
            <w:vAlign w:val="bottom"/>
          </w:tcPr>
          <w:p>
            <w:pPr>
              <w:spacing w:after="0"/>
              <w:rPr>
                <w:sz w:val="1"/>
                <w:szCs w:val="1"/>
                <w:color w:val="auto"/>
              </w:rPr>
            </w:pPr>
          </w:p>
        </w:tc>
      </w:tr>
      <w:tr>
        <w:trPr>
          <w:trHeight w:val="116"/>
        </w:trPr>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Beginning of</w:t>
            </w:r>
          </w:p>
        </w:tc>
        <w:tc>
          <w:tcPr>
            <w:tcW w:w="6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
              <w:spacing w:after="0" w:line="140" w:lineRule="exact"/>
              <w:rPr>
                <w:sz w:val="20"/>
                <w:szCs w:val="20"/>
                <w:color w:val="auto"/>
              </w:rPr>
            </w:pPr>
            <w:r>
              <w:rPr>
                <w:rFonts w:ascii="Times New Roman" w:cs="Times New Roman" w:eastAsia="Times New Roman" w:hAnsi="Times New Roman"/>
                <w:sz w:val="11"/>
                <w:szCs w:val="11"/>
                <w:b w:val="1"/>
                <w:bCs w:val="1"/>
                <w:color w:val="auto"/>
                <w:w w:val="97"/>
              </w:rPr>
              <w:t>Period</w:t>
            </w:r>
            <w:r>
              <w:rPr>
                <w:rFonts w:ascii="Times New Roman" w:cs="Times New Roman" w:eastAsia="Times New Roman" w:hAnsi="Times New Roman"/>
                <w:sz w:val="15"/>
                <w:szCs w:val="15"/>
                <w:b w:val="1"/>
                <w:bCs w:val="1"/>
                <w:color w:val="auto"/>
                <w:w w:val="97"/>
                <w:vertAlign w:val="superscript"/>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gridSpan w:val="2"/>
          </w:tcPr>
          <w:p>
            <w:pPr>
              <w:ind w:left="80"/>
              <w:spacing w:after="0" w:line="140" w:lineRule="exact"/>
              <w:rPr>
                <w:sz w:val="20"/>
                <w:szCs w:val="20"/>
                <w:color w:val="auto"/>
              </w:rPr>
            </w:pPr>
            <w:r>
              <w:rPr>
                <w:rFonts w:ascii="Times New Roman" w:cs="Times New Roman" w:eastAsia="Times New Roman" w:hAnsi="Times New Roman"/>
                <w:sz w:val="11"/>
                <w:szCs w:val="11"/>
                <w:b w:val="1"/>
                <w:bCs w:val="1"/>
                <w:color w:val="auto"/>
              </w:rPr>
              <w:t>Reductions</w:t>
            </w:r>
            <w:r>
              <w:rPr>
                <w:rFonts w:ascii="Times New Roman" w:cs="Times New Roman" w:eastAsia="Times New Roman" w:hAnsi="Times New Roman"/>
                <w:sz w:val="15"/>
                <w:szCs w:val="15"/>
                <w:b w:val="1"/>
                <w:bCs w:val="1"/>
                <w:color w:val="auto"/>
                <w:vertAlign w:val="superscript"/>
              </w:rPr>
              <w:t>(2)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asset valuation allowance for the year ended December 31, 2023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(271,517)</w:t>
            </w:r>
          </w:p>
        </w:tc>
        <w:tc>
          <w:tcPr>
            <w:tcW w:w="26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142,221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(129,296)</w:t>
            </w: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 valuation allowance for the year ended December 31, 2024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(129,296)</w:t>
            </w:r>
          </w:p>
        </w:tc>
        <w:tc>
          <w:tcPr>
            <w:tcW w:w="26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49,569</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(79,727)</w:t>
            </w:r>
          </w:p>
        </w:tc>
        <w:tc>
          <w:tcPr>
            <w:tcW w:w="0" w:type="dxa"/>
            <w:vAlign w:val="bottom"/>
          </w:tcPr>
          <w:p>
            <w:pPr>
              <w:spacing w:after="0"/>
              <w:rPr>
                <w:sz w:val="1"/>
                <w:szCs w:val="1"/>
                <w:color w:val="auto"/>
              </w:rPr>
            </w:pPr>
          </w:p>
        </w:tc>
      </w:tr>
      <w:tr>
        <w:trPr>
          <w:trHeight w:val="17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asset valuation allowance for the year ended December 31, 2025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(79,727)</w:t>
            </w:r>
          </w:p>
        </w:tc>
        <w:tc>
          <w:tcPr>
            <w:tcW w:w="26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(83,364)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54610</wp:posOffset>
            </wp:positionV>
            <wp:extent cx="1309370"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91">
                      <a:extLst>
                        <a:ext uri="{28A0092B-C50C-407E-A947-70E740481C1C}"/>
                      </a:extLst>
                    </a:blip>
                    <a:srcRect/>
                    <a:stretch>
                      <a:fillRect/>
                    </a:stretch>
                  </pic:blipFill>
                  <pic:spPr bwMode="auto">
                    <a:xfrm>
                      <a:off x="0" y="0"/>
                      <a:ext cx="1309370" cy="6985"/>
                    </a:xfrm>
                    <a:prstGeom prst="rect">
                      <a:avLst/>
                    </a:prstGeom>
                    <a:noFill/>
                  </pic:spPr>
                </pic:pic>
              </a:graphicData>
            </a:graphic>
          </wp:anchor>
        </w:drawing>
      </w:r>
    </w:p>
    <w:p>
      <w:pPr>
        <w:spacing w:after="0" w:line="81" w:lineRule="exact"/>
        <w:rPr>
          <w:sz w:val="20"/>
          <w:szCs w:val="20"/>
          <w:color w:val="auto"/>
        </w:rPr>
      </w:pPr>
    </w:p>
    <w:p>
      <w:pPr>
        <w:ind w:left="1240" w:hanging="344"/>
        <w:spacing w:after="0"/>
        <w:tabs>
          <w:tab w:leader="none" w:pos="12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beginning balance as of January 1, 2023 is inclusive of continuing and discontinued operations.</w:t>
      </w:r>
    </w:p>
    <w:p>
      <w:pPr>
        <w:spacing w:after="0" w:line="21" w:lineRule="exact"/>
        <w:rPr>
          <w:rFonts w:ascii="Times New Roman" w:cs="Times New Roman" w:eastAsia="Times New Roman" w:hAnsi="Times New Roman"/>
          <w:sz w:val="11"/>
          <w:szCs w:val="11"/>
          <w:color w:val="auto"/>
        </w:rPr>
      </w:pPr>
    </w:p>
    <w:p>
      <w:pPr>
        <w:ind w:left="1240" w:right="719" w:hanging="344"/>
        <w:spacing w:after="0" w:line="229" w:lineRule="auto"/>
        <w:tabs>
          <w:tab w:leader="none" w:pos="12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(Additions) reductions represent continuing and discontinued operations for the periods prior to the Separation in November 2023. The additions during the year ended December 31, 2025 primarily relate to the realization of Irish capital losses on foreign exchange transactions. The reductions during the year ended December 31, 2024 primarily relate to the abandonment of certain Irish NOLs following the sale of the Athlone Facility to Novo. These NOLs were transferred from Elan Corporation, plc as part of the combination of the drug technology business of Elan Corporation, plc with the business of Alkermes, Inc. A number of restrictions applied to these NOLs thereby restricting the Company’s ability to utilize such NOLs. Following the sale of the Athlone Facility, the Company believes that its ability to utilize these NOLs is remote. The reduction during the year ended December 31, 2023 primarily relates to the partial release of the valuation allowance maintained by the Company against certain Irish net deferred tax assets.</w:t>
      </w:r>
    </w:p>
    <w:p>
      <w:pPr>
        <w:spacing w:after="0" w:line="73"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The Company regularly assesses the need for a valuation allowance against its deferred tax assets. In making such assessment, the Company considers both positive and negative evidence related to the likelihood of realization of the deferred tax assets to determine, based on the weight of available evidence, whether it is more-likely-than-not that some or all of the deferred tax assets will not be realized. At December 31, 2025, the Company maintained a valuation allowance of $30.5 million against certain U.S. state deferred tax assets and $52.8 million against certain Irish deferred tax assets, as the Company has determined that it is more-likely-than-not that these deferred tax assets will not be realized and some may be abandoned.</w:t>
      </w:r>
    </w:p>
    <w:p>
      <w:pPr>
        <w:spacing w:after="0" w:line="69" w:lineRule="exact"/>
        <w:rPr>
          <w:sz w:val="20"/>
          <w:szCs w:val="20"/>
          <w:color w:val="auto"/>
        </w:rPr>
      </w:pPr>
    </w:p>
    <w:p>
      <w:pPr>
        <w:jc w:val="both"/>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If the Company incurs losses in the U.S. or in Ireland in the future, or fails to achieve sufficient profitability in a timely manner, the evaluation of the recoverability of the deferred tax assets could change and a valuation allowance against such deferred tax assets may be required in part or in whole. The Company will continue to monitor the need for a valuation allowance against its deferred tax assets on a quarterly basis.</w:t>
      </w:r>
    </w:p>
    <w:p>
      <w:pPr>
        <w:spacing w:after="0" w:line="76"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As of December 31, 2025, the Company had $210.2 million of Irish NOL carryforwards, $13.6 million of U.S. federal NOL carryforwards, $43.2 million of state NOL carryforwards and $35.2 million of state tax credits which will either expire on various dates through 2040 or can be carried forward indefinitely. These loss and credit carryforwards are available to reduce certain future Irish and foreign taxable income and tax. These loss and credit carryforwards are subject to review and possible adjustment by the appropriate taxing authorities and may be subject to limitations based upon changes in the ownership of the Company’s ordinary shares. Included within these loss and credit carryforwards are $13.6 million of U.S. federal NOL carryforwards and $5.3 million of state NOL carryforwards, acquired as part of the acquisition of Rodin Therapeutics, Inc. in November 2019, each of which are subject to a $0.5 million annual limitation.</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reconciliation of the Company’s statutory tax rate to its effective tax rate is as follows:</w:t>
      </w:r>
    </w:p>
    <w:p>
      <w:pPr>
        <w:spacing w:after="0" w:line="114" w:lineRule="exact"/>
        <w:rPr>
          <w:sz w:val="20"/>
          <w:szCs w:val="20"/>
          <w:color w:val="auto"/>
        </w:rPr>
      </w:pPr>
    </w:p>
    <w:tbl>
      <w:tblPr>
        <w:tblLayout w:type="fixed"/>
        <w:tblInd w:w="880" w:type="dxa"/>
        <w:tblCellMar>
          <w:top w:w="0" w:type="dxa"/>
          <w:left w:w="0" w:type="dxa"/>
          <w:bottom w:w="0" w:type="dxa"/>
          <w:right w:w="0" w:type="dxa"/>
        </w:tblCellMar>
      </w:tblPr>
      <w:tr>
        <w:trPr>
          <w:trHeight w:val="137"/>
        </w:trPr>
        <w:tc>
          <w:tcPr>
            <w:tcW w:w="3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 amounts)</w:t>
            </w: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10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Statutory tax rate</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36,431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55,469</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52,690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tax effects—U.S.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00" w:type="dxa"/>
            <w:vAlign w:val="bottom"/>
            <w:shd w:val="clear" w:color="auto" w:fill="CFF0FC"/>
          </w:tcPr>
          <w:p>
            <w:pPr>
              <w:ind w:left="280"/>
              <w:spacing w:after="0" w:line="157" w:lineRule="exact"/>
              <w:rPr>
                <w:sz w:val="20"/>
                <w:szCs w:val="20"/>
                <w:color w:val="auto"/>
              </w:rPr>
            </w:pPr>
            <w:r>
              <w:rPr>
                <w:rFonts w:ascii="Times New Roman" w:cs="Times New Roman" w:eastAsia="Times New Roman" w:hAnsi="Times New Roman"/>
                <w:sz w:val="14"/>
                <w:szCs w:val="14"/>
                <w:color w:val="auto"/>
              </w:rPr>
              <w:t>State and local income tax, net of federal</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tcBorders>
              <w:right w:val="single" w:sz="8" w:color="CFF0FC"/>
            </w:tcBorders>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income tax effect</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2,802</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348</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Credits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(6,975)</w:t>
            </w: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(2,823)</w:t>
            </w: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2"/>
        </w:trPr>
        <w:tc>
          <w:tcPr>
            <w:tcW w:w="3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8,347</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5,959</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100" w:type="dxa"/>
            <w:vAlign w:val="bottom"/>
          </w:tcPr>
          <w:p>
            <w:pPr>
              <w:ind w:left="420"/>
              <w:spacing w:after="0" w:line="172"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5,591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4,956</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(159,496)</w:t>
            </w: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72"/>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Nonoperating income</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5,798</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235</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100" w:type="dxa"/>
            <w:vAlign w:val="bottom"/>
          </w:tcPr>
          <w:p>
            <w:pPr>
              <w:ind w:left="420"/>
              <w:spacing w:after="0" w:line="172"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4,035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727</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Worldwide changes in unrecognized tax benefits</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FF0FC"/>
            </w:tcBorders>
            <w:shd w:val="clear" w:color="auto" w:fill="000000"/>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71,612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(97,638)</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-135890</wp:posOffset>
            </wp:positionV>
            <wp:extent cx="40640"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9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-135890</wp:posOffset>
            </wp:positionV>
            <wp:extent cx="40640"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-135890</wp:posOffset>
            </wp:positionV>
            <wp:extent cx="47625"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-135890</wp:posOffset>
            </wp:positionV>
            <wp:extent cx="4064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-135890</wp:posOffset>
            </wp:positionV>
            <wp:extent cx="40640"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9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-135890</wp:posOffset>
            </wp:positionV>
            <wp:extent cx="47625"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-135890</wp:posOffset>
            </wp:positionV>
            <wp:extent cx="40640"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9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-135890</wp:posOffset>
            </wp:positionV>
            <wp:extent cx="40640"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9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49" w:lineRule="exact"/>
        <w:rPr>
          <w:sz w:val="20"/>
          <w:szCs w:val="20"/>
          <w:color w:val="auto"/>
        </w:rPr>
      </w:pPr>
    </w:p>
    <w:p>
      <w:pPr>
        <w:ind w:left="1240" w:right="799" w:hanging="344"/>
        <w:spacing w:after="0" w:line="235" w:lineRule="auto"/>
        <w:tabs>
          <w:tab w:leader="none" w:pos="12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items include, but are not limited to, foreign valuation allowance, foreign rate differential, non-deductible meals and entertainment expenses, non-deductible lobbying expenses, and non-deductible compensation of senior officers of the Company.</w:t>
      </w:r>
    </w:p>
    <w:p>
      <w:pPr>
        <w:ind w:left="1240" w:right="899" w:hanging="344"/>
        <w:spacing w:after="0" w:line="242" w:lineRule="auto"/>
        <w:tabs>
          <w:tab w:leader="none" w:pos="12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items include, but are not limited to non-deductible transaction costs and non-deductible compensation. For the year ended December 31, 2024, other items also included amounts relating to the sale of the Athlone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-314960</wp:posOffset>
            </wp:positionV>
            <wp:extent cx="130937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00">
                      <a:extLst>
                        <a:ext uri="{28A0092B-C50C-407E-A947-70E740481C1C}"/>
                      </a:extLst>
                    </a:blip>
                    <a:srcRect/>
                    <a:stretch>
                      <a:fillRect/>
                    </a:stretch>
                  </pic:blipFill>
                  <pic:spPr bwMode="auto">
                    <a:xfrm>
                      <a:off x="0" y="0"/>
                      <a:ext cx="1309370" cy="698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8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is as follows:</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6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Unrecognized</w:t>
            </w:r>
          </w:p>
        </w:tc>
      </w:tr>
      <w:tr>
        <w:trPr>
          <w:trHeight w:val="137"/>
        </w:trPr>
        <w:tc>
          <w:tcPr>
            <w:tcW w:w="6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1"/>
                <w:szCs w:val="11"/>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Tax Benefits</w:t>
            </w:r>
          </w:p>
        </w:tc>
      </w:tr>
      <w:tr>
        <w:trPr>
          <w:trHeight w:val="163"/>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8,973</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Reductions based on the lapse of applicable statutes of limitations</w:t>
            </w:r>
          </w:p>
        </w:tc>
        <w:tc>
          <w:tcPr>
            <w:tcW w:w="2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(1,073)</w:t>
            </w:r>
          </w:p>
        </w:tc>
      </w:tr>
      <w:tr>
        <w:trPr>
          <w:trHeight w:val="172"/>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Additions based on tax positions related to prior periods</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period</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4"/>
                <w:szCs w:val="14"/>
                <w:color w:val="auto"/>
              </w:rPr>
            </w:pPr>
          </w:p>
        </w:tc>
      </w:tr>
      <w:tr>
        <w:trPr>
          <w:trHeight w:val="163"/>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8,739</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Reductions based on the lapse of applicable statutes of limitations</w:t>
            </w:r>
          </w:p>
        </w:tc>
        <w:tc>
          <w:tcPr>
            <w:tcW w:w="2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(1,306)</w:t>
            </w:r>
          </w:p>
        </w:tc>
      </w:tr>
      <w:tr>
        <w:trPr>
          <w:trHeight w:val="172"/>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Additions based on tax positions related to the prior period</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period</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4"/>
                <w:szCs w:val="14"/>
                <w:color w:val="auto"/>
              </w:rPr>
            </w:pPr>
          </w:p>
        </w:tc>
      </w:tr>
      <w:tr>
        <w:trPr>
          <w:trHeight w:val="163"/>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8,073</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Reductions based on the lapse of applicable statutes of limitations</w:t>
            </w:r>
          </w:p>
        </w:tc>
        <w:tc>
          <w:tcPr>
            <w:tcW w:w="2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(1,081)</w:t>
            </w:r>
          </w:p>
        </w:tc>
      </w:tr>
      <w:tr>
        <w:trPr>
          <w:trHeight w:val="172"/>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Additions based on tax positions related to the prior period</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shd w:val="clear" w:color="auto" w:fill="CFF0FC"/>
          </w:tcPr>
          <w:p>
            <w:pPr>
              <w:spacing w:after="0"/>
              <w:rPr>
                <w:sz w:val="14"/>
                <w:szCs w:val="14"/>
                <w:color w:val="auto"/>
              </w:rPr>
            </w:pPr>
          </w:p>
        </w:tc>
      </w:tr>
      <w:tr>
        <w:trPr>
          <w:trHeight w:val="172"/>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period</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4"/>
                <w:szCs w:val="14"/>
                <w:color w:val="auto"/>
              </w:rPr>
            </w:pPr>
          </w:p>
        </w:tc>
      </w:tr>
      <w:tr>
        <w:trPr>
          <w:trHeight w:val="203"/>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8,710</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0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803">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83"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The unrecognized tax benefits at December 31, 2025, if recognized, would affect the Company’s effective tax rate. The Company has elected to include interest and penalties related to uncertain tax positions as a component of its provision for taxes. For the years ended December 31, 2025, 2024 and 2023, the Company’s accrued interest and penalties related to uncertain tax positions were $1.0 million, $0.1 million and $0.3 million, respectively.</w:t>
      </w:r>
    </w:p>
    <w:p>
      <w:pPr>
        <w:spacing w:after="0" w:line="86"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 Company’s major taxing jurisdictions include Ireland and the U.S. (federal and state). These jurisdictions have varying statutes of limitations. In the U.S., the 2022 through 2025 fiscal years remain subject to examination by the respective tax authorities, however, some states have longer statutes of limitations and additional fiscal years remain subject to examination. In Ireland, the 2021 through 2025 fiscal years remain subject to examination by the Irish tax authorities. Additionally, because of the Company’s Irish and U.S. loss carryforwards and credit carryforwards, certain tax returns from fiscal years 2002 onward may also be examined. These years generally remain open for three to four years after the loss carryforwards and credit carryforwards have been utilized.</w:t>
      </w:r>
    </w:p>
    <w:p>
      <w:pPr>
        <w:spacing w:after="0" w:line="80"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For the years ended December 31, 2025, 2024, and 2023, the Company paid cash for income taxes, net of refunds received, of $5.2 million, $2.6 million, and $44.2 million, respectively.</w:t>
      </w:r>
    </w:p>
    <w:p>
      <w:pPr>
        <w:spacing w:after="0" w:line="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reconciliation of the Company’s cash paid for income taxes, net of refunds received, is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4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3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Domestic - Ireland</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2,455</w:t>
            </w:r>
          </w:p>
        </w:tc>
        <w:tc>
          <w:tcPr>
            <w:tcW w:w="1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0"/>
                <w:szCs w:val="10"/>
                <w:color w:val="auto"/>
                <w:w w:val="85"/>
              </w:rPr>
              <w:t>(1)</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Foreign - U.S.</w:t>
            </w: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D0F0FC"/>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38,850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California</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1,216</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Mississippi</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States</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820</w:t>
            </w: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FF0FC"/>
              <w:right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5,393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 U.S. subtotal</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2,782</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44,243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5,237</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44,243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-913130</wp:posOffset>
            </wp:positionV>
            <wp:extent cx="109220"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804">
                      <a:extLst>
                        <a:ext uri="{28A0092B-C50C-407E-A947-70E740481C1C}"/>
                      </a:extLst>
                    </a:blip>
                    <a:srcRect/>
                    <a:stretch>
                      <a:fillRect/>
                    </a:stretch>
                  </pic:blipFill>
                  <pic:spPr bwMode="auto">
                    <a:xfrm>
                      <a:off x="0" y="0"/>
                      <a:ext cx="109220"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-913130</wp:posOffset>
            </wp:positionV>
            <wp:extent cx="61595"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80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-251460</wp:posOffset>
            </wp:positionV>
            <wp:extent cx="10922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806">
                      <a:extLst>
                        <a:ext uri="{28A0092B-C50C-407E-A947-70E740481C1C}"/>
                      </a:extLst>
                    </a:blip>
                    <a:srcRect/>
                    <a:stretch>
                      <a:fillRect/>
                    </a:stretch>
                  </pic:blipFill>
                  <pic:spPr bwMode="auto">
                    <a:xfrm>
                      <a:off x="0" y="0"/>
                      <a:ext cx="109220"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-251460</wp:posOffset>
            </wp:positionV>
            <wp:extent cx="61595"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0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-19685</wp:posOffset>
            </wp:positionV>
            <wp:extent cx="10922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08">
                      <a:extLst>
                        <a:ext uri="{28A0092B-C50C-407E-A947-70E740481C1C}"/>
                      </a:extLst>
                    </a:blip>
                    <a:srcRect/>
                    <a:stretch>
                      <a:fillRect/>
                    </a:stretch>
                  </pic:blipFill>
                  <pic:spPr bwMode="auto">
                    <a:xfrm>
                      <a:off x="0" y="0"/>
                      <a:ext cx="109220"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-6350</wp:posOffset>
            </wp:positionV>
            <wp:extent cx="10922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809">
                      <a:extLst>
                        <a:ext uri="{28A0092B-C50C-407E-A947-70E740481C1C}"/>
                      </a:extLst>
                    </a:blip>
                    <a:srcRect/>
                    <a:stretch>
                      <a:fillRect/>
                    </a:stretch>
                  </pic:blipFill>
                  <pic:spPr bwMode="auto">
                    <a:xfrm>
                      <a:off x="0" y="0"/>
                      <a:ext cx="109220"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-19685</wp:posOffset>
            </wp:positionV>
            <wp:extent cx="61595"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1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-6350</wp:posOffset>
            </wp:positionV>
            <wp:extent cx="61595"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11">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27" w:lineRule="exact"/>
        <w:rPr>
          <w:sz w:val="20"/>
          <w:szCs w:val="20"/>
          <w:color w:val="auto"/>
        </w:rPr>
      </w:pPr>
    </w:p>
    <w:p>
      <w:pPr>
        <w:ind w:left="1260" w:hanging="344"/>
        <w:spacing w:after="0"/>
        <w:tabs>
          <w:tab w:leader="none" w:pos="126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Below the disclosure threshold for the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-75565</wp:posOffset>
            </wp:positionV>
            <wp:extent cx="395605"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812">
                      <a:extLst>
                        <a:ext uri="{28A0092B-C50C-407E-A947-70E740481C1C}"/>
                      </a:extLst>
                    </a:blip>
                    <a:srcRect/>
                    <a:stretch>
                      <a:fillRect/>
                    </a:stretch>
                  </pic:blipFill>
                  <pic:spPr bwMode="auto">
                    <a:xfrm>
                      <a:off x="0" y="0"/>
                      <a:ext cx="395605" cy="6985"/>
                    </a:xfrm>
                    <a:prstGeom prst="rect">
                      <a:avLst/>
                    </a:prstGeom>
                    <a:noFill/>
                  </pic:spPr>
                </pic:pic>
              </a:graphicData>
            </a:graphic>
          </wp:anchor>
        </w:drawing>
      </w:r>
    </w:p>
    <w:p>
      <w:pPr>
        <w:ind w:left="1260" w:hanging="382"/>
        <w:spacing w:after="0"/>
        <w:tabs>
          <w:tab w:leader="none" w:pos="126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number includes amounts due to the Company under other tax heads that was reallocated to the income tax account.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5" w:lineRule="exact"/>
        <w:rPr>
          <w:sz w:val="20"/>
          <w:szCs w:val="20"/>
          <w:color w:val="auto"/>
        </w:rPr>
      </w:pPr>
    </w:p>
    <w:p>
      <w:pPr>
        <w:ind w:left="980" w:right="6539" w:hanging="342"/>
        <w:spacing w:after="0" w:line="433" w:lineRule="auto"/>
        <w:tabs>
          <w:tab w:leader="none" w:pos="844"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SEGMENT REPORTING </w:t>
      </w:r>
      <w:r>
        <w:rPr>
          <w:rFonts w:ascii="Times New Roman" w:cs="Times New Roman" w:eastAsia="Times New Roman" w:hAnsi="Times New Roman"/>
          <w:sz w:val="14"/>
          <w:szCs w:val="14"/>
          <w:b w:val="1"/>
          <w:bCs w:val="1"/>
          <w:i w:val="1"/>
          <w:iCs w:val="1"/>
          <w:color w:val="auto"/>
        </w:rPr>
        <w:t>Segment Information</w:t>
      </w:r>
    </w:p>
    <w:p>
      <w:pPr>
        <w:spacing w:after="0" w:line="1"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significant segment expenses that are regularly provided to the CODM are as follows:</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220" w:type="dxa"/>
            <w:vAlign w:val="bottom"/>
            <w:gridSpan w:val="2"/>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8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8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1,475,899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1,557,632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1,663,405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EXPENSES:</w:t>
            </w: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Pr>
          <w:p>
            <w:pPr>
              <w:ind w:left="200"/>
              <w:spacing w:after="0" w:line="157" w:lineRule="exact"/>
              <w:rPr>
                <w:sz w:val="20"/>
                <w:szCs w:val="20"/>
                <w:color w:val="auto"/>
              </w:rPr>
            </w:pPr>
            <w:r>
              <w:rPr>
                <w:rFonts w:ascii="Times New Roman" w:cs="Times New Roman" w:eastAsia="Times New Roman" w:hAnsi="Times New Roman"/>
                <w:sz w:val="14"/>
                <w:szCs w:val="14"/>
                <w:color w:val="auto"/>
              </w:rPr>
              <w:t>Cost of goods manufactured and sold (exclusive of</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acquired intangible assets shown below)</w:t>
            </w:r>
          </w:p>
        </w:tc>
        <w:tc>
          <w:tcPr>
            <w:tcW w:w="22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196,457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245,331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253,037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External R&amp;D expenses: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programs: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Alixorexton</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95,763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45,947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31,321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LYBALVI</w:t>
            </w:r>
          </w:p>
        </w:tc>
        <w:tc>
          <w:tcPr>
            <w:tcW w:w="22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18,757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18,737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15,379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Other external R&amp;D expenses</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52,759</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36,627</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51,668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Total external R&amp;D expenses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167,279</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101,311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98,368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Internal R&amp;D expenses: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Employee-related</w:t>
            </w:r>
          </w:p>
        </w:tc>
        <w:tc>
          <w:tcPr>
            <w:tcW w:w="22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125,955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114,496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128,282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Occupancy</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13,001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11,206</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12,299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5,605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9,578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Other internal R&amp;D expenses</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12,124</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12,612</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22,279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Total internal R&amp;D expenses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156,685</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144,015</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172,438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R&amp;D expenses</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323,964</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245,326</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270,806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480,011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446,214</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490,154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221,511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199,024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199,597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shd w:val="clear" w:color="auto" w:fill="CFF0FC"/>
          </w:tcPr>
          <w:p>
            <w:pPr>
              <w:ind w:left="700"/>
              <w:spacing w:after="0" w:line="148" w:lineRule="exact"/>
              <w:rPr>
                <w:sz w:val="20"/>
                <w:szCs w:val="20"/>
                <w:color w:val="auto"/>
              </w:rPr>
            </w:pPr>
            <w:r>
              <w:rPr>
                <w:rFonts w:ascii="Times New Roman" w:cs="Times New Roman" w:eastAsia="Times New Roman" w:hAnsi="Times New Roman"/>
                <w:sz w:val="14"/>
                <w:szCs w:val="14"/>
                <w:color w:val="auto"/>
              </w:rPr>
              <w:t>Total selling, general and administrative</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701,522</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645,238</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689,751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expense</w:t>
            </w: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tcPr>
          <w:p>
            <w:pPr>
              <w:ind w:left="200"/>
              <w:spacing w:after="0" w:line="163" w:lineRule="exact"/>
              <w:rPr>
                <w:sz w:val="20"/>
                <w:szCs w:val="20"/>
                <w:color w:val="auto"/>
              </w:rPr>
            </w:pPr>
            <w:r>
              <w:rPr>
                <w:rFonts w:ascii="Times New Roman" w:cs="Times New Roman" w:eastAsia="Times New Roman" w:hAnsi="Times New Roman"/>
                <w:sz w:val="14"/>
                <w:szCs w:val="14"/>
                <w:color w:val="auto"/>
              </w:rPr>
              <w:t xml:space="preserve">Other segment (expense) income </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(49,599)</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69,346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241,664</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372,138</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519,157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LOSS ON DISCONTINUED OPERATIONS, NET OF</w:t>
            </w:r>
          </w:p>
        </w:tc>
        <w:tc>
          <w:tcPr>
            <w:tcW w:w="220" w:type="dxa"/>
            <w:vAlign w:val="bottom"/>
          </w:tcPr>
          <w:p>
            <w:pPr>
              <w:spacing w:after="0"/>
              <w:rPr>
                <w:sz w:val="12"/>
                <w:szCs w:val="12"/>
                <w:color w:val="auto"/>
              </w:rPr>
            </w:pPr>
          </w:p>
        </w:tc>
        <w:tc>
          <w:tcPr>
            <w:tcW w:w="8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(163,400)</w:t>
            </w:r>
          </w:p>
        </w:tc>
        <w:tc>
          <w:tcPr>
            <w:tcW w:w="0" w:type="dxa"/>
            <w:vAlign w:val="bottom"/>
          </w:tcPr>
          <w:p>
            <w:pPr>
              <w:spacing w:after="0"/>
              <w:rPr>
                <w:sz w:val="1"/>
                <w:szCs w:val="1"/>
                <w:color w:val="auto"/>
              </w:rPr>
            </w:pPr>
          </w:p>
        </w:tc>
      </w:tr>
      <w:tr>
        <w:trPr>
          <w:trHeight w:val="176"/>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241,664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367,070</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355,757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-3034030</wp:posOffset>
            </wp:positionV>
            <wp:extent cx="170180"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14">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-3034030</wp:posOffset>
            </wp:positionV>
            <wp:extent cx="61595"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1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-2038350</wp:posOffset>
            </wp:positionV>
            <wp:extent cx="170180"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16">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-2038350</wp:posOffset>
            </wp:positionV>
            <wp:extent cx="61595"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1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-1370330</wp:posOffset>
            </wp:positionV>
            <wp:extent cx="170180"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18">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-1370330</wp:posOffset>
            </wp:positionV>
            <wp:extent cx="61595"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1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-1137920</wp:posOffset>
            </wp:positionV>
            <wp:extent cx="17018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20">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-1137920</wp:posOffset>
            </wp:positionV>
            <wp:extent cx="61595"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2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-586105</wp:posOffset>
            </wp:positionV>
            <wp:extent cx="170180"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22">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-586105</wp:posOffset>
            </wp:positionV>
            <wp:extent cx="61595"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2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-353695</wp:posOffset>
            </wp:positionV>
            <wp:extent cx="170180"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24">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-353695</wp:posOffset>
            </wp:positionV>
            <wp:extent cx="61595"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2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-19685</wp:posOffset>
            </wp:positionV>
            <wp:extent cx="17018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26">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-6350</wp:posOffset>
            </wp:positionV>
            <wp:extent cx="17018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27">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-19685</wp:posOffset>
            </wp:positionV>
            <wp:extent cx="61595"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2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-6350</wp:posOffset>
            </wp:positionV>
            <wp:extent cx="61595"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2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67945</wp:posOffset>
            </wp:positionV>
            <wp:extent cx="130937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30">
                      <a:extLst>
                        <a:ext uri="{28A0092B-C50C-407E-A947-70E740481C1C}"/>
                      </a:extLst>
                    </a:blip>
                    <a:srcRect/>
                    <a:stretch>
                      <a:fillRect/>
                    </a:stretch>
                  </pic:blipFill>
                  <pic:spPr bwMode="auto">
                    <a:xfrm>
                      <a:off x="0" y="0"/>
                      <a:ext cx="1309370" cy="6985"/>
                    </a:xfrm>
                    <a:prstGeom prst="rect">
                      <a:avLst/>
                    </a:prstGeom>
                    <a:noFill/>
                  </pic:spPr>
                </pic:pic>
              </a:graphicData>
            </a:graphic>
          </wp:anchor>
        </w:drawing>
      </w:r>
    </w:p>
    <w:p>
      <w:pPr>
        <w:spacing w:after="0" w:line="113" w:lineRule="exact"/>
        <w:rPr>
          <w:sz w:val="20"/>
          <w:szCs w:val="20"/>
          <w:color w:val="auto"/>
        </w:rPr>
      </w:pPr>
    </w:p>
    <w:p>
      <w:pPr>
        <w:ind w:left="1240" w:right="919" w:hanging="344"/>
        <w:spacing w:after="0" w:line="264" w:lineRule="auto"/>
        <w:tabs>
          <w:tab w:leader="none" w:pos="1240" w:val="left"/>
        </w:tabs>
        <w:numPr>
          <w:ilvl w:val="1"/>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(expense) income” during the years ended December 31, 2025, 2024 and 2023 includes “Amortization of acquired intangible assets”, “Other income (expense), net” and “Income tax provision (benefit)”.</w:t>
      </w:r>
    </w:p>
    <w:p>
      <w:pPr>
        <w:spacing w:after="0" w:line="76" w:lineRule="exact"/>
        <w:rPr>
          <w:rFonts w:ascii="Times New Roman" w:cs="Times New Roman" w:eastAsia="Times New Roman" w:hAnsi="Times New Roman"/>
          <w:sz w:val="11"/>
          <w:szCs w:val="11"/>
          <w:color w:val="auto"/>
        </w:rPr>
      </w:pPr>
    </w:p>
    <w:p>
      <w:pPr>
        <w:ind w:left="860" w:hanging="222"/>
        <w:spacing w:after="0"/>
        <w:tabs>
          <w:tab w:leader="none" w:pos="86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CONTINGENT LIABILITIES</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33"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December 31, 2025, there were no potential material losses from claims, asserted or unasserted, or legal proceedings that the Company determined were probable of occurring.</w:t>
      </w:r>
    </w:p>
    <w:p>
      <w:pPr>
        <w:spacing w:after="0" w:line="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u w:val="single" w:color="auto"/>
          <w:color w:val="auto"/>
        </w:rPr>
        <w:t>INVEGA TRINZA ANDA Litigation</w:t>
      </w:r>
    </w:p>
    <w:p>
      <w:pPr>
        <w:spacing w:after="0" w:line="120"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In September 2020, Janssen Pharmaceutica, Janssen Pharmaceuticals, Inc., and Janssen Research &amp; Development, LLC initiated a patent infringement lawsuit in the U.S. District Court for the District of New Jersey (the “NJ District Court”) against Mylan Laboratories Limited (“Mylan Labs”) and other Mylan entities following the filing by Mylan Labs of an abbreviated new drug application (“ANDA”) seeking approval from the U.S. Food and Drug Administration (“FDA”) to market a generic version 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37" w:lineRule="exact"/>
        <w:rPr>
          <w:sz w:val="20"/>
          <w:szCs w:val="20"/>
          <w:color w:val="auto"/>
        </w:rPr>
      </w:pPr>
    </w:p>
    <w:p>
      <w:pPr>
        <w:ind w:left="640" w:right="719"/>
        <w:spacing w:after="0" w:line="262" w:lineRule="auto"/>
        <w:rPr>
          <w:sz w:val="20"/>
          <w:szCs w:val="20"/>
          <w:color w:val="auto"/>
        </w:rPr>
      </w:pPr>
      <w:r>
        <w:rPr>
          <w:rFonts w:ascii="Times New Roman" w:cs="Times New Roman" w:eastAsia="Times New Roman" w:hAnsi="Times New Roman"/>
          <w:sz w:val="14"/>
          <w:szCs w:val="14"/>
          <w:color w:val="auto"/>
        </w:rPr>
        <w:t>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In March 2025, the U.S. Court of Appeals for the Federal Circuit (the “Federal Circuit Court”) issued a decision affirming the NJ District Court opinion. In May 2025, Mylan Labs filed a petition for panel rehearing or rehearing en banc, and in July 2025, the petition was denied and the Federal Circuit Court issued a mandate to the NJ District Court which terminated the proceeding. The Company was not a party to this proceeding.</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u w:val="single" w:color="auto"/>
          <w:color w:val="auto"/>
        </w:rPr>
        <w:t>LYBALVI ANDA Litigation</w:t>
      </w:r>
    </w:p>
    <w:p>
      <w:pPr>
        <w:spacing w:after="0" w:line="131"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August 2025, Alkermes Pharma Ireland Limited (“APIL”) and Alkermes, Inc., two wholly-owned subsidiaries of the Company, filed a patent infringement lawsuit against Teva (as defined herein) in the NJ District Court and a patent infringement lawsuit against Apotex in each of the NJ District Court and the U.S. District Court for the District of Delaware. In September 2025, APIL and Alkermes, Inc. filed a patent infringement lawsuit against MSN (as defined herein) in the NJ District Court. As used herein, Teva refers to Teva Pharmaceuticals, Inc., Apotex refers to Apotex Inc. and Apotex Corp., and MSN refers to MSN Laboratories Private Limited (“MSN Labs”), MSN Pharmaceuticals, Inc. and Novadoz Pharmaceuticals LLC. These lawsuits were filed following receipt of a “paragraph IV certification” notice from each of Teva, Apotex and MSN Labs regarding their respective filings of an ANDA with the FDA seeking approval to engage in the commercial manufacture, use or sale of a generic version of LYBALVI (olanzapine and samidorphan tablets, 5mg/10mg, 10mg/10mg, 15mg/10mg and 20mg/10mg) in the U.S. prior to the expiration of certain of the Company’s U.S. patents. The notices alleged that certain of the Company’s patents related to LYBALVI, with expiration dates between 2032 and 2041, are invalid, unenforceable and/or will not be infringed by the commercial manufacture, use or sale of the proposed generic products. The Company intends to vigorously defend its intellectual property. The filing of each lawsuit within 45 days of receipt of each of the respective notices triggered stays of FDA approval of each of the respective ANDAs for up to 30 months in accordance with the U.S. Drug Price Competition and Patent Term Restoration Act of 1984 (the “Hatch-Waxman Act”).</w:t>
      </w:r>
    </w:p>
    <w:p>
      <w:pPr>
        <w:spacing w:after="0" w:line="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u w:val="single" w:color="auto"/>
          <w:color w:val="auto"/>
        </w:rPr>
        <w:t>Antitrust Class Action Litigation</w:t>
      </w:r>
    </w:p>
    <w:p>
      <w:pPr>
        <w:spacing w:after="0" w:line="131" w:lineRule="exact"/>
        <w:rPr>
          <w:sz w:val="20"/>
          <w:szCs w:val="20"/>
          <w:color w:val="auto"/>
        </w:rPr>
      </w:pPr>
    </w:p>
    <w:p>
      <w:pPr>
        <w:ind w:left="640" w:right="659" w:firstLine="258"/>
        <w:spacing w:after="0" w:line="262" w:lineRule="auto"/>
        <w:rPr>
          <w:sz w:val="20"/>
          <w:szCs w:val="20"/>
          <w:color w:val="auto"/>
        </w:rPr>
      </w:pPr>
      <w:r>
        <w:rPr>
          <w:rFonts w:ascii="Times New Roman" w:cs="Times New Roman" w:eastAsia="Times New Roman" w:hAnsi="Times New Roman"/>
          <w:sz w:val="14"/>
          <w:szCs w:val="14"/>
          <w:color w:val="auto"/>
        </w:rPr>
        <w:t>On October 2, 2025, Value Drug Company filed a complaint asserting antitrust claims against Alkermes, Inc. and APIL in the U.S. District Court for the District of Massachusetts (the “MA District Court”). The complaint was filed on behalf of a putative class of direct purchasers of VIVITROL and alleges that the Company’s U.S. Patent No. 7,919,499 related to VIVITROL was fraudulently obtained, improperly listed in the Orange Book, and wrongfully enforced, resulting in delayed market entry for generic forms of VIVITROL. The lawsuit seeks, among other things, unspecified money damages plus interest, reasonable attorneys’ fees and other costs. The Company intends to vigorously defend itself in this matter. On December 19, 2025, Alkermes, Inc. and APIL filed a motion to dismiss the complaint with the MA District Court.</w:t>
      </w:r>
    </w:p>
    <w:p>
      <w:pPr>
        <w:spacing w:after="0" w:line="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u w:val="single" w:color="auto"/>
          <w:color w:val="auto"/>
        </w:rPr>
        <w:t>Government Matters</w:t>
      </w:r>
    </w:p>
    <w:p>
      <w:pPr>
        <w:spacing w:after="0" w:line="120" w:lineRule="exact"/>
        <w:rPr>
          <w:sz w:val="20"/>
          <w:szCs w:val="20"/>
          <w:color w:val="auto"/>
        </w:rPr>
      </w:pPr>
    </w:p>
    <w:p>
      <w:pPr>
        <w:ind w:left="640" w:right="819" w:firstLine="258"/>
        <w:spacing w:after="0" w:line="292" w:lineRule="auto"/>
        <w:rPr>
          <w:sz w:val="20"/>
          <w:szCs w:val="20"/>
          <w:color w:val="auto"/>
        </w:rPr>
      </w:pPr>
      <w:r>
        <w:rPr>
          <w:rFonts w:ascii="Times New Roman" w:cs="Times New Roman" w:eastAsia="Times New Roman" w:hAnsi="Times New Roman"/>
          <w:sz w:val="14"/>
          <w:szCs w:val="14"/>
          <w:color w:val="auto"/>
        </w:rPr>
        <w:t>The Company has received a civil investigative demand from a U.S. state governmental authority. The Company is cooperating with the investigation.</w:t>
      </w:r>
    </w:p>
    <w:p>
      <w:pPr>
        <w:spacing w:after="0" w:line="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u w:val="single" w:color="auto"/>
          <w:color w:val="auto"/>
        </w:rPr>
        <w:t>Product Liability and Other Legal Proceedings</w:t>
      </w:r>
    </w:p>
    <w:p>
      <w:pPr>
        <w:spacing w:after="0" w:line="152" w:lineRule="exact"/>
        <w:rPr>
          <w:sz w:val="20"/>
          <w:szCs w:val="20"/>
          <w:color w:val="auto"/>
        </w:rPr>
      </w:pPr>
    </w:p>
    <w:p>
      <w:pPr>
        <w:ind w:left="640" w:right="999" w:firstLine="258"/>
        <w:spacing w:after="0" w:line="292" w:lineRule="auto"/>
        <w:rPr>
          <w:sz w:val="20"/>
          <w:szCs w:val="20"/>
          <w:color w:val="auto"/>
        </w:rPr>
      </w:pPr>
      <w:r>
        <w:rPr>
          <w:rFonts w:ascii="Times New Roman" w:cs="Times New Roman" w:eastAsia="Times New Roman" w:hAnsi="Times New Roman"/>
          <w:sz w:val="14"/>
          <w:szCs w:val="14"/>
          <w:color w:val="auto"/>
        </w:rPr>
        <w:t>The Company is involved in litigation and other legal proceedings incidental to its normal business activities. The Company intends to vigorously defend itself in these matters.</w:t>
      </w:r>
    </w:p>
    <w:p>
      <w:pPr>
        <w:spacing w:after="0" w:line="124" w:lineRule="exact"/>
        <w:rPr>
          <w:sz w:val="20"/>
          <w:szCs w:val="20"/>
          <w:color w:val="auto"/>
        </w:rPr>
      </w:pPr>
    </w:p>
    <w:p>
      <w:pPr>
        <w:ind w:left="640" w:right="679" w:firstLine="258"/>
        <w:spacing w:after="0" w:line="262" w:lineRule="auto"/>
        <w:rPr>
          <w:sz w:val="20"/>
          <w:szCs w:val="20"/>
          <w:color w:val="auto"/>
        </w:rPr>
      </w:pPr>
      <w:r>
        <w:rPr>
          <w:rFonts w:ascii="Times New Roman" w:cs="Times New Roman" w:eastAsia="Times New Roman" w:hAnsi="Times New Roman"/>
          <w:sz w:val="14"/>
          <w:szCs w:val="14"/>
          <w:color w:val="auto"/>
        </w:rPr>
        <w:t>In addition, in January 2023, Acorda Therapeutics, Inc.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Federal Circuit Court. In July 2025, the Federal Circuit Court transferred the appeal due to lack of jurisdiction to the U.S. Court of Appeals for the Second Circuit.</w:t>
      </w:r>
    </w:p>
    <w:p>
      <w:pPr>
        <w:spacing w:after="0" w:line="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Purchase Commitments</w:t>
      </w:r>
    </w:p>
    <w:p>
      <w:pPr>
        <w:spacing w:after="0" w:line="133"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Company has open purchase orders for plant and equipment as part of its normal course of business. At December 31, 2025, the Company’s open purchase orders were $17.7 million for capital commitments.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20" w:name="page121"/>
    <w:bookmarkEnd w:id="120"/>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0" w:lineRule="exact"/>
        <w:rPr>
          <w:sz w:val="20"/>
          <w:szCs w:val="20"/>
          <w:color w:val="auto"/>
        </w:rPr>
      </w:pPr>
    </w:p>
    <w:p>
      <w:pPr>
        <w:spacing w:after="0" w:line="2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DESCRIPTION OF ALKERMES PLC ORDINARY SHARES</w:t>
      </w:r>
    </w:p>
    <w:p>
      <w:pPr>
        <w:spacing w:after="0" w:line="108" w:lineRule="exact"/>
        <w:rPr>
          <w:sz w:val="20"/>
          <w:szCs w:val="20"/>
          <w:color w:val="auto"/>
        </w:rPr>
      </w:pPr>
    </w:p>
    <w:p>
      <w:pPr>
        <w:ind w:left="1160" w:right="1199" w:firstLine="351"/>
        <w:spacing w:after="0" w:line="242" w:lineRule="auto"/>
        <w:rPr>
          <w:sz w:val="20"/>
          <w:szCs w:val="20"/>
          <w:color w:val="auto"/>
        </w:rPr>
      </w:pPr>
      <w:r>
        <w:rPr>
          <w:rFonts w:ascii="Times New Roman" w:cs="Times New Roman" w:eastAsia="Times New Roman" w:hAnsi="Times New Roman"/>
          <w:sz w:val="16"/>
          <w:szCs w:val="16"/>
          <w:color w:val="auto"/>
        </w:rPr>
        <w:t>The following is a summary description of the ordinary shares of Alkermes plc. This summary does not purport to be complete and is qualified in its entirety by reference to the Irish Companies Act 2014 (the “Companies Act”) and the complete text of our memorandum and articles of association, as they may be amended from time to time (together, our “Constitution”). A copy of our Constitution is incorporated by reference as Exhibit 3.1 to the Annual Report on Form 10-K of which this Exhibit 4.1 is a part. You should read the Companies Act and our Constitution carefully. Use of terms such as “us,” “we,” “our,” “Alkermes” or the “Company” in this Exhibit 4.1 is meant to refer to Alkermes plc.</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Capital Structure</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Authorized Share Capital</w:t>
      </w:r>
    </w:p>
    <w:p>
      <w:pPr>
        <w:spacing w:after="0" w:line="110" w:lineRule="exact"/>
        <w:rPr>
          <w:sz w:val="20"/>
          <w:szCs w:val="20"/>
          <w:color w:val="auto"/>
        </w:rPr>
      </w:pPr>
    </w:p>
    <w:p>
      <w:pPr>
        <w:ind w:left="1160" w:right="1319" w:firstLine="351"/>
        <w:spacing w:after="0" w:line="247" w:lineRule="auto"/>
        <w:rPr>
          <w:sz w:val="20"/>
          <w:szCs w:val="20"/>
          <w:color w:val="auto"/>
        </w:rPr>
      </w:pPr>
      <w:r>
        <w:rPr>
          <w:rFonts w:ascii="Times New Roman" w:cs="Times New Roman" w:eastAsia="Times New Roman" w:hAnsi="Times New Roman"/>
          <w:sz w:val="16"/>
          <w:szCs w:val="16"/>
          <w:color w:val="auto"/>
        </w:rPr>
        <w:t>Our authorized share capital is €40,000 and $5,000,000, which is divided into 40,000 ordinary shares of €1.00 each, 450,000,000 ordinary shares of $0.01 each and 50,000,000 undesignated preferred shares of $0.01 each. Our ordinary shares are registered under Section 12(b) of the Securities Exchange Act of 1934, as amended.</w:t>
      </w:r>
    </w:p>
    <w:p>
      <w:pPr>
        <w:spacing w:after="0" w:line="91" w:lineRule="exact"/>
        <w:rPr>
          <w:sz w:val="20"/>
          <w:szCs w:val="20"/>
          <w:color w:val="auto"/>
        </w:rPr>
      </w:pPr>
    </w:p>
    <w:p>
      <w:pPr>
        <w:ind w:left="1160" w:right="1199" w:firstLine="351"/>
        <w:spacing w:after="0" w:line="258" w:lineRule="auto"/>
        <w:rPr>
          <w:sz w:val="20"/>
          <w:szCs w:val="20"/>
          <w:color w:val="auto"/>
        </w:rPr>
      </w:pPr>
      <w:r>
        <w:rPr>
          <w:rFonts w:ascii="Times New Roman" w:cs="Times New Roman" w:eastAsia="Times New Roman" w:hAnsi="Times New Roman"/>
          <w:sz w:val="15"/>
          <w:szCs w:val="15"/>
          <w:color w:val="auto"/>
        </w:rPr>
        <w:t>We may issue shares subject to the maximum authorized share capital contained in our Constitution, and subject to the issuance and allotment authorities approved by our shareholders. Our authorized share capital may be increased or reduced by a resolution approved by a simple majority of the votes of our shareholders cast in person or by proxy at a general meeting (referred to under Irish law as an “ordinary resolution”). As a matter of Irish law, the board of directors of a public limited company (“plc”) like Alkermes may issue new ordinary or preferred shares without shareholder approval once authorized to do so by the company’s constitution or by an ordinary resolution adopted by the company’s shareholders at a general meeting. The authorization may be granted for a maximum period of five years, after which it must be renewed by the shareholders by an ordinary resolution. In May 2025, our shareholders authorized our board of directors (the “Board”) to allot and issue shares in an amount equal to approximately 20% of our issued share capital as of April 1, 2025. This current authorization extends until November 21, 2026, at which point it will lapse unless renewed by our shareholders.</w:t>
      </w:r>
    </w:p>
    <w:p>
      <w:pPr>
        <w:spacing w:after="0" w:line="84" w:lineRule="exact"/>
        <w:rPr>
          <w:sz w:val="20"/>
          <w:szCs w:val="20"/>
          <w:color w:val="auto"/>
        </w:rPr>
      </w:pPr>
    </w:p>
    <w:p>
      <w:pPr>
        <w:ind w:left="1160" w:right="1179" w:firstLine="351"/>
        <w:spacing w:after="0" w:line="241" w:lineRule="auto"/>
        <w:rPr>
          <w:sz w:val="20"/>
          <w:szCs w:val="20"/>
          <w:color w:val="auto"/>
        </w:rPr>
      </w:pPr>
      <w:r>
        <w:rPr>
          <w:rFonts w:ascii="Times New Roman" w:cs="Times New Roman" w:eastAsia="Times New Roman" w:hAnsi="Times New Roman"/>
          <w:sz w:val="16"/>
          <w:szCs w:val="16"/>
          <w:color w:val="auto"/>
        </w:rPr>
        <w:t>The rights and restrictions applicable to our ordinary shares are prescribed in our Constitution. Our Constitution permits the Board, without shareholder approval, to determine the terms of any preferred shares issued by us. Our Board is authorized, without obtaining any vote or consent of the holders of any class or series of shares, unless expressly provided by the terms of that class or series of shares, to provide from time to time for the issuance of other classes or series of preferred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88" w:lineRule="exact"/>
        <w:rPr>
          <w:sz w:val="20"/>
          <w:szCs w:val="20"/>
          <w:color w:val="auto"/>
        </w:rPr>
      </w:pPr>
    </w:p>
    <w:p>
      <w:pPr>
        <w:jc w:val="both"/>
        <w:ind w:left="1160" w:right="1199" w:firstLine="351"/>
        <w:spacing w:after="0" w:line="252" w:lineRule="auto"/>
        <w:rPr>
          <w:sz w:val="20"/>
          <w:szCs w:val="20"/>
          <w:color w:val="auto"/>
        </w:rPr>
      </w:pPr>
      <w:r>
        <w:rPr>
          <w:rFonts w:ascii="Times New Roman" w:cs="Times New Roman" w:eastAsia="Times New Roman" w:hAnsi="Times New Roman"/>
          <w:sz w:val="16"/>
          <w:szCs w:val="16"/>
          <w:color w:val="auto"/>
        </w:rPr>
        <w:t>Irish law does not recognize fractional shares held of record. Accordingly, our Constitution does not provide for the issuance of fractional shares, and our official Irish register of members (shareholders) will not reflect any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763270</wp:posOffset>
            </wp:positionV>
            <wp:extent cx="560387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3" w:right="1440" w:bottom="1440" w:gutter="0" w:footer="0" w:header="0"/>
        </w:sectPr>
      </w:pPr>
    </w:p>
    <w:bookmarkStart w:id="121" w:name="page122"/>
    <w:bookmarkEnd w:id="121"/>
    <w:p>
      <w:pPr>
        <w:ind w:left="1160"/>
        <w:spacing w:after="0"/>
        <w:rPr>
          <w:sz w:val="20"/>
          <w:szCs w:val="20"/>
          <w:color w:val="auto"/>
        </w:rPr>
      </w:pPr>
      <w:r>
        <w:rPr>
          <w:rFonts w:ascii="Times New Roman" w:cs="Times New Roman" w:eastAsia="Times New Roman" w:hAnsi="Times New Roman"/>
          <w:sz w:val="16"/>
          <w:szCs w:val="16"/>
          <w:b w:val="1"/>
          <w:bCs w:val="1"/>
          <w:color w:val="auto"/>
        </w:rPr>
        <w:t>Pre-emption Rights, Warrants and Options</w:t>
      </w:r>
    </w:p>
    <w:p>
      <w:pPr>
        <w:spacing w:after="0" w:line="119" w:lineRule="exact"/>
        <w:rPr>
          <w:sz w:val="20"/>
          <w:szCs w:val="20"/>
          <w:color w:val="auto"/>
        </w:rPr>
      </w:pPr>
    </w:p>
    <w:p>
      <w:pPr>
        <w:ind w:left="1160" w:right="1179" w:firstLine="351"/>
        <w:spacing w:after="0"/>
        <w:rPr>
          <w:sz w:val="20"/>
          <w:szCs w:val="20"/>
          <w:color w:val="auto"/>
        </w:rPr>
      </w:pPr>
      <w:r>
        <w:rPr>
          <w:rFonts w:ascii="Times New Roman" w:cs="Times New Roman" w:eastAsia="Times New Roman" w:hAnsi="Times New Roman"/>
          <w:sz w:val="16"/>
          <w:szCs w:val="16"/>
          <w:color w:val="auto"/>
        </w:rPr>
        <w:t>Under Irish law, unless otherwise authorized, when an Irish plc issues shares for cash to new shareholders, it is required to first offer those shares on the same or more favorable terms to existing shareholders of the company on a pro rata basis (commonly referred to as the “statutory pre-emption right”). However, Irish law permits such companies to opt out of the statutory pre-emption right for a period of up to five years if authorized by a resolution approved by not less than 75% of the votes of the company’s shareholders cast in person or by proxy at a general meeting (referred to under Irish law as a “special resolution”). In May 2025, our shareholders authorized our Board to allot and issue shares for cash on a non-pre-emptive basis up to the amount of approximately 20% of our issued share capital as of April 1, 2025. This current authorization extends until November 21, 2026, at which point it will lapse unless renewed by our shareholders. The statutory pre-emption right does not apply where shares are issued for non-cash consideration (such as in a stock-for-stock acquisition) and does not apply to the issue of non-equity shares (that is, shares that have the right to participate only up to a specified amount in any income or capital distribution) or where shares are issued pursuant to an employee stock option or similar equity plan.</w:t>
      </w:r>
    </w:p>
    <w:p>
      <w:pPr>
        <w:spacing w:after="0" w:line="98" w:lineRule="exact"/>
        <w:rPr>
          <w:sz w:val="20"/>
          <w:szCs w:val="20"/>
          <w:color w:val="auto"/>
        </w:rPr>
      </w:pPr>
    </w:p>
    <w:p>
      <w:pPr>
        <w:ind w:left="1160" w:right="1179" w:firstLine="351"/>
        <w:spacing w:after="0" w:line="258" w:lineRule="auto"/>
        <w:rPr>
          <w:sz w:val="20"/>
          <w:szCs w:val="20"/>
          <w:color w:val="auto"/>
        </w:rPr>
      </w:pPr>
      <w:r>
        <w:rPr>
          <w:rFonts w:ascii="Times New Roman" w:cs="Times New Roman" w:eastAsia="Times New Roman" w:hAnsi="Times New Roman"/>
          <w:sz w:val="15"/>
          <w:szCs w:val="15"/>
          <w:color w:val="auto"/>
        </w:rPr>
        <w:t>Our Constitution provides that, subject to any shareholder approval requirement under any laws, regulations or the stock exchange rules to which we are subject, the Board is authorized, from time to time, in its discretion, to grant to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Companies Act provides that a board of directors may issue warrants or options without shareholder approval once authorized to do so by its constitution or an ordinary resolution of shareholders. We are subject to the applicable rules and regulations of The Nasdaq Stock Market (“Nasdaq”) and the Internal Revenue Code of 1986, as amended, that require shareholder approval of certain equity plan and share issuances. Our Board may issue shares upon exercises of warrants or options without shareholder approval or authorization (up to the relevant authorized share capital limit).</w:t>
      </w:r>
    </w:p>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19" w:lineRule="exact"/>
        <w:rPr>
          <w:sz w:val="20"/>
          <w:szCs w:val="20"/>
          <w:color w:val="auto"/>
        </w:rPr>
      </w:pPr>
    </w:p>
    <w:p>
      <w:pPr>
        <w:ind w:left="1160" w:right="1279" w:firstLine="351"/>
        <w:spacing w:after="0" w:line="241" w:lineRule="auto"/>
        <w:rPr>
          <w:sz w:val="20"/>
          <w:szCs w:val="20"/>
          <w:color w:val="auto"/>
        </w:rPr>
      </w:pPr>
      <w:r>
        <w:rPr>
          <w:rFonts w:ascii="Times New Roman" w:cs="Times New Roman" w:eastAsia="Times New Roman" w:hAnsi="Times New Roman"/>
          <w:sz w:val="16"/>
          <w:szCs w:val="16"/>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does not reduce our net assets below such aggregate. Undistributable reserves include: (i) our undenominated capital; (ii) the amount by which our accumulated unrealized profits, so far as not previously utilized by any capitalization, exceed our accumulated unrealized losses, so far as not previously written off in a reduction or reorganization of capital; and (iii) any other reserve we are prohibited, at law, from distributing.</w:t>
      </w:r>
    </w:p>
    <w:p>
      <w:pPr>
        <w:spacing w:after="0" w:line="98" w:lineRule="exact"/>
        <w:rPr>
          <w:sz w:val="20"/>
          <w:szCs w:val="20"/>
          <w:color w:val="auto"/>
        </w:rPr>
      </w:pPr>
    </w:p>
    <w:p>
      <w:pPr>
        <w:ind w:left="1160" w:right="1299" w:firstLine="351"/>
        <w:spacing w:after="0" w:line="263" w:lineRule="auto"/>
        <w:rPr>
          <w:sz w:val="20"/>
          <w:szCs w:val="20"/>
          <w:color w:val="auto"/>
        </w:rPr>
      </w:pPr>
      <w:r>
        <w:rPr>
          <w:rFonts w:ascii="Times New Roman" w:cs="Times New Roman" w:eastAsia="Times New Roman" w:hAnsi="Times New Roman"/>
          <w:sz w:val="15"/>
          <w:szCs w:val="15"/>
          <w:color w:val="auto"/>
        </w:rPr>
        <w:t>The determination as to whether or not we have sufficient distributable reserves to fund a dividend must be made by reference to our “relevant accounts.” The “relevant accounts” will be either the last set of unconsolidated annual audited financial statements or other financial statements properly prepared in accordance with the Companies Act, which give a “true and fair view” of our unconsolidated financial position and accord with accepted accounting practice. The relevant accounts must be filed in the Companies Registration Office (the official public registry for companies in Ireland).</w:t>
      </w:r>
    </w:p>
    <w:p>
      <w:pPr>
        <w:spacing w:after="0" w:line="69" w:lineRule="exact"/>
        <w:rPr>
          <w:sz w:val="20"/>
          <w:szCs w:val="20"/>
          <w:color w:val="auto"/>
        </w:rPr>
      </w:pPr>
    </w:p>
    <w:p>
      <w:pPr>
        <w:ind w:left="1160" w:right="1199" w:firstLine="351"/>
        <w:spacing w:after="0" w:line="277" w:lineRule="auto"/>
        <w:rPr>
          <w:sz w:val="20"/>
          <w:szCs w:val="20"/>
          <w:color w:val="auto"/>
        </w:rPr>
      </w:pPr>
      <w:r>
        <w:rPr>
          <w:rFonts w:ascii="Times New Roman" w:cs="Times New Roman" w:eastAsia="Times New Roman" w:hAnsi="Times New Roman"/>
          <w:sz w:val="15"/>
          <w:szCs w:val="15"/>
          <w:color w:val="auto"/>
        </w:rPr>
        <w:t>Our Constitution authorizes the Board to declare dividends out of funds lawfully available for distribution without shareholder approval to the extent they appear justified by the profits of the Company. The Board may also recommend a dividend to be approved and declared by the shareholders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751840</wp:posOffset>
            </wp:positionV>
            <wp:extent cx="560387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3" w:right="1440" w:bottom="1440" w:gutter="0" w:footer="0" w:header="0"/>
        </w:sectPr>
      </w:pPr>
    </w:p>
    <w:bookmarkStart w:id="122" w:name="page123"/>
    <w:bookmarkEnd w:id="122"/>
    <w:p>
      <w:pPr>
        <w:ind w:left="1160" w:right="1179"/>
        <w:spacing w:after="0" w:line="247" w:lineRule="auto"/>
        <w:rPr>
          <w:sz w:val="20"/>
          <w:szCs w:val="20"/>
          <w:color w:val="auto"/>
        </w:rPr>
      </w:pPr>
      <w:r>
        <w:rPr>
          <w:rFonts w:ascii="Times New Roman" w:cs="Times New Roman" w:eastAsia="Times New Roman" w:hAnsi="Times New Roman"/>
          <w:sz w:val="16"/>
          <w:szCs w:val="16"/>
          <w:color w:val="auto"/>
        </w:rPr>
        <w:t>a general meeting. The Board may direct that the payment of a dividend be made by distribution of assets, shares or cash, and no dividend issued may exceed the amount recommended by the Board. Dividends may be declared and paid in the form of cash or non-cash assets and may be paid in United States Dollars or any other currency.</w:t>
      </w:r>
    </w:p>
    <w:p>
      <w:pPr>
        <w:spacing w:after="0" w:line="91" w:lineRule="exact"/>
        <w:rPr>
          <w:sz w:val="20"/>
          <w:szCs w:val="20"/>
          <w:color w:val="auto"/>
        </w:rPr>
      </w:pPr>
    </w:p>
    <w:p>
      <w:pPr>
        <w:ind w:left="1160" w:right="1259" w:firstLine="351"/>
        <w:spacing w:after="0" w:line="267" w:lineRule="auto"/>
        <w:rPr>
          <w:sz w:val="20"/>
          <w:szCs w:val="20"/>
          <w:color w:val="auto"/>
        </w:rPr>
      </w:pPr>
      <w:r>
        <w:rPr>
          <w:rFonts w:ascii="Times New Roman" w:cs="Times New Roman" w:eastAsia="Times New Roman" w:hAnsi="Times New Roman"/>
          <w:sz w:val="16"/>
          <w:szCs w:val="16"/>
          <w:color w:val="auto"/>
        </w:rPr>
        <w:t>Our Board may deduct from any dividend payable to any shareholder any amounts payable by such shareholder to us in relation to our shares.</w:t>
      </w:r>
    </w:p>
    <w:p>
      <w:pPr>
        <w:spacing w:after="0" w:line="74" w:lineRule="exact"/>
        <w:rPr>
          <w:sz w:val="20"/>
          <w:szCs w:val="20"/>
          <w:color w:val="auto"/>
        </w:rPr>
      </w:pPr>
    </w:p>
    <w:p>
      <w:pPr>
        <w:ind w:left="1160" w:right="1219" w:firstLine="351"/>
        <w:spacing w:after="0" w:line="247" w:lineRule="auto"/>
        <w:rPr>
          <w:sz w:val="20"/>
          <w:szCs w:val="20"/>
          <w:color w:val="auto"/>
        </w:rPr>
      </w:pPr>
      <w:r>
        <w:rPr>
          <w:rFonts w:ascii="Times New Roman" w:cs="Times New Roman" w:eastAsia="Times New Roman" w:hAnsi="Times New Roman"/>
          <w:sz w:val="16"/>
          <w:szCs w:val="16"/>
          <w:color w:val="auto"/>
        </w:rPr>
        <w:t>The Board may also authorize us to issue shares with preferred rights to participate in dividends we declare. The holders of preferred shares may, depending on their terms, rank senior to our ordinary shares in terms of dividend rights and/or be entitled to claim arrears of a declared dividend out of subsequently declared dividends in priority to ordinary shareholders.</w:t>
      </w:r>
    </w:p>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Share Repurchases, Redemptions and Conversions</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21" w:lineRule="exact"/>
        <w:rPr>
          <w:sz w:val="20"/>
          <w:szCs w:val="20"/>
          <w:color w:val="auto"/>
        </w:rPr>
      </w:pPr>
    </w:p>
    <w:p>
      <w:pPr>
        <w:ind w:left="1160" w:right="1219" w:firstLine="351"/>
        <w:spacing w:after="0" w:line="259" w:lineRule="auto"/>
        <w:rPr>
          <w:sz w:val="20"/>
          <w:szCs w:val="20"/>
          <w:color w:val="auto"/>
        </w:rPr>
      </w:pPr>
      <w:r>
        <w:rPr>
          <w:rFonts w:ascii="Times New Roman" w:cs="Times New Roman" w:eastAsia="Times New Roman" w:hAnsi="Times New Roman"/>
          <w:sz w:val="15"/>
          <w:szCs w:val="15"/>
          <w:color w:val="auto"/>
        </w:rPr>
        <w:t xml:space="preserve">Our Constitution provides that any ordinary share that we have agreed to acquire shall be deemed to be a redeemable share, unless the Board elects to treat such share acquisition otherwise. Accordingly, for Irish law purposes, repurchases of ordinary shares by us are effected as redemptions of those shares as described below under </w:t>
      </w:r>
      <w:r>
        <w:rPr>
          <w:rFonts w:ascii="Times New Roman" w:cs="Times New Roman" w:eastAsia="Times New Roman" w:hAnsi="Times New Roman"/>
          <w:sz w:val="15"/>
          <w:szCs w:val="15"/>
          <w:i w:val="1"/>
          <w:iCs w:val="1"/>
          <w:color w:val="auto"/>
        </w:rPr>
        <w:t>“—Our Repurchases and Redemptions.”</w:t>
      </w:r>
      <w:r>
        <w:rPr>
          <w:rFonts w:ascii="Times New Roman" w:cs="Times New Roman" w:eastAsia="Times New Roman" w:hAnsi="Times New Roman"/>
          <w:sz w:val="15"/>
          <w:szCs w:val="15"/>
          <w:color w:val="auto"/>
        </w:rPr>
        <w:t xml:space="preserve"> If our Constitution did not contain such provision, our repurchases would be subject to many of the same rules that apply to purchases of our ordinary shares by subsidiaries described below under </w:t>
      </w:r>
      <w:r>
        <w:rPr>
          <w:rFonts w:ascii="Times New Roman" w:cs="Times New Roman" w:eastAsia="Times New Roman" w:hAnsi="Times New Roman"/>
          <w:sz w:val="15"/>
          <w:szCs w:val="15"/>
          <w:i w:val="1"/>
          <w:iCs w:val="1"/>
          <w:color w:val="auto"/>
        </w:rPr>
        <w:t>“—Purchases by Our Subsidiaries”</w:t>
      </w:r>
      <w:r>
        <w:rPr>
          <w:rFonts w:ascii="Times New Roman" w:cs="Times New Roman" w:eastAsia="Times New Roman" w:hAnsi="Times New Roman"/>
          <w:sz w:val="15"/>
          <w:szCs w:val="15"/>
          <w:color w:val="auto"/>
        </w:rPr>
        <w:t xml:space="preserve"> including the shareholder approval requirements described below and the requirement that any open-market purchases be effected on a “recognized stock exchange.” Except where otherwise noted, references herein to repurchasing our ordinary shares refer to our or one of our subsidiaries’ redemption of ordinary shares, in each case in accordance with our Constitution and Irish law as described below.</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Repurchases and Redemptions</w:t>
      </w:r>
    </w:p>
    <w:p>
      <w:pPr>
        <w:spacing w:after="0" w:line="121" w:lineRule="exact"/>
        <w:rPr>
          <w:sz w:val="20"/>
          <w:szCs w:val="20"/>
          <w:color w:val="auto"/>
        </w:rPr>
      </w:pPr>
    </w:p>
    <w:p>
      <w:pPr>
        <w:ind w:left="1160" w:right="1179" w:firstLine="351"/>
        <w:spacing w:after="0" w:line="242" w:lineRule="auto"/>
        <w:rPr>
          <w:sz w:val="20"/>
          <w:szCs w:val="20"/>
          <w:color w:val="auto"/>
        </w:rPr>
      </w:pPr>
      <w:r>
        <w:rPr>
          <w:rFonts w:ascii="Times New Roman" w:cs="Times New Roman" w:eastAsia="Times New Roman" w:hAnsi="Times New Roman"/>
          <w:sz w:val="16"/>
          <w:szCs w:val="16"/>
          <w:color w:val="auto"/>
        </w:rPr>
        <w:t xml:space="preserve">Under Irish law, a company may issue redeemable shares and redeem them out of distributable reserves or the proceeds of a new issue of shares for that purpose. Please see also the </w:t>
      </w: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xml:space="preserve"> section above. We may only issue redeemable shares if the nominal value of the issued share capital that is not redeemable is not less than 10% of the nominal value of our total issued share capital. All redeemable shares must also be fully paid. Redeemable shares may, upon redemption, be canceled or held in treasury. Based on the provision of our Constitution described above, shareholder approval is not required to redeem our shares.</w:t>
      </w:r>
    </w:p>
    <w:p>
      <w:pPr>
        <w:spacing w:after="0" w:line="97" w:lineRule="exact"/>
        <w:rPr>
          <w:sz w:val="20"/>
          <w:szCs w:val="20"/>
          <w:color w:val="auto"/>
        </w:rPr>
      </w:pPr>
    </w:p>
    <w:p>
      <w:pPr>
        <w:jc w:val="both"/>
        <w:ind w:left="1160" w:right="1279" w:firstLine="351"/>
        <w:spacing w:after="0" w:line="252" w:lineRule="auto"/>
        <w:rPr>
          <w:sz w:val="20"/>
          <w:szCs w:val="20"/>
          <w:color w:val="auto"/>
        </w:rPr>
      </w:pPr>
      <w:r>
        <w:rPr>
          <w:rFonts w:ascii="Times New Roman" w:cs="Times New Roman" w:eastAsia="Times New Roman" w:hAnsi="Times New Roman"/>
          <w:sz w:val="16"/>
          <w:szCs w:val="16"/>
          <w:color w:val="auto"/>
        </w:rPr>
        <w:t>We may also be given an additional general authority to purchase our own shares on-market which would take effect on the same terms and be subject to the same conditions as applicable to purchases by our subsidiaries as described below.</w:t>
      </w:r>
    </w:p>
    <w:p>
      <w:pPr>
        <w:spacing w:after="0" w:line="76" w:lineRule="exact"/>
        <w:rPr>
          <w:sz w:val="20"/>
          <w:szCs w:val="20"/>
          <w:color w:val="auto"/>
        </w:rPr>
      </w:pPr>
    </w:p>
    <w:p>
      <w:pPr>
        <w:jc w:val="both"/>
        <w:ind w:left="1160" w:right="1319" w:firstLine="351"/>
        <w:spacing w:after="0" w:line="252" w:lineRule="auto"/>
        <w:rPr>
          <w:sz w:val="20"/>
          <w:szCs w:val="20"/>
          <w:color w:val="auto"/>
        </w:rPr>
      </w:pPr>
      <w:r>
        <w:rPr>
          <w:rFonts w:ascii="Times New Roman" w:cs="Times New Roman" w:eastAsia="Times New Roman" w:hAnsi="Times New Roman"/>
          <w:sz w:val="16"/>
          <w:szCs w:val="16"/>
          <w:color w:val="auto"/>
        </w:rPr>
        <w:t xml:space="preserve">Our Board may also issue preferred shares that may be redeemed at our option or the option of the preferred shareholder, depending on the terms of such preferred shares. Please see </w:t>
      </w:r>
      <w:r>
        <w:rPr>
          <w:rFonts w:ascii="Times New Roman" w:cs="Times New Roman" w:eastAsia="Times New Roman" w:hAnsi="Times New Roman"/>
          <w:sz w:val="16"/>
          <w:szCs w:val="16"/>
          <w:i w:val="1"/>
          <w:iCs w:val="1"/>
          <w:color w:val="auto"/>
        </w:rPr>
        <w:t>“—Authorized Share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Capital” </w:t>
      </w:r>
      <w:r>
        <w:rPr>
          <w:rFonts w:ascii="Times New Roman" w:cs="Times New Roman" w:eastAsia="Times New Roman" w:hAnsi="Times New Roman"/>
          <w:sz w:val="16"/>
          <w:szCs w:val="16"/>
          <w:color w:val="auto"/>
        </w:rPr>
        <w:t>above for additional information on preferred shares.</w:t>
      </w:r>
    </w:p>
    <w:p>
      <w:pPr>
        <w:spacing w:after="0" w:line="86" w:lineRule="exact"/>
        <w:rPr>
          <w:sz w:val="20"/>
          <w:szCs w:val="20"/>
          <w:color w:val="auto"/>
        </w:rPr>
      </w:pPr>
    </w:p>
    <w:p>
      <w:pPr>
        <w:ind w:left="1160" w:right="1239" w:firstLine="351"/>
        <w:spacing w:after="0" w:line="247" w:lineRule="auto"/>
        <w:rPr>
          <w:sz w:val="20"/>
          <w:szCs w:val="20"/>
          <w:color w:val="auto"/>
        </w:rPr>
      </w:pPr>
      <w:r>
        <w:rPr>
          <w:rFonts w:ascii="Times New Roman" w:cs="Times New Roman" w:eastAsia="Times New Roman" w:hAnsi="Times New Roman"/>
          <w:sz w:val="16"/>
          <w:szCs w:val="16"/>
          <w:color w:val="auto"/>
        </w:rPr>
        <w:t>Under Irish law, repurchased and redeemed shares may be canceled or held as treasury shares. The nominal value of treasury shares held by us at any time must not exceed 10% of the nominal value of our issued share capital. We may not exercise any voting rights in respect of any shares held as treasury shares. Treasury shares may be canceled by us or re-issued subject to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766445</wp:posOffset>
            </wp:positionV>
            <wp:extent cx="560387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23" w:name="page124"/>
    <w:bookmarkEnd w:id="123"/>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Purchases by Our Subsidiaries</w:t>
      </w:r>
    </w:p>
    <w:p>
      <w:pPr>
        <w:spacing w:after="0" w:line="121" w:lineRule="exact"/>
        <w:rPr>
          <w:sz w:val="20"/>
          <w:szCs w:val="20"/>
          <w:color w:val="auto"/>
        </w:rPr>
      </w:pPr>
    </w:p>
    <w:p>
      <w:pPr>
        <w:ind w:left="1160" w:right="1259" w:firstLine="351"/>
        <w:spacing w:after="0" w:line="241" w:lineRule="auto"/>
        <w:rPr>
          <w:sz w:val="20"/>
          <w:szCs w:val="20"/>
          <w:color w:val="auto"/>
        </w:rPr>
      </w:pPr>
      <w:r>
        <w:rPr>
          <w:rFonts w:ascii="Times New Roman" w:cs="Times New Roman" w:eastAsia="Times New Roman" w:hAnsi="Times New Roman"/>
          <w:sz w:val="16"/>
          <w:szCs w:val="16"/>
          <w:color w:val="auto"/>
        </w:rPr>
        <w:t>Under Irish law, a subsidiary may purchase our shares either on-market (an overseas market purchase) or off-market. For one of our subsidiaries to make on-market purchases of our ordinary shares, our shareholders must provide general authorization for such purchase by way of ordinary resolution. However, as long as this general authority has been granted, no specific shareholder authority is required for a particular on-market purchase of our ordinary shares by one of our subsidiaries. For an off-market purchase by one of our subsidiaries, the proposed purchase contract must be authorized by special resolution of our shareholders before the contract is entered into. The person whose shares are to be bought back cannot vote in favor of the special resolution and, for at least 21 days prior to the special resolution being passed, the purchase contract must be on display or must be available for inspection by shareholders at our registered office.</w:t>
      </w:r>
    </w:p>
    <w:p>
      <w:pPr>
        <w:spacing w:after="0" w:line="96" w:lineRule="exact"/>
        <w:rPr>
          <w:sz w:val="20"/>
          <w:szCs w:val="20"/>
          <w:color w:val="auto"/>
        </w:rPr>
      </w:pPr>
    </w:p>
    <w:p>
      <w:pPr>
        <w:ind w:left="1160" w:right="1279" w:firstLine="351"/>
        <w:spacing w:after="0" w:line="252" w:lineRule="auto"/>
        <w:rPr>
          <w:sz w:val="20"/>
          <w:szCs w:val="20"/>
          <w:color w:val="auto"/>
        </w:rPr>
      </w:pPr>
      <w:r>
        <w:rPr>
          <w:rFonts w:ascii="Times New Roman" w:cs="Times New Roman" w:eastAsia="Times New Roman" w:hAnsi="Times New Roman"/>
          <w:sz w:val="16"/>
          <w:szCs w:val="16"/>
          <w:color w:val="auto"/>
        </w:rPr>
        <w:t>In order for one of our subsidiaries to make an overseas market purchase of our shares, such shares must be purchased on a “recognized stock exchange.” The Nasdaq Global Select Market, on which our shares are listed, is specified as a recognized stock exchange for this purpose by Irish law.</w:t>
      </w:r>
    </w:p>
    <w:p>
      <w:pPr>
        <w:spacing w:after="0" w:line="76" w:lineRule="exact"/>
        <w:rPr>
          <w:sz w:val="20"/>
          <w:szCs w:val="20"/>
          <w:color w:val="auto"/>
        </w:rPr>
      </w:pPr>
    </w:p>
    <w:p>
      <w:pPr>
        <w:ind w:left="1160" w:right="1199" w:firstLine="351"/>
        <w:spacing w:after="0" w:line="247" w:lineRule="auto"/>
        <w:rPr>
          <w:sz w:val="20"/>
          <w:szCs w:val="20"/>
          <w:color w:val="auto"/>
        </w:rPr>
      </w:pPr>
      <w:r>
        <w:rPr>
          <w:rFonts w:ascii="Times New Roman" w:cs="Times New Roman" w:eastAsia="Times New Roman" w:hAnsi="Times New Roman"/>
          <w:sz w:val="16"/>
          <w:szCs w:val="16"/>
          <w:color w:val="auto"/>
        </w:rPr>
        <w:t>The number of shares held by our subsidiaries at any time will be included in any calculation of the permitted treasury share threshold of 10% of the nominal value of our issued share capital. While a subsidiary holds our shares, it cannot exercise any voting rights in respect of those shares. The acquisition of our shares by a subsidiary must be funded out of distributable reserves of the subsidiary.</w:t>
      </w:r>
    </w:p>
    <w:p>
      <w:pPr>
        <w:spacing w:after="0" w:line="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21" w:lineRule="exact"/>
        <w:rPr>
          <w:sz w:val="20"/>
          <w:szCs w:val="20"/>
          <w:color w:val="auto"/>
        </w:rPr>
      </w:pPr>
    </w:p>
    <w:p>
      <w:pPr>
        <w:ind w:left="1160" w:right="1199" w:firstLine="351"/>
        <w:spacing w:after="0"/>
        <w:rPr>
          <w:sz w:val="20"/>
          <w:szCs w:val="20"/>
          <w:color w:val="auto"/>
        </w:rPr>
      </w:pPr>
      <w:r>
        <w:rPr>
          <w:rFonts w:ascii="Times New Roman" w:cs="Times New Roman" w:eastAsia="Times New Roman" w:hAnsi="Times New Roman"/>
          <w:sz w:val="16"/>
          <w:szCs w:val="16"/>
          <w:color w:val="auto"/>
        </w:rPr>
        <w:t>On February 15, 2024, our Board authorized a share repurchase program to repurchase our ordinary shares in an aggregate amount of up to $400.0 million (exclusive of any fees, commissions or other expenses related to such repurchases) from time to time on the open market (the “Repurchase Program”), with the timing and amount of any repurchases under the Repurchase Program to be based on a variety of factors, including but not limited to ongoing assessments of our capital needs, alternative investment opportunities, the market price of our ordinary shares and general market conditions. The Repurchase Program has no set expiration date and may be suspended or discontinued at any time. During the year ended December 31, 2025, we did not repurchase any of our ordinary shares under the Repurchase Program. During the year ended December 31, 2024, we repurchased approximately 7.9 million of our ordinary shares under the Repurchase Program at an average price of $25.33, at a total cost (exclusive of any fees, commissions or other expenses related to such repurchase) of $200.0 million. All ordinary shares repurchased were returned to treasury. As of December 31, 2025, the remaining amount authorized under the Repurchase Program was $200.0 million.</w:t>
      </w:r>
    </w:p>
    <w:p>
      <w:pPr>
        <w:spacing w:after="0" w:line="89" w:lineRule="exact"/>
        <w:rPr>
          <w:sz w:val="20"/>
          <w:szCs w:val="20"/>
          <w:color w:val="auto"/>
        </w:rPr>
      </w:pPr>
    </w:p>
    <w:p>
      <w:pPr>
        <w:ind w:left="1160" w:right="1439" w:firstLine="351"/>
        <w:spacing w:after="0" w:line="252" w:lineRule="auto"/>
        <w:rPr>
          <w:sz w:val="20"/>
          <w:szCs w:val="20"/>
          <w:color w:val="auto"/>
        </w:rPr>
      </w:pPr>
      <w:r>
        <w:rPr>
          <w:rFonts w:ascii="Times New Roman" w:cs="Times New Roman" w:eastAsia="Times New Roman" w:hAnsi="Times New Roman"/>
          <w:sz w:val="16"/>
          <w:szCs w:val="16"/>
          <w:color w:val="auto"/>
        </w:rPr>
        <w:t>As noted above, shareholder approval for repurchases under the Repurchase Program will not be required because all repurchases of our shares under the Repurchase Program will be effected as redemptions by the Company pursuant to our Constitution.</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Bonus Shares</w:t>
      </w:r>
    </w:p>
    <w:p>
      <w:pPr>
        <w:spacing w:after="0" w:line="119" w:lineRule="exact"/>
        <w:rPr>
          <w:sz w:val="20"/>
          <w:szCs w:val="20"/>
          <w:color w:val="auto"/>
        </w:rPr>
      </w:pPr>
    </w:p>
    <w:p>
      <w:pPr>
        <w:ind w:left="1160" w:right="1179" w:firstLine="351"/>
        <w:spacing w:after="0" w:line="243" w:lineRule="auto"/>
        <w:rPr>
          <w:sz w:val="20"/>
          <w:szCs w:val="20"/>
          <w:color w:val="auto"/>
        </w:rPr>
      </w:pPr>
      <w:r>
        <w:rPr>
          <w:rFonts w:ascii="Times New Roman" w:cs="Times New Roman" w:eastAsia="Times New Roman" w:hAnsi="Times New Roman"/>
          <w:sz w:val="16"/>
          <w:szCs w:val="16"/>
          <w:color w:val="auto"/>
        </w:rPr>
        <w:t>Under our Constitution, the Board may resolve to capitalize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capitalization to pay up any shares of the Company and allot them, credited as fully paid, to any holders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762635</wp:posOffset>
            </wp:positionV>
            <wp:extent cx="560387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24" w:name="page125"/>
    <w:bookmarkEnd w:id="124"/>
    <w:p>
      <w:pPr>
        <w:ind w:left="1160"/>
        <w:spacing w:after="0"/>
        <w:rPr>
          <w:sz w:val="20"/>
          <w:szCs w:val="20"/>
          <w:color w:val="auto"/>
        </w:rPr>
      </w:pPr>
      <w:r>
        <w:rPr>
          <w:rFonts w:ascii="Times New Roman" w:cs="Times New Roman" w:eastAsia="Times New Roman" w:hAnsi="Times New Roman"/>
          <w:sz w:val="16"/>
          <w:szCs w:val="16"/>
          <w:b w:val="1"/>
          <w:bCs w:val="1"/>
          <w:color w:val="auto"/>
        </w:rPr>
        <w:t>Lien on Shares, Calls on Shares and Forfeiture of Shares</w:t>
      </w:r>
    </w:p>
    <w:p>
      <w:pPr>
        <w:spacing w:after="0" w:line="119" w:lineRule="exact"/>
        <w:rPr>
          <w:sz w:val="20"/>
          <w:szCs w:val="20"/>
          <w:color w:val="auto"/>
        </w:rPr>
      </w:pPr>
    </w:p>
    <w:p>
      <w:pPr>
        <w:ind w:left="1160" w:right="1239" w:firstLine="351"/>
        <w:spacing w:after="0" w:line="243" w:lineRule="auto"/>
        <w:rPr>
          <w:sz w:val="20"/>
          <w:szCs w:val="20"/>
          <w:color w:val="auto"/>
        </w:rPr>
      </w:pPr>
      <w:r>
        <w:rPr>
          <w:rFonts w:ascii="Times New Roman" w:cs="Times New Roman" w:eastAsia="Times New Roman" w:hAnsi="Times New Roman"/>
          <w:sz w:val="16"/>
          <w:szCs w:val="16"/>
          <w:color w:val="auto"/>
        </w:rPr>
        <w:t>Our Constitution provides that we will have a first and paramount lien on every share that is not a fully paid up share for all amounts payable at a fixed time or called in respect of that share. Subject to the terms of their allotment, our Board may call for any unpaid amounts in respect of any shares to be paid, and if payment is not made, the shares may be forfeited. These provisions are standard inclusions in the constitution of an Irish company limited by shares such as ours and will only be applicable to our shares that have not been fully paid up.</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Consolidation and Division; Subdivision</w:t>
      </w:r>
    </w:p>
    <w:p>
      <w:pPr>
        <w:spacing w:after="0" w:line="108" w:lineRule="exact"/>
        <w:rPr>
          <w:sz w:val="20"/>
          <w:szCs w:val="20"/>
          <w:color w:val="auto"/>
        </w:rPr>
      </w:pPr>
    </w:p>
    <w:p>
      <w:pPr>
        <w:jc w:val="both"/>
        <w:ind w:left="1160" w:right="1459" w:firstLine="351"/>
        <w:spacing w:after="0" w:line="252" w:lineRule="auto"/>
        <w:rPr>
          <w:sz w:val="20"/>
          <w:szCs w:val="20"/>
          <w:color w:val="auto"/>
        </w:rPr>
      </w:pPr>
      <w:r>
        <w:rPr>
          <w:rFonts w:ascii="Times New Roman" w:cs="Times New Roman" w:eastAsia="Times New Roman" w:hAnsi="Times New Roman"/>
          <w:sz w:val="16"/>
          <w:szCs w:val="16"/>
          <w:color w:val="auto"/>
        </w:rPr>
        <w:t>Under our Constitution, we may, by ordinary resolution, consolidate and divide all or any of our share capital into shares of larger nominal value than our existing shares or subdivide our shares into smaller amounts than is fixed by our Constitution.</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Reduction of Share Capital</w:t>
      </w:r>
    </w:p>
    <w:p>
      <w:pPr>
        <w:spacing w:after="0" w:line="119" w:lineRule="exact"/>
        <w:rPr>
          <w:sz w:val="20"/>
          <w:szCs w:val="20"/>
          <w:color w:val="auto"/>
        </w:rPr>
      </w:pPr>
    </w:p>
    <w:p>
      <w:pPr>
        <w:ind w:left="1160" w:right="1199" w:firstLine="351"/>
        <w:spacing w:after="0" w:line="247" w:lineRule="auto"/>
        <w:rPr>
          <w:sz w:val="20"/>
          <w:szCs w:val="20"/>
          <w:color w:val="auto"/>
        </w:rPr>
      </w:pPr>
      <w:r>
        <w:rPr>
          <w:rFonts w:ascii="Times New Roman" w:cs="Times New Roman" w:eastAsia="Times New Roman" w:hAnsi="Times New Roman"/>
          <w:sz w:val="16"/>
          <w:szCs w:val="16"/>
          <w:color w:val="auto"/>
        </w:rPr>
        <w:t>We may, by ordinary resolution, reduce our authorized share capital in any way, provided that such resolution does not reduce the authorized share capital to an amount less than the issued share capital at such time. We also may, by special resolution and subject to confirmation by the Irish High Court, reduce or cancel our issued share capital in any way we think expedient.</w:t>
      </w:r>
    </w:p>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Annual General Meetings of Shareholders</w:t>
      </w:r>
    </w:p>
    <w:p>
      <w:pPr>
        <w:spacing w:after="0" w:line="119" w:lineRule="exact"/>
        <w:rPr>
          <w:sz w:val="20"/>
          <w:szCs w:val="20"/>
          <w:color w:val="auto"/>
        </w:rPr>
      </w:pPr>
    </w:p>
    <w:p>
      <w:pPr>
        <w:ind w:left="1160" w:right="1199" w:firstLine="351"/>
        <w:spacing w:after="0" w:line="245" w:lineRule="auto"/>
        <w:rPr>
          <w:sz w:val="20"/>
          <w:szCs w:val="20"/>
          <w:color w:val="auto"/>
        </w:rPr>
      </w:pPr>
      <w:r>
        <w:rPr>
          <w:rFonts w:ascii="Times New Roman" w:cs="Times New Roman" w:eastAsia="Times New Roman" w:hAnsi="Times New Roman"/>
          <w:sz w:val="16"/>
          <w:szCs w:val="16"/>
          <w:color w:val="auto"/>
        </w:rPr>
        <w:t>We are required to hold annual general meetings at intervals of no more than 15 months, provided that an annual general meeting is held in each calendar year and no more than nine months after our fiscal year-end. Any annual general meeting may be held outside Ireland, provided that the Company makes all necessary arrangements to ensure that shareholders can participate in such meeting by technological means without leaving Ireland.</w:t>
      </w:r>
    </w:p>
    <w:p>
      <w:pPr>
        <w:spacing w:after="0" w:line="92" w:lineRule="exact"/>
        <w:rPr>
          <w:sz w:val="20"/>
          <w:szCs w:val="20"/>
          <w:color w:val="auto"/>
        </w:rPr>
      </w:pPr>
    </w:p>
    <w:p>
      <w:pPr>
        <w:ind w:left="1160" w:right="1179" w:firstLine="351"/>
        <w:spacing w:after="0" w:line="252" w:lineRule="auto"/>
        <w:rPr>
          <w:sz w:val="20"/>
          <w:szCs w:val="20"/>
          <w:color w:val="auto"/>
        </w:rPr>
      </w:pPr>
      <w:r>
        <w:rPr>
          <w:rFonts w:ascii="Times New Roman" w:cs="Times New Roman" w:eastAsia="Times New Roman" w:hAnsi="Times New Roman"/>
          <w:sz w:val="16"/>
          <w:szCs w:val="16"/>
          <w:color w:val="auto"/>
        </w:rPr>
        <w:t>Notice of each annual general meeting must be given to all our shareholders and to our auditors. Our Constitution provides for a minimum notice period of 21 clear days (as defined in our Constitution), which is the minimum permitted under Irish law.</w:t>
      </w:r>
    </w:p>
    <w:p>
      <w:pPr>
        <w:spacing w:after="0" w:line="76" w:lineRule="exact"/>
        <w:rPr>
          <w:sz w:val="20"/>
          <w:szCs w:val="20"/>
          <w:color w:val="auto"/>
        </w:rPr>
      </w:pPr>
    </w:p>
    <w:p>
      <w:pPr>
        <w:ind w:left="1160" w:right="1179" w:firstLine="351"/>
        <w:spacing w:after="0" w:line="242" w:lineRule="auto"/>
        <w:rPr>
          <w:sz w:val="20"/>
          <w:szCs w:val="20"/>
          <w:color w:val="auto"/>
        </w:rPr>
      </w:pPr>
      <w:r>
        <w:rPr>
          <w:rFonts w:ascii="Times New Roman" w:cs="Times New Roman" w:eastAsia="Times New Roman" w:hAnsi="Times New Roman"/>
          <w:sz w:val="16"/>
          <w:szCs w:val="16"/>
          <w:color w:val="auto"/>
        </w:rPr>
        <w:t>The only matters which must, as a matter of Irish law, be transacted at an annual general meeting are: (i) the consideration of the Company’s statutory financial statements and the reports of our Board and our statutory auditors thereon; (ii) the review by our shareholders of the Company’s affairs; (iii) the authorization of our Board to approve the remuneration of the statutory auditors; and (iv) the election and/or re-election of members of our Board in accordance with our Constitution. If no resolution is made in respect of the reappointment of an existing auditor at an annual general meeting, the existing auditor will be deemed to have continued in office.</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Extraordinary General Meetings of Shareholders</w:t>
      </w:r>
    </w:p>
    <w:p>
      <w:pPr>
        <w:spacing w:after="0" w:line="119" w:lineRule="exact"/>
        <w:rPr>
          <w:sz w:val="20"/>
          <w:szCs w:val="20"/>
          <w:color w:val="auto"/>
        </w:rPr>
      </w:pPr>
    </w:p>
    <w:p>
      <w:pPr>
        <w:ind w:left="1160" w:right="1339" w:firstLine="351"/>
        <w:spacing w:after="0" w:line="243" w:lineRule="auto"/>
        <w:rPr>
          <w:sz w:val="20"/>
          <w:szCs w:val="20"/>
          <w:color w:val="auto"/>
        </w:rPr>
      </w:pPr>
      <w:r>
        <w:rPr>
          <w:rFonts w:ascii="Times New Roman" w:cs="Times New Roman" w:eastAsia="Times New Roman" w:hAnsi="Times New Roman"/>
          <w:sz w:val="16"/>
          <w:szCs w:val="16"/>
          <w:color w:val="auto"/>
        </w:rPr>
        <w:t>Extraordinary general meetings may be convened by: (i) our Board; (ii) at the request of shareholders holding not less than 10% of our paid-up share capital carrying voting rights; or (iii) at the request of our auditors in certain circumstances in accordance with the Companies Act. Extraordinary general meetings are generally held for the purposes of approving Board or shareholder resolutions as may be required from time to time. At any extraordinary general meeting, only such business shall be conducted as is set forth in the notice thereof.</w:t>
      </w:r>
    </w:p>
    <w:p>
      <w:pPr>
        <w:spacing w:after="0" w:line="85" w:lineRule="exact"/>
        <w:rPr>
          <w:sz w:val="20"/>
          <w:szCs w:val="20"/>
          <w:color w:val="auto"/>
        </w:rPr>
      </w:pPr>
    </w:p>
    <w:p>
      <w:pPr>
        <w:ind w:left="1160" w:right="1239" w:firstLine="351"/>
        <w:spacing w:after="0" w:line="301" w:lineRule="auto"/>
        <w:rPr>
          <w:sz w:val="20"/>
          <w:szCs w:val="20"/>
          <w:color w:val="auto"/>
        </w:rPr>
      </w:pPr>
      <w:r>
        <w:rPr>
          <w:rFonts w:ascii="Times New Roman" w:cs="Times New Roman" w:eastAsia="Times New Roman" w:hAnsi="Times New Roman"/>
          <w:sz w:val="15"/>
          <w:szCs w:val="15"/>
          <w:color w:val="auto"/>
        </w:rPr>
        <w:t>Notice of an extraordinary general meeting must be given to our shareholders and to our auditors. Under Irish law and our Constitution, the minimum notice periods are 21 clear days’ notice in writing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740410</wp:posOffset>
            </wp:positionV>
            <wp:extent cx="560387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3" w:right="1440" w:bottom="1440" w:gutter="0" w:footer="0" w:header="0"/>
        </w:sectPr>
      </w:pPr>
    </w:p>
    <w:bookmarkStart w:id="125" w:name="page126"/>
    <w:bookmarkEnd w:id="125"/>
    <w:p>
      <w:pPr>
        <w:ind w:left="1160" w:right="1319"/>
        <w:spacing w:after="0" w:line="267" w:lineRule="auto"/>
        <w:rPr>
          <w:sz w:val="20"/>
          <w:szCs w:val="20"/>
          <w:color w:val="auto"/>
        </w:rPr>
      </w:pPr>
      <w:r>
        <w:rPr>
          <w:rFonts w:ascii="Times New Roman" w:cs="Times New Roman" w:eastAsia="Times New Roman" w:hAnsi="Times New Roman"/>
          <w:sz w:val="16"/>
          <w:szCs w:val="16"/>
          <w:color w:val="auto"/>
        </w:rPr>
        <w:t>an extraordinary general meeting to approve a special resolution and 14 clear days’ notice in writing for any other extraordinary general meeting.</w:t>
      </w:r>
    </w:p>
    <w:p>
      <w:pPr>
        <w:spacing w:after="0" w:line="74" w:lineRule="exact"/>
        <w:rPr>
          <w:sz w:val="20"/>
          <w:szCs w:val="20"/>
          <w:color w:val="auto"/>
        </w:rPr>
      </w:pPr>
    </w:p>
    <w:p>
      <w:pPr>
        <w:ind w:left="1160" w:right="1239" w:firstLine="351"/>
        <w:spacing w:after="0" w:line="242" w:lineRule="auto"/>
        <w:rPr>
          <w:sz w:val="20"/>
          <w:szCs w:val="20"/>
          <w:color w:val="auto"/>
        </w:rPr>
      </w:pPr>
      <w:r>
        <w:rPr>
          <w:rFonts w:ascii="Times New Roman" w:cs="Times New Roman" w:eastAsia="Times New Roman" w:hAnsi="Times New Roman"/>
          <w:sz w:val="16"/>
          <w:szCs w:val="16"/>
          <w:color w:val="auto"/>
        </w:rPr>
        <w:t>In the case of an extraordinary general meeting convened on the requisition of our shareholders, the proposed purpose of the meeting must be set out in the requisition notice. Upon receipt of this required notice, the Board has 21 days to convene a meeting of our shareholders to vote on the matters set out in the required notice. This meeting must be held within two months of the receipt of the requisition notice. If the Board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95" w:lineRule="exact"/>
        <w:rPr>
          <w:sz w:val="20"/>
          <w:szCs w:val="20"/>
          <w:color w:val="auto"/>
        </w:rPr>
      </w:pPr>
    </w:p>
    <w:p>
      <w:pPr>
        <w:jc w:val="both"/>
        <w:ind w:left="1160" w:right="1239" w:firstLine="351"/>
        <w:spacing w:after="0" w:line="252" w:lineRule="auto"/>
        <w:rPr>
          <w:sz w:val="20"/>
          <w:szCs w:val="20"/>
          <w:color w:val="auto"/>
        </w:rPr>
      </w:pPr>
      <w:r>
        <w:rPr>
          <w:rFonts w:ascii="Times New Roman" w:cs="Times New Roman" w:eastAsia="Times New Roman" w:hAnsi="Times New Roman"/>
          <w:sz w:val="16"/>
          <w:szCs w:val="16"/>
          <w:color w:val="auto"/>
        </w:rPr>
        <w:t>If the Board becomes aware that our net assets are not greater than half of the amount of our called-up share capital, our Board must convene an extraordinary general meeting of our shareholders not later than 28 days from the date that they learn of this fact to consider how to address the situation.</w:t>
      </w:r>
    </w:p>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Quorum for General Meetings</w:t>
      </w:r>
    </w:p>
    <w:p>
      <w:pPr>
        <w:spacing w:after="0" w:line="119" w:lineRule="exact"/>
        <w:rPr>
          <w:sz w:val="20"/>
          <w:szCs w:val="20"/>
          <w:color w:val="auto"/>
        </w:rPr>
      </w:pPr>
    </w:p>
    <w:p>
      <w:pPr>
        <w:ind w:left="1160" w:right="1599" w:firstLine="351"/>
        <w:spacing w:after="0" w:line="247" w:lineRule="auto"/>
        <w:rPr>
          <w:sz w:val="20"/>
          <w:szCs w:val="20"/>
          <w:color w:val="auto"/>
        </w:rPr>
      </w:pPr>
      <w:r>
        <w:rPr>
          <w:rFonts w:ascii="Times New Roman" w:cs="Times New Roman" w:eastAsia="Times New Roman" w:hAnsi="Times New Roman"/>
          <w:sz w:val="16"/>
          <w:szCs w:val="16"/>
          <w:color w:val="auto"/>
        </w:rPr>
        <w:t>Our Constitution provides that no business shall be transacted at any general meeting unless a quorum is present. One or more shareholders present in person or by proxy holding not less than a majority of our issued and outstanding shares entitled to vote at the meeting in question constitute a quorum for such meeting.</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Voting</w:t>
      </w:r>
    </w:p>
    <w:p>
      <w:pPr>
        <w:spacing w:after="0" w:line="108" w:lineRule="exact"/>
        <w:rPr>
          <w:sz w:val="20"/>
          <w:szCs w:val="20"/>
          <w:color w:val="auto"/>
        </w:rPr>
      </w:pPr>
    </w:p>
    <w:p>
      <w:pPr>
        <w:ind w:left="1160" w:right="1199" w:firstLine="351"/>
        <w:spacing w:after="0" w:line="267" w:lineRule="auto"/>
        <w:rPr>
          <w:sz w:val="20"/>
          <w:szCs w:val="20"/>
          <w:color w:val="auto"/>
        </w:rPr>
      </w:pPr>
      <w:r>
        <w:rPr>
          <w:rFonts w:ascii="Times New Roman" w:cs="Times New Roman" w:eastAsia="Times New Roman" w:hAnsi="Times New Roman"/>
          <w:sz w:val="16"/>
          <w:szCs w:val="16"/>
          <w:color w:val="auto"/>
        </w:rPr>
        <w:t>Our Constitution provides that the Board or the chairman of the Board may determine the manner in which the poll is to be taken at each meeting and the manner in which the votes are to be counted.</w:t>
      </w:r>
    </w:p>
    <w:p>
      <w:pPr>
        <w:spacing w:after="0" w:line="74" w:lineRule="exact"/>
        <w:rPr>
          <w:sz w:val="20"/>
          <w:szCs w:val="20"/>
          <w:color w:val="auto"/>
        </w:rPr>
      </w:pPr>
    </w:p>
    <w:p>
      <w:pPr>
        <w:ind w:left="1160" w:right="1259" w:firstLine="351"/>
        <w:spacing w:after="0" w:line="242" w:lineRule="auto"/>
        <w:rPr>
          <w:sz w:val="20"/>
          <w:szCs w:val="20"/>
          <w:color w:val="auto"/>
        </w:rPr>
      </w:pPr>
      <w:r>
        <w:rPr>
          <w:rFonts w:ascii="Times New Roman" w:cs="Times New Roman" w:eastAsia="Times New Roman" w:hAnsi="Times New Roman"/>
          <w:sz w:val="16"/>
          <w:szCs w:val="16"/>
          <w:color w:val="auto"/>
        </w:rPr>
        <w:t>Every shareholder is entitled to one vote for each ordinary share that they hold as of the record date for the meeting. Voting rights may be exercised by shareholders registered in our share register as of the record date for the meeting or by a duly appointed proxy, which proxy need not be a shareholder. Where interests in shares are held by a nominee trust company, this company may exercise the rights of the beneficial holders on their behalf as their proxy. All proxies must be appointed in the manner prescribed by our Constitution, which permit shareholders to notify us of their proxy appointments electronically in such manner as may be approved by the Board.</w:t>
      </w:r>
    </w:p>
    <w:p>
      <w:pPr>
        <w:spacing w:after="0" w:line="97" w:lineRule="exact"/>
        <w:rPr>
          <w:sz w:val="20"/>
          <w:szCs w:val="20"/>
          <w:color w:val="auto"/>
        </w:rPr>
      </w:pPr>
    </w:p>
    <w:p>
      <w:pPr>
        <w:ind w:left="1160" w:right="1239" w:firstLine="351"/>
        <w:spacing w:after="0" w:line="243" w:lineRule="auto"/>
        <w:rPr>
          <w:sz w:val="20"/>
          <w:szCs w:val="20"/>
          <w:color w:val="auto"/>
        </w:rPr>
      </w:pPr>
      <w:r>
        <w:rPr>
          <w:rFonts w:ascii="Times New Roman" w:cs="Times New Roman" w:eastAsia="Times New Roman" w:hAnsi="Times New Roman"/>
          <w:sz w:val="16"/>
          <w:szCs w:val="16"/>
          <w:color w:val="auto"/>
        </w:rPr>
        <w:t>In accordance with our Constitution, our Board may from time to time authorize us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shares of the Company that are held by our subsidiaries will not be entitled to be voted at general meetings of shareholders.</w:t>
      </w:r>
    </w:p>
    <w:p>
      <w:pPr>
        <w:spacing w:after="0" w:line="85" w:lineRule="exact"/>
        <w:rPr>
          <w:sz w:val="20"/>
          <w:szCs w:val="20"/>
          <w:color w:val="auto"/>
        </w:rPr>
      </w:pPr>
    </w:p>
    <w:p>
      <w:pPr>
        <w:ind w:left="1160" w:right="1479" w:firstLine="351"/>
        <w:spacing w:after="0" w:line="267" w:lineRule="auto"/>
        <w:rPr>
          <w:sz w:val="20"/>
          <w:szCs w:val="20"/>
          <w:color w:val="auto"/>
        </w:rPr>
      </w:pPr>
      <w:r>
        <w:rPr>
          <w:rFonts w:ascii="Times New Roman" w:cs="Times New Roman" w:eastAsia="Times New Roman" w:hAnsi="Times New Roman"/>
          <w:sz w:val="16"/>
          <w:szCs w:val="16"/>
          <w:color w:val="auto"/>
        </w:rPr>
        <w:t>Irish law requires special resolutions of the shareholders at a general meeting to approve certain matters. Examples of matters requiring special resolutions include:</w:t>
      </w:r>
    </w:p>
    <w:p>
      <w:pPr>
        <w:spacing w:after="0" w:line="74" w:lineRule="exact"/>
        <w:rPr>
          <w:sz w:val="20"/>
          <w:szCs w:val="20"/>
          <w:color w:val="auto"/>
        </w:rPr>
      </w:pPr>
    </w:p>
    <w:p>
      <w:pPr>
        <w:ind w:left="1660" w:hanging="249"/>
        <w:spacing w:after="0"/>
        <w:tabs>
          <w:tab w:leader="none" w:pos="1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amending our Constitution;</w:t>
      </w:r>
    </w:p>
    <w:p>
      <w:pPr>
        <w:spacing w:after="0" w:line="116"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 change of our name;</w:t>
      </w:r>
    </w:p>
    <w:p>
      <w:pPr>
        <w:spacing w:after="0" w:line="105" w:lineRule="exact"/>
        <w:rPr>
          <w:rFonts w:ascii="Times New Roman" w:cs="Times New Roman" w:eastAsia="Times New Roman" w:hAnsi="Times New Roman"/>
          <w:sz w:val="16"/>
          <w:szCs w:val="16"/>
          <w:color w:val="auto"/>
        </w:rPr>
      </w:pPr>
    </w:p>
    <w:p>
      <w:pPr>
        <w:ind w:left="1660" w:right="1459" w:hanging="249"/>
        <w:spacing w:after="0" w:line="267" w:lineRule="auto"/>
        <w:tabs>
          <w:tab w:leader="none" w:pos="1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authorizing the entering into of a guarantee or provision of security in connection with a loan, quasi-loan or credit transaction to a director or connected person;</w:t>
      </w:r>
    </w:p>
    <w:p>
      <w:pPr>
        <w:spacing w:after="0" w:line="73"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opting out of pre-emption rights on the issuance of new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782320</wp:posOffset>
            </wp:positionV>
            <wp:extent cx="560387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26" w:name="page127"/>
    <w:bookmarkEnd w:id="126"/>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a new class of shares;</w:t>
      </w:r>
    </w:p>
    <w:p>
      <w:pPr>
        <w:spacing w:after="0" w:line="116"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re-registration from a public limited company to a private company;</w:t>
      </w:r>
    </w:p>
    <w:p>
      <w:pPr>
        <w:spacing w:after="0" w:line="116" w:lineRule="exact"/>
        <w:rPr>
          <w:rFonts w:ascii="Times New Roman" w:cs="Times New Roman" w:eastAsia="Times New Roman" w:hAnsi="Times New Roman"/>
          <w:sz w:val="16"/>
          <w:szCs w:val="16"/>
          <w:color w:val="auto"/>
        </w:rPr>
      </w:pPr>
    </w:p>
    <w:p>
      <w:pPr>
        <w:ind w:left="1660" w:right="1399" w:hanging="249"/>
        <w:spacing w:after="0" w:line="267" w:lineRule="auto"/>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 of class rights attaching to classes of shares (where the Constitution does not provide otherwise);</w:t>
      </w:r>
    </w:p>
    <w:p>
      <w:pPr>
        <w:spacing w:after="0" w:line="63"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of our own shares off-market;</w:t>
      </w:r>
    </w:p>
    <w:p>
      <w:pPr>
        <w:spacing w:after="0" w:line="116"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of issued share capital;</w:t>
      </w:r>
    </w:p>
    <w:p>
      <w:pPr>
        <w:spacing w:after="0" w:line="116"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sanctioning a compromise/scheme of arrangement;</w:t>
      </w:r>
    </w:p>
    <w:p>
      <w:pPr>
        <w:spacing w:after="0" w:line="105"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resolving that we be wound up by the Irish courts;</w:t>
      </w:r>
    </w:p>
    <w:p>
      <w:pPr>
        <w:spacing w:after="0" w:line="116"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resolving in favor of a shareholders’ voluntary winding-up;</w:t>
      </w:r>
    </w:p>
    <w:p>
      <w:pPr>
        <w:spacing w:after="0" w:line="116"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re-designation of shares into different share classes; and</w:t>
      </w:r>
    </w:p>
    <w:p>
      <w:pPr>
        <w:spacing w:after="0" w:line="105"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setting the re-issue price of treasury shares.</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Variation of Rights Attaching to a Class or Series of Shares</w:t>
      </w:r>
    </w:p>
    <w:p>
      <w:pPr>
        <w:spacing w:after="0" w:line="119" w:lineRule="exact"/>
        <w:rPr>
          <w:sz w:val="20"/>
          <w:szCs w:val="20"/>
          <w:color w:val="auto"/>
        </w:rPr>
      </w:pPr>
    </w:p>
    <w:p>
      <w:pPr>
        <w:ind w:left="1160" w:right="1259" w:firstLine="351"/>
        <w:spacing w:after="0" w:line="252" w:lineRule="auto"/>
        <w:rPr>
          <w:sz w:val="20"/>
          <w:szCs w:val="20"/>
          <w:color w:val="auto"/>
        </w:rPr>
      </w:pPr>
      <w:r>
        <w:rPr>
          <w:rFonts w:ascii="Times New Roman" w:cs="Times New Roman" w:eastAsia="Times New Roman" w:hAnsi="Times New Roman"/>
          <w:sz w:val="16"/>
          <w:szCs w:val="16"/>
          <w:color w:val="auto"/>
        </w:rPr>
        <w:t>Under our Constitution and the Companies Act,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76" w:lineRule="exact"/>
        <w:rPr>
          <w:sz w:val="20"/>
          <w:szCs w:val="20"/>
          <w:color w:val="auto"/>
        </w:rPr>
      </w:pPr>
    </w:p>
    <w:p>
      <w:pPr>
        <w:ind w:left="1160" w:right="1179" w:firstLine="351"/>
        <w:spacing w:after="0" w:line="245" w:lineRule="auto"/>
        <w:rPr>
          <w:sz w:val="20"/>
          <w:szCs w:val="20"/>
          <w:color w:val="auto"/>
        </w:rPr>
      </w:pPr>
      <w:r>
        <w:rPr>
          <w:rFonts w:ascii="Times New Roman" w:cs="Times New Roman" w:eastAsia="Times New Roman" w:hAnsi="Times New Roman"/>
          <w:sz w:val="16"/>
          <w:szCs w:val="16"/>
          <w:color w:val="auto"/>
        </w:rPr>
        <w:t>The provisions of our Constitution relating to general meetings apply to general meetings of the holders of any class of shares except that the necessary quorum is determined by reference to the shares of the holders of the applicable class. Accordingly, for general meetings of holders of a particular class of shares, a quorum consists of the holders present in person or by proxy representing not less than a majority of the issued shares of that class entitled to vote at the meeting.</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Acquisitions</w:t>
      </w:r>
    </w:p>
    <w:p>
      <w:pPr>
        <w:spacing w:after="0" w:line="1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An Irish public limited company may be acquired in a number of ways, including:</w:t>
      </w:r>
    </w:p>
    <w:p>
      <w:pPr>
        <w:spacing w:after="0" w:line="106" w:lineRule="exact"/>
        <w:rPr>
          <w:sz w:val="20"/>
          <w:szCs w:val="20"/>
          <w:color w:val="auto"/>
        </w:rPr>
      </w:pPr>
    </w:p>
    <w:p>
      <w:pPr>
        <w:ind w:left="1660" w:right="1179" w:hanging="249"/>
        <w:spacing w:after="0" w:line="247" w:lineRule="auto"/>
        <w:tabs>
          <w:tab w:leader="none" w:pos="16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of each scheme class called to approve the scheme;</w:t>
      </w:r>
    </w:p>
    <w:p>
      <w:pPr>
        <w:spacing w:after="0" w:line="90" w:lineRule="exact"/>
        <w:rPr>
          <w:rFonts w:ascii="Times New Roman" w:cs="Times New Roman" w:eastAsia="Times New Roman" w:hAnsi="Times New Roman"/>
          <w:sz w:val="16"/>
          <w:szCs w:val="16"/>
          <w:color w:val="auto"/>
        </w:rPr>
      </w:pPr>
    </w:p>
    <w:p>
      <w:pPr>
        <w:ind w:left="1660" w:right="1179" w:hanging="249"/>
        <w:spacing w:after="0" w:line="263" w:lineRule="auto"/>
        <w:tabs>
          <w:tab w:leader="none" w:pos="16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tender or takeover offer by a third party for all of our shares. Where the holders of 80% or more of our shares have accepted an offer for such shares,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 this threshold would be increased to 90%; and</w:t>
      </w:r>
    </w:p>
    <w:p>
      <w:pPr>
        <w:spacing w:after="0" w:line="79" w:lineRule="exact"/>
        <w:rPr>
          <w:rFonts w:ascii="Times New Roman" w:cs="Times New Roman" w:eastAsia="Times New Roman" w:hAnsi="Times New Roman"/>
          <w:sz w:val="15"/>
          <w:szCs w:val="15"/>
          <w:color w:val="auto"/>
        </w:rPr>
      </w:pPr>
    </w:p>
    <w:p>
      <w:pPr>
        <w:jc w:val="both"/>
        <w:ind w:left="1660" w:right="1199" w:hanging="249"/>
        <w:spacing w:after="0" w:line="262" w:lineRule="auto"/>
        <w:tabs>
          <w:tab w:leader="none" w:pos="16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way of a merger with a company incorporated in the European Economic Area (“EEA”) under the EU Cross-Border Mergers Directive (EU) 2019/2121 or with another Irish company under the Companies Act. Such a merger must be approved by a special resolution of the shareholders.</w:t>
      </w:r>
    </w:p>
    <w:p>
      <w:pPr>
        <w:ind w:left="1660" w:right="1319"/>
        <w:spacing w:after="0" w:line="24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Under certain circumstances, shareholders also may be entitled to have their shares acquired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760095</wp:posOffset>
            </wp:positionV>
            <wp:extent cx="560387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27" w:name="page128"/>
    <w:bookmarkEnd w:id="127"/>
    <w:p>
      <w:pPr>
        <w:ind w:left="1160" w:right="1559" w:firstLine="351"/>
        <w:spacing w:after="0" w:line="267" w:lineRule="auto"/>
        <w:rPr>
          <w:sz w:val="20"/>
          <w:szCs w:val="20"/>
          <w:color w:val="auto"/>
        </w:rPr>
      </w:pPr>
      <w:r>
        <w:rPr>
          <w:rFonts w:ascii="Times New Roman" w:cs="Times New Roman" w:eastAsia="Times New Roman" w:hAnsi="Times New Roman"/>
          <w:sz w:val="16"/>
          <w:szCs w:val="16"/>
          <w:color w:val="auto"/>
        </w:rPr>
        <w:t>Irish law does not generally require shareholder approval for a sale, lease or exchange of all or substantially all of a company’s property and assets.</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Appraisal Rights</w:t>
      </w:r>
    </w:p>
    <w:p>
      <w:pPr>
        <w:spacing w:after="0" w:line="119" w:lineRule="exact"/>
        <w:rPr>
          <w:sz w:val="20"/>
          <w:szCs w:val="20"/>
          <w:color w:val="auto"/>
        </w:rPr>
      </w:pPr>
    </w:p>
    <w:p>
      <w:pPr>
        <w:ind w:left="1160" w:right="1239" w:firstLine="351"/>
        <w:spacing w:after="0" w:line="267" w:lineRule="auto"/>
        <w:rPr>
          <w:sz w:val="20"/>
          <w:szCs w:val="20"/>
          <w:color w:val="auto"/>
        </w:rPr>
      </w:pPr>
      <w:r>
        <w:rPr>
          <w:rFonts w:ascii="Times New Roman" w:cs="Times New Roman" w:eastAsia="Times New Roman" w:hAnsi="Times New Roman"/>
          <w:sz w:val="16"/>
          <w:szCs w:val="16"/>
          <w:color w:val="auto"/>
        </w:rPr>
        <w:t>Irish law generally does not provide for “appraisal rights”. However, it does provide for dissenters’ rights in certain situations, as described below.</w:t>
      </w:r>
    </w:p>
    <w:p>
      <w:pPr>
        <w:spacing w:after="0" w:line="63" w:lineRule="exact"/>
        <w:rPr>
          <w:sz w:val="20"/>
          <w:szCs w:val="20"/>
          <w:color w:val="auto"/>
        </w:rPr>
      </w:pPr>
    </w:p>
    <w:p>
      <w:pPr>
        <w:ind w:left="1160" w:right="1179" w:firstLine="351"/>
        <w:spacing w:after="0" w:line="245" w:lineRule="auto"/>
        <w:rPr>
          <w:sz w:val="20"/>
          <w:szCs w:val="20"/>
          <w:color w:val="auto"/>
        </w:rPr>
      </w:pPr>
      <w:r>
        <w:rPr>
          <w:rFonts w:ascii="Times New Roman" w:cs="Times New Roman" w:eastAsia="Times New Roman" w:hAnsi="Times New Roman"/>
          <w:sz w:val="16"/>
          <w:szCs w:val="16"/>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like Alkermes that is not listed on an EEA regulated market). Dissenting shareholders have the right to apply to the Irish High Court for relief.</w:t>
      </w:r>
    </w:p>
    <w:p>
      <w:pPr>
        <w:spacing w:after="0" w:line="92" w:lineRule="exact"/>
        <w:rPr>
          <w:sz w:val="20"/>
          <w:szCs w:val="20"/>
          <w:color w:val="auto"/>
        </w:rPr>
      </w:pPr>
    </w:p>
    <w:p>
      <w:pPr>
        <w:ind w:left="1160" w:right="1279"/>
        <w:spacing w:after="0" w:line="277" w:lineRule="auto"/>
        <w:rPr>
          <w:sz w:val="20"/>
          <w:szCs w:val="20"/>
          <w:color w:val="auto"/>
        </w:rPr>
      </w:pPr>
      <w:r>
        <w:rPr>
          <w:rFonts w:ascii="Times New Roman" w:cs="Times New Roman" w:eastAsia="Times New Roman" w:hAnsi="Times New Roman"/>
          <w:sz w:val="15"/>
          <w:szCs w:val="15"/>
          <w:color w:val="auto"/>
        </w:rPr>
        <w:t>A scheme of arrangement which has been approved by the requisite shareholder majority and sanctioned by the Irish High Court will be binding on all shareholders. Dissenting shareholders have the right to appear at the Irish High Court hearing and make representations in objection to the scheme.</w:t>
      </w:r>
    </w:p>
    <w:p>
      <w:pPr>
        <w:spacing w:after="0" w:line="69" w:lineRule="exact"/>
        <w:rPr>
          <w:sz w:val="20"/>
          <w:szCs w:val="20"/>
          <w:color w:val="auto"/>
        </w:rPr>
      </w:pPr>
    </w:p>
    <w:p>
      <w:pPr>
        <w:ind w:left="1160" w:right="1199" w:firstLine="351"/>
        <w:spacing w:after="0" w:line="245" w:lineRule="auto"/>
        <w:rPr>
          <w:sz w:val="20"/>
          <w:szCs w:val="20"/>
          <w:color w:val="auto"/>
        </w:rPr>
      </w:pPr>
      <w:r>
        <w:rPr>
          <w:rFonts w:ascii="Times New Roman" w:cs="Times New Roman" w:eastAsia="Times New Roman" w:hAnsi="Times New Roman"/>
          <w:sz w:val="16"/>
          <w:szCs w:val="16"/>
          <w:color w:val="auto"/>
        </w:rPr>
        <w:t>Under the European Union (Cross-Border Conversions, Mergers and Divisions) Regulations 2023 governing the merger of an Irish company limited by shares such as us and a company incorporated in the EEA, a shareholder who voted against the special resolution approving the merger has the right to request that the company acquire its shares for the cash compensation specified in the common draft terms of merger agreement.</w:t>
      </w:r>
    </w:p>
    <w:p>
      <w:pPr>
        <w:spacing w:after="0" w:line="81" w:lineRule="exact"/>
        <w:rPr>
          <w:sz w:val="20"/>
          <w:szCs w:val="20"/>
          <w:color w:val="auto"/>
        </w:rPr>
      </w:pPr>
    </w:p>
    <w:p>
      <w:pPr>
        <w:ind w:left="1160" w:right="1659" w:firstLine="351"/>
        <w:spacing w:after="0" w:line="267" w:lineRule="auto"/>
        <w:rPr>
          <w:sz w:val="20"/>
          <w:szCs w:val="20"/>
          <w:color w:val="auto"/>
        </w:rPr>
      </w:pPr>
      <w:r>
        <w:rPr>
          <w:rFonts w:ascii="Times New Roman" w:cs="Times New Roman" w:eastAsia="Times New Roman" w:hAnsi="Times New Roman"/>
          <w:sz w:val="16"/>
          <w:szCs w:val="16"/>
          <w:color w:val="auto"/>
        </w:rPr>
        <w:t>Similar rights apply in the case of a merger of an Irish plc into another company to which the provisions of the Companies Act apply.</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Disclosure of Interests in Shares</w:t>
      </w:r>
    </w:p>
    <w:p>
      <w:pPr>
        <w:spacing w:after="0" w:line="119" w:lineRule="exact"/>
        <w:rPr>
          <w:sz w:val="20"/>
          <w:szCs w:val="20"/>
          <w:color w:val="auto"/>
        </w:rPr>
      </w:pPr>
    </w:p>
    <w:p>
      <w:pPr>
        <w:ind w:left="1160" w:right="1179" w:firstLine="351"/>
        <w:spacing w:after="0"/>
        <w:rPr>
          <w:sz w:val="20"/>
          <w:szCs w:val="20"/>
          <w:color w:val="auto"/>
        </w:rPr>
      </w:pPr>
      <w:r>
        <w:rPr>
          <w:rFonts w:ascii="Times New Roman" w:cs="Times New Roman" w:eastAsia="Times New Roman" w:hAnsi="Times New Roman"/>
          <w:sz w:val="16"/>
          <w:szCs w:val="16"/>
          <w:color w:val="auto"/>
        </w:rPr>
        <w:t>Under the Companies Act, shareholders must notify us if, as a result of a transaction, the shareholder will become interested in 3% or more of our shares; or if as a result of a transaction a shareholder who was interested in more than 3% of our shares ceases to be so interested. Where a shareholder is interested in more than 3% of our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our issued share capital of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shares it holds will not be enforceable, either directly or indirectly. However, such person may apply to the court to have the rights attaching to such shares reinstated.</w:t>
      </w:r>
    </w:p>
    <w:p>
      <w:pPr>
        <w:spacing w:after="0" w:line="88" w:lineRule="exact"/>
        <w:rPr>
          <w:sz w:val="20"/>
          <w:szCs w:val="20"/>
          <w:color w:val="auto"/>
        </w:rPr>
      </w:pPr>
    </w:p>
    <w:p>
      <w:pPr>
        <w:ind w:left="1160" w:right="1219" w:firstLine="351"/>
        <w:spacing w:after="0" w:line="241" w:lineRule="auto"/>
        <w:rPr>
          <w:sz w:val="20"/>
          <w:szCs w:val="20"/>
          <w:color w:val="auto"/>
        </w:rPr>
      </w:pPr>
      <w:r>
        <w:rPr>
          <w:rFonts w:ascii="Times New Roman" w:cs="Times New Roman" w:eastAsia="Times New Roman" w:hAnsi="Times New Roman"/>
          <w:sz w:val="16"/>
          <w:szCs w:val="16"/>
          <w:color w:val="auto"/>
        </w:rPr>
        <w:t>In addition to these disclosure requirements, we may, under the Companies Act,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to provide additional information, including the person’s own past or present interests in our shares. If the recipient of the notice fails to respond within the reasonable time period specified in the notice, we may apply to court for an order directing that the affected shares be subject to certain restrictions, as prescribed by the Companies Act,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770890</wp:posOffset>
            </wp:positionV>
            <wp:extent cx="560387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28" w:name="page129"/>
    <w:bookmarkEnd w:id="128"/>
    <w:p>
      <w:pPr>
        <w:ind w:left="1660" w:right="1179" w:hanging="249"/>
        <w:spacing w:after="0" w:line="267" w:lineRule="auto"/>
        <w:tabs>
          <w:tab w:leader="none" w:pos="1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of those shares or, in the case of unissued shares, any transfer of the right to be issued with shares and any issue of shares, shall be void;</w:t>
      </w:r>
    </w:p>
    <w:p>
      <w:pPr>
        <w:spacing w:after="0" w:line="73"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voting rights shall be exercisable in respect of those shares;</w:t>
      </w:r>
    </w:p>
    <w:p>
      <w:pPr>
        <w:spacing w:after="0" w:line="116" w:lineRule="exact"/>
        <w:rPr>
          <w:rFonts w:ascii="Times New Roman" w:cs="Times New Roman" w:eastAsia="Times New Roman" w:hAnsi="Times New Roman"/>
          <w:sz w:val="16"/>
          <w:szCs w:val="16"/>
          <w:color w:val="auto"/>
        </w:rPr>
      </w:pPr>
    </w:p>
    <w:p>
      <w:pPr>
        <w:ind w:left="1660" w:right="1299" w:hanging="249"/>
        <w:spacing w:after="0" w:line="267" w:lineRule="auto"/>
        <w:tabs>
          <w:tab w:leader="none" w:pos="1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further shares shall be issued in right of those shares or in pursuance of any offer made to the holder of those shares; and</w:t>
      </w:r>
    </w:p>
    <w:p>
      <w:pPr>
        <w:spacing w:after="0" w:line="63" w:lineRule="exact"/>
        <w:rPr>
          <w:rFonts w:ascii="Times New Roman" w:cs="Times New Roman" w:eastAsia="Times New Roman" w:hAnsi="Times New Roman"/>
          <w:sz w:val="16"/>
          <w:szCs w:val="16"/>
          <w:color w:val="auto"/>
        </w:rPr>
      </w:pPr>
    </w:p>
    <w:p>
      <w:pPr>
        <w:ind w:left="1660" w:right="1259" w:hanging="249"/>
        <w:spacing w:after="0" w:line="267" w:lineRule="auto"/>
        <w:tabs>
          <w:tab w:leader="none" w:pos="1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payment shall be made of any sums due from us on those shares, whether in respect of capital or otherwise.</w:t>
      </w:r>
    </w:p>
    <w:p>
      <w:pPr>
        <w:spacing w:after="0" w:line="74" w:lineRule="exact"/>
        <w:rPr>
          <w:sz w:val="20"/>
          <w:szCs w:val="20"/>
          <w:color w:val="auto"/>
        </w:rPr>
      </w:pPr>
    </w:p>
    <w:p>
      <w:pPr>
        <w:ind w:left="1160" w:right="1259" w:firstLine="351"/>
        <w:spacing w:after="0" w:line="267" w:lineRule="auto"/>
        <w:rPr>
          <w:sz w:val="20"/>
          <w:szCs w:val="20"/>
          <w:color w:val="auto"/>
        </w:rPr>
      </w:pPr>
      <w:r>
        <w:rPr>
          <w:rFonts w:ascii="Times New Roman" w:cs="Times New Roman" w:eastAsia="Times New Roman" w:hAnsi="Times New Roman"/>
          <w:sz w:val="16"/>
          <w:szCs w:val="16"/>
          <w:color w:val="auto"/>
        </w:rPr>
        <w:t>The court may also order that shares subject to any of these restrictions be sold with the restrictions terminating upon the completion of the sale.</w:t>
      </w:r>
    </w:p>
    <w:p>
      <w:pPr>
        <w:spacing w:after="0" w:line="74" w:lineRule="exact"/>
        <w:rPr>
          <w:sz w:val="20"/>
          <w:szCs w:val="20"/>
          <w:color w:val="auto"/>
        </w:rPr>
      </w:pPr>
    </w:p>
    <w:p>
      <w:pPr>
        <w:ind w:left="1160" w:right="1239" w:firstLine="351"/>
        <w:spacing w:after="0" w:line="252" w:lineRule="auto"/>
        <w:rPr>
          <w:sz w:val="20"/>
          <w:szCs w:val="20"/>
          <w:color w:val="auto"/>
        </w:rPr>
      </w:pPr>
      <w:r>
        <w:rPr>
          <w:rFonts w:ascii="Times New Roman" w:cs="Times New Roman" w:eastAsia="Times New Roman" w:hAnsi="Times New Roman"/>
          <w:sz w:val="16"/>
          <w:szCs w:val="16"/>
          <w:color w:val="auto"/>
        </w:rPr>
        <w:t>In the event that we are in an offer period pursuant to the Irish Takeover Rules made under the Irish Takeover Panel Act 1997 (the “Irish Takeover Rules”), accelerated disclosure provisions apply for persons holding an interest in our securities of 1% or more.</w:t>
      </w:r>
    </w:p>
    <w:p>
      <w:pPr>
        <w:spacing w:after="0" w:line="76" w:lineRule="exact"/>
        <w:rPr>
          <w:sz w:val="20"/>
          <w:szCs w:val="20"/>
          <w:color w:val="auto"/>
        </w:rPr>
      </w:pPr>
    </w:p>
    <w:p>
      <w:pPr>
        <w:ind w:left="1160" w:right="1339" w:firstLine="351"/>
        <w:spacing w:after="0" w:line="267" w:lineRule="auto"/>
        <w:rPr>
          <w:sz w:val="20"/>
          <w:szCs w:val="20"/>
          <w:color w:val="auto"/>
        </w:rPr>
      </w:pPr>
      <w:r>
        <w:rPr>
          <w:rFonts w:ascii="Times New Roman" w:cs="Times New Roman" w:eastAsia="Times New Roman" w:hAnsi="Times New Roman"/>
          <w:sz w:val="16"/>
          <w:szCs w:val="16"/>
          <w:color w:val="auto"/>
        </w:rPr>
        <w:t>In addition, the beneficial ownership disclosure requirements of U.S. federal securities laws apply with respect to beneficial ownership of our shares.</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Irish Takeover Rules and Substantial Acquisition Rules</w:t>
      </w:r>
    </w:p>
    <w:p>
      <w:pPr>
        <w:spacing w:after="0" w:line="110" w:lineRule="exact"/>
        <w:rPr>
          <w:sz w:val="20"/>
          <w:szCs w:val="20"/>
          <w:color w:val="auto"/>
        </w:rPr>
      </w:pPr>
    </w:p>
    <w:p>
      <w:pPr>
        <w:ind w:left="1160" w:right="1199" w:firstLine="351"/>
        <w:spacing w:after="0" w:line="247" w:lineRule="auto"/>
        <w:rPr>
          <w:sz w:val="20"/>
          <w:szCs w:val="20"/>
          <w:color w:val="auto"/>
        </w:rPr>
      </w:pPr>
      <w:r>
        <w:rPr>
          <w:rFonts w:ascii="Times New Roman" w:cs="Times New Roman" w:eastAsia="Times New Roman" w:hAnsi="Times New Roman"/>
          <w:sz w:val="16"/>
          <w:szCs w:val="16"/>
          <w:color w:val="auto"/>
        </w:rPr>
        <w:t>A transaction in which a third party seeks to acquire 30% or more of our voting rights will be governed by the Irish Takeover Panel Act 1997 and the Irish Takeover Rules made thereunder and will be regulated by the Irish Takeover Panel. The “General Principles” of the Irish Takeover Rules and certain important aspects of the Irish Takeover Rules are described below.</w:t>
      </w:r>
    </w:p>
    <w:p>
      <w:pPr>
        <w:spacing w:after="0" w:line="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General Principles</w:t>
      </w:r>
    </w:p>
    <w:p>
      <w:pPr>
        <w:spacing w:after="0" w:line="121" w:lineRule="exact"/>
        <w:rPr>
          <w:sz w:val="20"/>
          <w:szCs w:val="20"/>
          <w:color w:val="auto"/>
        </w:rPr>
      </w:pPr>
    </w:p>
    <w:p>
      <w:pPr>
        <w:ind w:left="1160" w:right="1379" w:firstLine="351"/>
        <w:spacing w:after="0" w:line="267" w:lineRule="auto"/>
        <w:rPr>
          <w:sz w:val="20"/>
          <w:szCs w:val="20"/>
          <w:color w:val="auto"/>
        </w:rPr>
      </w:pPr>
      <w:r>
        <w:rPr>
          <w:rFonts w:ascii="Times New Roman" w:cs="Times New Roman" w:eastAsia="Times New Roman" w:hAnsi="Times New Roman"/>
          <w:sz w:val="16"/>
          <w:szCs w:val="16"/>
          <w:color w:val="auto"/>
        </w:rPr>
        <w:t>The Irish Takeover Rules are built on the following general principles (the “General Principles”), which will apply to any transaction regulated by the Irish Takeover Panel:</w:t>
      </w:r>
    </w:p>
    <w:p>
      <w:pPr>
        <w:spacing w:after="0" w:line="63" w:lineRule="exact"/>
        <w:rPr>
          <w:sz w:val="20"/>
          <w:szCs w:val="20"/>
          <w:color w:val="auto"/>
        </w:rPr>
      </w:pPr>
    </w:p>
    <w:p>
      <w:pPr>
        <w:ind w:left="1660" w:right="1159" w:hanging="249"/>
        <w:spacing w:after="0" w:line="252" w:lineRule="auto"/>
        <w:tabs>
          <w:tab w:leader="none" w:pos="1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offer, all holders of securities of the target company should be afforded equivalent treatment and, if a person acquires control of a company, the other holders of securities must be protected;</w:t>
      </w:r>
    </w:p>
    <w:p>
      <w:pPr>
        <w:spacing w:after="0" w:line="86" w:lineRule="exact"/>
        <w:rPr>
          <w:rFonts w:ascii="Times New Roman" w:cs="Times New Roman" w:eastAsia="Times New Roman" w:hAnsi="Times New Roman"/>
          <w:sz w:val="16"/>
          <w:szCs w:val="16"/>
          <w:color w:val="auto"/>
        </w:rPr>
      </w:pPr>
    </w:p>
    <w:p>
      <w:pPr>
        <w:ind w:left="1660" w:right="1159" w:hanging="249"/>
        <w:spacing w:after="0" w:line="245" w:lineRule="auto"/>
        <w:tabs>
          <w:tab w:leader="none" w:pos="1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91" w:lineRule="exact"/>
        <w:rPr>
          <w:rFonts w:ascii="Times New Roman" w:cs="Times New Roman" w:eastAsia="Times New Roman" w:hAnsi="Times New Roman"/>
          <w:sz w:val="16"/>
          <w:szCs w:val="16"/>
          <w:color w:val="auto"/>
        </w:rPr>
      </w:pPr>
    </w:p>
    <w:p>
      <w:pPr>
        <w:ind w:left="1660" w:right="1239" w:hanging="249"/>
        <w:spacing w:after="0" w:line="267" w:lineRule="auto"/>
        <w:tabs>
          <w:tab w:leader="none" w:pos="1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the target company must act in the interests of the company as a whole and must not deny the holders of securities the opportunity to decide on the merits of the offer;</w:t>
      </w:r>
    </w:p>
    <w:p>
      <w:pPr>
        <w:spacing w:after="0" w:line="63" w:lineRule="exact"/>
        <w:rPr>
          <w:rFonts w:ascii="Times New Roman" w:cs="Times New Roman" w:eastAsia="Times New Roman" w:hAnsi="Times New Roman"/>
          <w:sz w:val="16"/>
          <w:szCs w:val="16"/>
          <w:color w:val="auto"/>
        </w:rPr>
      </w:pPr>
    </w:p>
    <w:p>
      <w:pPr>
        <w:ind w:left="1660" w:right="1479" w:hanging="249"/>
        <w:spacing w:after="0" w:line="252" w:lineRule="auto"/>
        <w:tabs>
          <w:tab w:leader="none" w:pos="1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86" w:lineRule="exact"/>
        <w:rPr>
          <w:rFonts w:ascii="Times New Roman" w:cs="Times New Roman" w:eastAsia="Times New Roman" w:hAnsi="Times New Roman"/>
          <w:sz w:val="16"/>
          <w:szCs w:val="16"/>
          <w:color w:val="auto"/>
        </w:rPr>
      </w:pPr>
    </w:p>
    <w:p>
      <w:pPr>
        <w:jc w:val="both"/>
        <w:ind w:left="1660" w:right="1959" w:hanging="249"/>
        <w:spacing w:after="0" w:line="252" w:lineRule="auto"/>
        <w:tabs>
          <w:tab w:leader="none" w:pos="1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bidder must announce an offer only after ensuring that it can fulfill in full, any cash consideration if such is offered, and after taking all reasonable measures to secure the implementation of any other type of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763270</wp:posOffset>
            </wp:positionV>
            <wp:extent cx="560387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29" w:name="page130"/>
    <w:bookmarkEnd w:id="129"/>
    <w:p>
      <w:pPr>
        <w:ind w:left="1660" w:right="1339" w:hanging="249"/>
        <w:spacing w:after="0" w:line="267" w:lineRule="auto"/>
        <w:tabs>
          <w:tab w:leader="none" w:pos="1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target company must not be hindered in the conduct of its affairs for longer than is reasonable by an offer for its securities; and</w:t>
      </w:r>
    </w:p>
    <w:p>
      <w:pPr>
        <w:spacing w:after="0" w:line="73" w:lineRule="exact"/>
        <w:rPr>
          <w:rFonts w:ascii="Times New Roman" w:cs="Times New Roman" w:eastAsia="Times New Roman" w:hAnsi="Times New Roman"/>
          <w:sz w:val="16"/>
          <w:szCs w:val="16"/>
          <w:color w:val="auto"/>
        </w:rPr>
      </w:pPr>
    </w:p>
    <w:p>
      <w:pPr>
        <w:ind w:left="1660" w:right="1399" w:hanging="249"/>
        <w:spacing w:after="0" w:line="252" w:lineRule="auto"/>
        <w:tabs>
          <w:tab w:leader="none" w:pos="1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Mandatory Bid</w:t>
      </w:r>
    </w:p>
    <w:p>
      <w:pPr>
        <w:spacing w:after="0" w:line="110" w:lineRule="exact"/>
        <w:rPr>
          <w:sz w:val="20"/>
          <w:szCs w:val="20"/>
          <w:color w:val="auto"/>
        </w:rPr>
      </w:pPr>
    </w:p>
    <w:p>
      <w:pPr>
        <w:ind w:left="1160" w:right="1199" w:firstLine="351"/>
        <w:spacing w:after="0" w:line="258" w:lineRule="auto"/>
        <w:rPr>
          <w:sz w:val="20"/>
          <w:szCs w:val="20"/>
          <w:color w:val="auto"/>
        </w:rPr>
      </w:pPr>
      <w:r>
        <w:rPr>
          <w:rFonts w:ascii="Times New Roman" w:cs="Times New Roman" w:eastAsia="Times New Roman" w:hAnsi="Times New Roman"/>
          <w:sz w:val="15"/>
          <w:szCs w:val="15"/>
          <w:color w:val="auto"/>
        </w:rPr>
        <w:t>Under certain circumstances, a person who acquires our shares may be required under the Irish Takeover Rules to make a mandatory cash offer for our remaining outstanding shares at a price not less than the highest price paid for the shares by that acquirer (or any parties acting in concert with the acquirer) during the previous twelve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twelve-month period. Any person (excluding any parties acting in concert with the holder) holding shares representing more than 50% of the voting rights of a company is not subject to these mandatory offer requirements.</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Voluntary Bid; Requirements to Make a Cash Offer and Minimum Price Requirements</w:t>
      </w:r>
    </w:p>
    <w:p>
      <w:pPr>
        <w:spacing w:after="0" w:line="121" w:lineRule="exact"/>
        <w:rPr>
          <w:sz w:val="20"/>
          <w:szCs w:val="20"/>
          <w:color w:val="auto"/>
        </w:rPr>
      </w:pPr>
    </w:p>
    <w:p>
      <w:pPr>
        <w:ind w:left="1160" w:right="1199" w:firstLine="351"/>
        <w:spacing w:after="0" w:line="245" w:lineRule="auto"/>
        <w:rPr>
          <w:sz w:val="20"/>
          <w:szCs w:val="20"/>
          <w:color w:val="auto"/>
        </w:rPr>
      </w:pPr>
      <w:r>
        <w:rPr>
          <w:rFonts w:ascii="Times New Roman" w:cs="Times New Roman" w:eastAsia="Times New Roman" w:hAnsi="Times New Roman"/>
          <w:sz w:val="16"/>
          <w:szCs w:val="16"/>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Irish Takeover Panel has the power to extend the “look back” period to twelve months if the Irish Takeover Panel, taking into account the General Principles, believes it is appropriate to do so.</w:t>
      </w:r>
    </w:p>
    <w:p>
      <w:pPr>
        <w:spacing w:after="0" w:line="81" w:lineRule="exact"/>
        <w:rPr>
          <w:sz w:val="20"/>
          <w:szCs w:val="20"/>
          <w:color w:val="auto"/>
        </w:rPr>
      </w:pPr>
    </w:p>
    <w:p>
      <w:pPr>
        <w:ind w:left="1160" w:right="1179" w:firstLine="351"/>
        <w:spacing w:after="0" w:line="259" w:lineRule="auto"/>
        <w:rPr>
          <w:sz w:val="20"/>
          <w:szCs w:val="20"/>
          <w:color w:val="auto"/>
        </w:rPr>
      </w:pPr>
      <w:r>
        <w:rPr>
          <w:rFonts w:ascii="Times New Roman" w:cs="Times New Roman" w:eastAsia="Times New Roman" w:hAnsi="Times New Roman"/>
          <w:sz w:val="15"/>
          <w:szCs w:val="15"/>
          <w:color w:val="auto"/>
        </w:rPr>
        <w:t>If the bidder or any of its concert parties has acquired our ordinary shares: (i) during the period of twelve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86" w:lineRule="exact"/>
        <w:rPr>
          <w:sz w:val="20"/>
          <w:szCs w:val="20"/>
          <w:color w:val="auto"/>
        </w:rPr>
      </w:pPr>
    </w:p>
    <w:p>
      <w:pPr>
        <w:ind w:left="1160" w:right="1459" w:firstLine="351"/>
        <w:spacing w:after="0" w:line="267" w:lineRule="auto"/>
        <w:rPr>
          <w:sz w:val="20"/>
          <w:szCs w:val="20"/>
          <w:color w:val="auto"/>
        </w:rPr>
      </w:pPr>
      <w:r>
        <w:rPr>
          <w:rFonts w:ascii="Times New Roman" w:cs="Times New Roman" w:eastAsia="Times New Roman" w:hAnsi="Times New Roman"/>
          <w:sz w:val="16"/>
          <w:szCs w:val="16"/>
          <w:color w:val="auto"/>
        </w:rPr>
        <w:t>An offer period will generally commence from the date of the first announcement of the offer or proposed offer.</w:t>
      </w:r>
    </w:p>
    <w:p>
      <w:pPr>
        <w:spacing w:after="0" w:line="74" w:lineRule="exact"/>
        <w:rPr>
          <w:sz w:val="20"/>
          <w:szCs w:val="20"/>
          <w:color w:val="auto"/>
        </w:rPr>
      </w:pPr>
    </w:p>
    <w:p>
      <w:pPr>
        <w:ind w:left="1160" w:right="1279" w:firstLine="351"/>
        <w:spacing w:after="0" w:line="245" w:lineRule="auto"/>
        <w:rPr>
          <w:sz w:val="20"/>
          <w:szCs w:val="20"/>
          <w:color w:val="auto"/>
        </w:rPr>
      </w:pPr>
      <w:r>
        <w:rPr>
          <w:rFonts w:ascii="Times New Roman" w:cs="Times New Roman" w:eastAsia="Times New Roman" w:hAnsi="Times New Roman"/>
          <w:sz w:val="16"/>
          <w:szCs w:val="16"/>
          <w:color w:val="auto"/>
        </w:rPr>
        <w:t>Any announcement by us which commences an offer period must identify the potential bidder with which we are in talks or from which an approach was received. Any such bidder will then have a period of 42 days following such announcement (i.e. the announcement in which they are first identified) to announce a firm intention to make an offer or announce that they do not intend to do so, in which case they will then be restricted from making an offer for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760095</wp:posOffset>
            </wp:positionV>
            <wp:extent cx="560387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30" w:name="page131"/>
    <w:bookmarkEnd w:id="130"/>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Substantial Acquisition Rules</w:t>
      </w:r>
    </w:p>
    <w:p>
      <w:pPr>
        <w:spacing w:after="0" w:line="121" w:lineRule="exact"/>
        <w:rPr>
          <w:sz w:val="20"/>
          <w:szCs w:val="20"/>
          <w:color w:val="auto"/>
        </w:rPr>
      </w:pPr>
    </w:p>
    <w:p>
      <w:pPr>
        <w:ind w:left="1160" w:right="1259" w:firstLine="351"/>
        <w:spacing w:after="0" w:line="242" w:lineRule="auto"/>
        <w:rPr>
          <w:sz w:val="20"/>
          <w:szCs w:val="20"/>
          <w:color w:val="auto"/>
        </w:rPr>
      </w:pPr>
      <w:r>
        <w:rPr>
          <w:rFonts w:ascii="Times New Roman" w:cs="Times New Roman" w:eastAsia="Times New Roman" w:hAnsi="Times New Roman"/>
          <w:sz w:val="16"/>
          <w:szCs w:val="16"/>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Shareholder Rights Plan</w:t>
      </w:r>
    </w:p>
    <w:p>
      <w:pPr>
        <w:spacing w:after="0" w:line="110" w:lineRule="exact"/>
        <w:rPr>
          <w:sz w:val="20"/>
          <w:szCs w:val="20"/>
          <w:color w:val="auto"/>
        </w:rPr>
      </w:pPr>
    </w:p>
    <w:p>
      <w:pPr>
        <w:ind w:left="1160" w:right="1219" w:firstLine="351"/>
        <w:spacing w:after="0" w:line="242" w:lineRule="auto"/>
        <w:rPr>
          <w:sz w:val="20"/>
          <w:szCs w:val="20"/>
          <w:color w:val="auto"/>
        </w:rPr>
      </w:pPr>
      <w:r>
        <w:rPr>
          <w:rFonts w:ascii="Times New Roman" w:cs="Times New Roman" w:eastAsia="Times New Roman" w:hAnsi="Times New Roman"/>
          <w:sz w:val="16"/>
          <w:szCs w:val="16"/>
          <w:color w:val="auto"/>
        </w:rPr>
        <w:t>Under our Constitution, our Board is authorized to adopt a shareholder rights plan (a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Board or any duly appointed committee thereof may effect an exchange of rights in accordance with such Shareholder Rights Plan.</w:t>
      </w:r>
    </w:p>
    <w:p>
      <w:pPr>
        <w:spacing w:after="0" w:line="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Frustrating Action</w:t>
      </w:r>
    </w:p>
    <w:p>
      <w:pPr>
        <w:spacing w:after="0" w:line="121" w:lineRule="exact"/>
        <w:rPr>
          <w:sz w:val="20"/>
          <w:szCs w:val="20"/>
          <w:color w:val="auto"/>
        </w:rPr>
      </w:pPr>
    </w:p>
    <w:p>
      <w:pPr>
        <w:ind w:left="1160" w:right="1159" w:firstLine="351"/>
        <w:spacing w:after="0" w:line="242" w:lineRule="auto"/>
        <w:rPr>
          <w:sz w:val="20"/>
          <w:szCs w:val="20"/>
          <w:color w:val="auto"/>
        </w:rPr>
      </w:pPr>
      <w:r>
        <w:rPr>
          <w:rFonts w:ascii="Times New Roman" w:cs="Times New Roman" w:eastAsia="Times New Roman" w:hAnsi="Times New Roman"/>
          <w:sz w:val="16"/>
          <w:szCs w:val="16"/>
          <w:color w:val="auto"/>
        </w:rPr>
        <w:t>Under the Irish Takeover Rules, our Board is not permitted to take any action which might frustrate an offer for our shares once the Board has received an approach which may lead to an offer or has reason to believe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imminent. Exceptions to this prohibition are available where:</w:t>
      </w:r>
    </w:p>
    <w:p>
      <w:pPr>
        <w:spacing w:after="0" w:line="84" w:lineRule="exact"/>
        <w:rPr>
          <w:sz w:val="20"/>
          <w:szCs w:val="20"/>
          <w:color w:val="auto"/>
        </w:rPr>
      </w:pPr>
    </w:p>
    <w:p>
      <w:pPr>
        <w:ind w:left="1660" w:hanging="249"/>
        <w:spacing w:after="0"/>
        <w:tabs>
          <w:tab w:leader="none" w:pos="16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action is approved by our shareholders at a general meeting; or</w:t>
      </w:r>
    </w:p>
    <w:p>
      <w:pPr>
        <w:spacing w:after="0" w:line="116" w:lineRule="exact"/>
        <w:rPr>
          <w:rFonts w:ascii="Times New Roman" w:cs="Times New Roman" w:eastAsia="Times New Roman" w:hAnsi="Times New Roman"/>
          <w:sz w:val="16"/>
          <w:szCs w:val="16"/>
          <w:color w:val="auto"/>
        </w:rPr>
      </w:pPr>
    </w:p>
    <w:p>
      <w:pPr>
        <w:ind w:left="1660" w:hanging="249"/>
        <w:spacing w:after="0"/>
        <w:tabs>
          <w:tab w:leader="none" w:pos="16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Irish Takeover Panel has given its consent, where:</w:t>
      </w:r>
    </w:p>
    <w:p>
      <w:pPr>
        <w:spacing w:after="0" w:line="116" w:lineRule="exact"/>
        <w:rPr>
          <w:rFonts w:ascii="Times New Roman" w:cs="Times New Roman" w:eastAsia="Times New Roman" w:hAnsi="Times New Roman"/>
          <w:sz w:val="16"/>
          <w:szCs w:val="16"/>
          <w:color w:val="auto"/>
        </w:rPr>
      </w:pPr>
    </w:p>
    <w:p>
      <w:pPr>
        <w:ind w:left="2180" w:hanging="253"/>
        <w:spacing w:after="0"/>
        <w:tabs>
          <w:tab w:leader="none" w:pos="218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satisfied the action would not constitute a frustrating action;</w:t>
      </w:r>
    </w:p>
    <w:p>
      <w:pPr>
        <w:spacing w:after="0" w:line="105" w:lineRule="exact"/>
        <w:rPr>
          <w:rFonts w:ascii="Times New Roman" w:cs="Times New Roman" w:eastAsia="Times New Roman" w:hAnsi="Times New Roman"/>
          <w:sz w:val="16"/>
          <w:szCs w:val="16"/>
          <w:color w:val="auto"/>
        </w:rPr>
      </w:pPr>
    </w:p>
    <w:p>
      <w:pPr>
        <w:ind w:left="2180" w:right="1439" w:hanging="253"/>
        <w:spacing w:after="0" w:line="267" w:lineRule="auto"/>
        <w:tabs>
          <w:tab w:leader="none" w:pos="218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50% of the voting rights state in writing that they approve the proposed action and would vote in favor of it at a general meeting;</w:t>
      </w:r>
    </w:p>
    <w:p>
      <w:pPr>
        <w:spacing w:after="0" w:line="73" w:lineRule="exact"/>
        <w:rPr>
          <w:rFonts w:ascii="Times New Roman" w:cs="Times New Roman" w:eastAsia="Times New Roman" w:hAnsi="Times New Roman"/>
          <w:sz w:val="16"/>
          <w:szCs w:val="16"/>
          <w:color w:val="auto"/>
        </w:rPr>
      </w:pPr>
    </w:p>
    <w:p>
      <w:pPr>
        <w:ind w:left="2180" w:right="1319" w:hanging="253"/>
        <w:spacing w:after="0" w:line="267" w:lineRule="auto"/>
        <w:tabs>
          <w:tab w:leader="none" w:pos="218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action is taken in accordance with a contract entered into prior to the announcement of the offer; or</w:t>
      </w:r>
    </w:p>
    <w:p>
      <w:pPr>
        <w:spacing w:after="0" w:line="73" w:lineRule="exact"/>
        <w:rPr>
          <w:rFonts w:ascii="Times New Roman" w:cs="Times New Roman" w:eastAsia="Times New Roman" w:hAnsi="Times New Roman"/>
          <w:sz w:val="16"/>
          <w:szCs w:val="16"/>
          <w:color w:val="auto"/>
        </w:rPr>
      </w:pPr>
    </w:p>
    <w:p>
      <w:pPr>
        <w:ind w:left="2180" w:right="1479" w:hanging="253"/>
        <w:spacing w:after="0" w:line="301" w:lineRule="auto"/>
        <w:tabs>
          <w:tab w:leader="none" w:pos="218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decision to take such action was made before the announcement of the offer and either has been at least partially implemented or is in the ordinary course of business.</w:t>
      </w:r>
    </w:p>
    <w:p>
      <w:pPr>
        <w:spacing w:after="0" w:line="40" w:lineRule="exact"/>
        <w:rPr>
          <w:sz w:val="20"/>
          <w:szCs w:val="20"/>
          <w:color w:val="auto"/>
        </w:rPr>
      </w:pPr>
    </w:p>
    <w:p>
      <w:pPr>
        <w:ind w:left="1160" w:right="1219" w:firstLine="351"/>
        <w:spacing w:after="0" w:line="247" w:lineRule="auto"/>
        <w:rPr>
          <w:sz w:val="20"/>
          <w:szCs w:val="20"/>
          <w:color w:val="auto"/>
        </w:rPr>
      </w:pPr>
      <w:r>
        <w:rPr>
          <w:rFonts w:ascii="Times New Roman" w:cs="Times New Roman" w:eastAsia="Times New Roman" w:hAnsi="Times New Roman"/>
          <w:sz w:val="16"/>
          <w:szCs w:val="16"/>
          <w:color w:val="auto"/>
        </w:rPr>
        <w:t xml:space="preserve">Certain other provisions of Irish law or our Constitution may be considered to have anti-takeover effects, including those described under the following captions: </w:t>
      </w:r>
      <w:r>
        <w:rPr>
          <w:rFonts w:ascii="Times New Roman" w:cs="Times New Roman" w:eastAsia="Times New Roman" w:hAnsi="Times New Roman"/>
          <w:sz w:val="16"/>
          <w:szCs w:val="16"/>
          <w:i w:val="1"/>
          <w:iCs w:val="1"/>
          <w:color w:val="auto"/>
        </w:rPr>
        <w:t>“—Authorized Share Capital”</w:t>
      </w:r>
      <w:r>
        <w:rPr>
          <w:rFonts w:ascii="Times New Roman" w:cs="Times New Roman" w:eastAsia="Times New Roman" w:hAnsi="Times New Roman"/>
          <w:sz w:val="16"/>
          <w:szCs w:val="16"/>
          <w:color w:val="auto"/>
        </w:rPr>
        <w:t xml:space="preserve"> (regarding issuance of preferred shares), </w:t>
      </w:r>
      <w:r>
        <w:rPr>
          <w:rFonts w:ascii="Times New Roman" w:cs="Times New Roman" w:eastAsia="Times New Roman" w:hAnsi="Times New Roman"/>
          <w:sz w:val="16"/>
          <w:szCs w:val="16"/>
          <w:i w:val="1"/>
          <w:iCs w:val="1"/>
          <w:color w:val="auto"/>
        </w:rPr>
        <w:t>“—Pre-emption Rights, Warrants and Options,” “—Disclosure of Interests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 Shares,”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766445</wp:posOffset>
            </wp:positionV>
            <wp:extent cx="560387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31" w:name="page132"/>
    <w:bookmarkEnd w:id="131"/>
    <w:p>
      <w:pPr>
        <w:ind w:left="1160"/>
        <w:spacing w:after="0"/>
        <w:rPr>
          <w:sz w:val="20"/>
          <w:szCs w:val="20"/>
          <w:color w:val="auto"/>
        </w:rPr>
      </w:pPr>
      <w:r>
        <w:rPr>
          <w:rFonts w:ascii="Times New Roman" w:cs="Times New Roman" w:eastAsia="Times New Roman" w:hAnsi="Times New Roman"/>
          <w:sz w:val="16"/>
          <w:szCs w:val="16"/>
          <w:b w:val="1"/>
          <w:bCs w:val="1"/>
          <w:color w:val="auto"/>
        </w:rPr>
        <w:t>Appointment of Directors of the Board</w:t>
      </w:r>
    </w:p>
    <w:p>
      <w:pPr>
        <w:spacing w:after="0" w:line="119" w:lineRule="exact"/>
        <w:rPr>
          <w:sz w:val="20"/>
          <w:szCs w:val="20"/>
          <w:color w:val="auto"/>
        </w:rPr>
      </w:pPr>
    </w:p>
    <w:p>
      <w:pPr>
        <w:ind w:left="1160" w:right="1179" w:firstLine="351"/>
        <w:spacing w:after="0" w:line="257" w:lineRule="auto"/>
        <w:rPr>
          <w:sz w:val="20"/>
          <w:szCs w:val="20"/>
          <w:color w:val="auto"/>
        </w:rPr>
      </w:pPr>
      <w:r>
        <w:rPr>
          <w:rFonts w:ascii="Times New Roman" w:cs="Times New Roman" w:eastAsia="Times New Roman" w:hAnsi="Times New Roman"/>
          <w:sz w:val="15"/>
          <w:szCs w:val="15"/>
          <w:color w:val="auto"/>
        </w:rPr>
        <w:t>At each annual general meeting of shareholders, each director who is nominated for election or re-election at that annual general meeting of shareholders shall be eligible for election for a one-year term. Except as otherwise set forth in our Constitution, directors will be elected by way of ordinary resolution at a general meeting. In the event of a contested election (where the number of persons validly nominated for election exceeds the number of available director positions to be elected), only those directors in number equal to the number of available director positions and who receive the highest number of votes in favor of their election shall be elected. In no case will a decrease in the size of the Board shorten the term of any incumbent director. A director shall hold office until the close of the annual general meeting of shareholders for the year in which their term expires and until their successor shall be elected and shall qualify, subject, however, to prior death, resignation, retirement, disqualification or removal from office. Any vacancy on the Board, including a vacancy that results from an increase in the size of the Board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Any director appointed to fill a vacancy shall hold office until the next annual general meeting. A director retiring from the Board at a general meeting shall retain office until the close or adjournment of such meeting.</w:t>
      </w:r>
    </w:p>
    <w:p>
      <w:pPr>
        <w:spacing w:after="0" w:line="84" w:lineRule="exact"/>
        <w:rPr>
          <w:sz w:val="20"/>
          <w:szCs w:val="20"/>
          <w:color w:val="auto"/>
        </w:rPr>
      </w:pPr>
    </w:p>
    <w:p>
      <w:pPr>
        <w:ind w:left="1160" w:right="1279" w:firstLine="351"/>
        <w:spacing w:after="0" w:line="241" w:lineRule="auto"/>
        <w:rPr>
          <w:sz w:val="20"/>
          <w:szCs w:val="20"/>
          <w:color w:val="auto"/>
        </w:rPr>
      </w:pPr>
      <w:r>
        <w:rPr>
          <w:rFonts w:ascii="Times New Roman" w:cs="Times New Roman" w:eastAsia="Times New Roman" w:hAnsi="Times New Roman"/>
          <w:sz w:val="16"/>
          <w:szCs w:val="16"/>
          <w:color w:val="auto"/>
        </w:rPr>
        <w:t>During any vacancy in the Board, the remaining directors have full power to act as the Board. If, at any general meeting of the Company (other than in the event of a contested election), the number of directors is reduced below the minimum prescribed by the Board due to the failure of any persons nominated to be directors to be elected, then in those circumstances, the nominee or nominees who receive the highest number of votes in favor of election shall be elected in order to maintain the prescribed minimum number of directors and each such director shall remain a director (subject to the provisions of the Companies Act and our Constitution) only until the conclusion of the next annual general meeting of the Company unless such director is re-elected by the our shareholders during such meeting.</w:t>
      </w:r>
    </w:p>
    <w:p>
      <w:pPr>
        <w:spacing w:after="0" w:line="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Duration; Dissolution; Rights upon Liquidation</w:t>
      </w:r>
    </w:p>
    <w:p>
      <w:pPr>
        <w:spacing w:after="0" w:line="119" w:lineRule="exact"/>
        <w:rPr>
          <w:sz w:val="20"/>
          <w:szCs w:val="20"/>
          <w:color w:val="auto"/>
        </w:rPr>
      </w:pPr>
    </w:p>
    <w:p>
      <w:pPr>
        <w:ind w:left="1160" w:right="1179" w:firstLine="351"/>
        <w:spacing w:after="0" w:line="245" w:lineRule="auto"/>
        <w:rPr>
          <w:sz w:val="20"/>
          <w:szCs w:val="20"/>
          <w:color w:val="auto"/>
        </w:rPr>
      </w:pPr>
      <w:r>
        <w:rPr>
          <w:rFonts w:ascii="Times New Roman" w:cs="Times New Roman" w:eastAsia="Times New Roman" w:hAnsi="Times New Roman"/>
          <w:sz w:val="16"/>
          <w:szCs w:val="16"/>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92" w:lineRule="exact"/>
        <w:rPr>
          <w:sz w:val="20"/>
          <w:szCs w:val="20"/>
          <w:color w:val="auto"/>
        </w:rPr>
      </w:pPr>
    </w:p>
    <w:p>
      <w:pPr>
        <w:ind w:left="1160" w:right="1199" w:firstLine="351"/>
        <w:spacing w:after="0" w:line="241" w:lineRule="auto"/>
        <w:rPr>
          <w:sz w:val="20"/>
          <w:szCs w:val="20"/>
          <w:color w:val="auto"/>
        </w:rPr>
      </w:pPr>
      <w:r>
        <w:rPr>
          <w:rFonts w:ascii="Times New Roman" w:cs="Times New Roman" w:eastAsia="Times New Roman" w:hAnsi="Times New Roman"/>
          <w:sz w:val="16"/>
          <w:szCs w:val="16"/>
          <w:color w:val="auto"/>
        </w:rPr>
        <w:t>The rights of the shareholders to a return of our assets on dissolution or winding up, following the settlement of all claims of creditors, may be prescribed in our Constitution or the terms of any preferred shares issued by our Board from time to time. The holders of preferred shares in particular may have the right to priority in our dissolution or winding up. If the Constitution contains no specific provisions in respect of a dissolution or winding up then, subject to the priorities of any creditors, the assets will be distributed to shareholders in proportion to the paid-up nominal value of the shares held. Our Constitution provides that our ordinary shareholders are entitled to participate pro rata in a winding up, but their right to do so may be subject to the rights of any preferred shareholders to participate under the terms of any series or class of preferred shares.</w:t>
      </w:r>
    </w:p>
    <w:p>
      <w:pPr>
        <w:spacing w:after="0" w:line="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Uncertificated Shares</w:t>
      </w:r>
    </w:p>
    <w:p>
      <w:pPr>
        <w:spacing w:after="0" w:line="119" w:lineRule="exact"/>
        <w:rPr>
          <w:sz w:val="20"/>
          <w:szCs w:val="20"/>
          <w:color w:val="auto"/>
        </w:rPr>
      </w:pPr>
    </w:p>
    <w:p>
      <w:pPr>
        <w:ind w:left="1160" w:right="1359" w:firstLine="351"/>
        <w:spacing w:after="0" w:line="267" w:lineRule="auto"/>
        <w:rPr>
          <w:sz w:val="20"/>
          <w:szCs w:val="20"/>
          <w:color w:val="auto"/>
        </w:rPr>
      </w:pPr>
      <w:r>
        <w:rPr>
          <w:rFonts w:ascii="Times New Roman" w:cs="Times New Roman" w:eastAsia="Times New Roman" w:hAnsi="Times New Roman"/>
          <w:sz w:val="16"/>
          <w:szCs w:val="16"/>
          <w:color w:val="auto"/>
        </w:rPr>
        <w:t>Pursuant to the Companies Act, a shareholder is entitled to be issued a share certificate on request and subject to payment of a nominal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755015</wp:posOffset>
            </wp:positionV>
            <wp:extent cx="560387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3" w:right="1440" w:bottom="1440" w:gutter="0" w:footer="0" w:header="0"/>
        </w:sectPr>
      </w:pPr>
    </w:p>
    <w:bookmarkStart w:id="132" w:name="page133"/>
    <w:bookmarkEnd w:id="132"/>
    <w:p>
      <w:pPr>
        <w:ind w:left="1160"/>
        <w:spacing w:after="0"/>
        <w:rPr>
          <w:sz w:val="20"/>
          <w:szCs w:val="20"/>
          <w:color w:val="auto"/>
        </w:rPr>
      </w:pPr>
      <w:r>
        <w:rPr>
          <w:rFonts w:ascii="Times New Roman" w:cs="Times New Roman" w:eastAsia="Times New Roman" w:hAnsi="Times New Roman"/>
          <w:sz w:val="16"/>
          <w:szCs w:val="16"/>
          <w:b w:val="1"/>
          <w:bCs w:val="1"/>
          <w:color w:val="auto"/>
        </w:rPr>
        <w:t>No Sinking Fund</w:t>
      </w:r>
    </w:p>
    <w:p>
      <w:pPr>
        <w:spacing w:after="0" w:line="1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Our ordinary shares have no sinking fund provisions.</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No Liability for Further Calls or Assessments</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Our ordinary shares are duly and validly issued and fully paid.</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Transfer and Registration of Shares</w:t>
      </w:r>
    </w:p>
    <w:p>
      <w:pPr>
        <w:spacing w:after="0" w:line="97" w:lineRule="exact"/>
        <w:rPr>
          <w:sz w:val="20"/>
          <w:szCs w:val="20"/>
          <w:color w:val="auto"/>
        </w:rPr>
      </w:pPr>
    </w:p>
    <w:p>
      <w:pPr>
        <w:ind w:left="1160" w:right="1319" w:firstLine="351"/>
        <w:spacing w:after="0" w:line="242" w:lineRule="auto"/>
        <w:rPr>
          <w:sz w:val="20"/>
          <w:szCs w:val="20"/>
          <w:color w:val="auto"/>
        </w:rPr>
      </w:pPr>
      <w:r>
        <w:rPr>
          <w:rFonts w:ascii="Times New Roman" w:cs="Times New Roman" w:eastAsia="Times New Roman" w:hAnsi="Times New Roman"/>
          <w:sz w:val="16"/>
          <w:szCs w:val="16"/>
          <w:color w:val="auto"/>
        </w:rPr>
        <w:t>Our transfer agent maintains our share register, which is determinative of ownership of our shares. Our shareholders who hold shares beneficially are not the holders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87" w:lineRule="exact"/>
        <w:rPr>
          <w:sz w:val="20"/>
          <w:szCs w:val="20"/>
          <w:color w:val="auto"/>
        </w:rPr>
      </w:pPr>
    </w:p>
    <w:p>
      <w:pPr>
        <w:ind w:left="1160" w:right="1159" w:firstLine="351"/>
        <w:spacing w:after="0"/>
        <w:rPr>
          <w:sz w:val="20"/>
          <w:szCs w:val="20"/>
          <w:color w:val="auto"/>
        </w:rPr>
      </w:pPr>
      <w:r>
        <w:rPr>
          <w:rFonts w:ascii="Times New Roman" w:cs="Times New Roman" w:eastAsia="Times New Roman" w:hAnsi="Times New Roman"/>
          <w:sz w:val="16"/>
          <w:szCs w:val="16"/>
          <w:color w:val="auto"/>
        </w:rPr>
        <w:t>A written instrument of transfer is required under Irish law in order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80" w:lineRule="exact"/>
        <w:rPr>
          <w:sz w:val="20"/>
          <w:szCs w:val="20"/>
          <w:color w:val="auto"/>
        </w:rPr>
      </w:pPr>
    </w:p>
    <w:p>
      <w:pPr>
        <w:ind w:left="1160" w:right="1159" w:firstLine="351"/>
        <w:spacing w:after="0" w:line="241" w:lineRule="auto"/>
        <w:rPr>
          <w:sz w:val="20"/>
          <w:szCs w:val="20"/>
          <w:color w:val="auto"/>
        </w:rPr>
      </w:pPr>
      <w:r>
        <w:rPr>
          <w:rFonts w:ascii="Times New Roman" w:cs="Times New Roman" w:eastAsia="Times New Roman" w:hAnsi="Times New Roman"/>
          <w:sz w:val="16"/>
          <w:szCs w:val="16"/>
          <w:color w:val="auto"/>
        </w:rPr>
        <w:t>Any transfer of our ordinary shares that is subject to Irish stamp duty will not be registered in the name of the buyer unless an instrument of transfer is duly stamped and provided to the transfer agent. Our Constitution allows us, in our absolute discretion, to create an instrument of transfer and pay (or procure the payment of) any stamp duty, which is the legal obligation of a buyer. In the event of any such payment, we are (on our behalf or on behalf of our affiliates) entitled to: (i) seek reimbursement from the buyer or seller (at our discretion); (ii) set-off the amount of the stamp duty against future dividends payable to the buyer or seller (at our discretion); and (iii) claim a lien against the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75" w:lineRule="exact"/>
        <w:rPr>
          <w:sz w:val="20"/>
          <w:szCs w:val="20"/>
          <w:color w:val="auto"/>
        </w:rPr>
      </w:pPr>
    </w:p>
    <w:p>
      <w:pPr>
        <w:ind w:left="1160" w:right="1499" w:firstLine="351"/>
        <w:spacing w:after="0" w:line="267" w:lineRule="auto"/>
        <w:rPr>
          <w:sz w:val="20"/>
          <w:szCs w:val="20"/>
          <w:color w:val="auto"/>
        </w:rPr>
      </w:pPr>
      <w:r>
        <w:rPr>
          <w:rFonts w:ascii="Times New Roman" w:cs="Times New Roman" w:eastAsia="Times New Roman" w:hAnsi="Times New Roman"/>
          <w:sz w:val="16"/>
          <w:szCs w:val="16"/>
          <w:color w:val="auto"/>
        </w:rPr>
        <w:t>Our Constitution delegates to our secretary the authority to execute an instrument of transfer on behalf of a transferring party.</w:t>
      </w:r>
    </w:p>
    <w:p>
      <w:pPr>
        <w:spacing w:after="0" w:line="63" w:lineRule="exact"/>
        <w:rPr>
          <w:sz w:val="20"/>
          <w:szCs w:val="20"/>
          <w:color w:val="auto"/>
        </w:rPr>
      </w:pPr>
    </w:p>
    <w:p>
      <w:pPr>
        <w:ind w:left="1160" w:right="1159" w:firstLine="351"/>
        <w:spacing w:after="0" w:line="260" w:lineRule="auto"/>
        <w:rPr>
          <w:sz w:val="20"/>
          <w:szCs w:val="20"/>
          <w:color w:val="auto"/>
        </w:rPr>
      </w:pPr>
      <w:r>
        <w:rPr>
          <w:rFonts w:ascii="Times New Roman" w:cs="Times New Roman" w:eastAsia="Times New Roman" w:hAnsi="Times New Roman"/>
          <w:sz w:val="15"/>
          <w:szCs w:val="15"/>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748030</wp:posOffset>
            </wp:positionV>
            <wp:extent cx="560387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3" w:right="1440" w:bottom="1440" w:gutter="0" w:footer="0" w:header="0"/>
        </w:sectPr>
      </w:pPr>
    </w:p>
    <w:bookmarkStart w:id="133" w:name="page134"/>
    <w:bookmarkEnd w:id="133"/>
    <w:p>
      <w:pPr>
        <w:jc w:val="both"/>
        <w:ind w:left="1160" w:right="1279"/>
        <w:spacing w:after="0" w:line="247" w:lineRule="auto"/>
        <w:rPr>
          <w:sz w:val="20"/>
          <w:szCs w:val="20"/>
          <w:color w:val="auto"/>
        </w:rPr>
      </w:pPr>
      <w:r>
        <w:rPr>
          <w:rFonts w:ascii="Times New Roman" w:cs="Times New Roman" w:eastAsia="Times New Roman" w:hAnsi="Times New Roman"/>
          <w:sz w:val="16"/>
          <w:szCs w:val="16"/>
          <w:color w:val="auto"/>
        </w:rPr>
        <w:t>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w:t>
      </w:r>
    </w:p>
    <w:p>
      <w:pPr>
        <w:spacing w:after="0" w:line="80" w:lineRule="exact"/>
        <w:rPr>
          <w:sz w:val="20"/>
          <w:szCs w:val="20"/>
          <w:color w:val="auto"/>
        </w:rPr>
      </w:pPr>
    </w:p>
    <w:p>
      <w:pPr>
        <w:ind w:left="1160" w:right="1459" w:firstLine="351"/>
        <w:spacing w:after="0" w:line="267" w:lineRule="auto"/>
        <w:rPr>
          <w:sz w:val="20"/>
          <w:szCs w:val="20"/>
          <w:color w:val="auto"/>
        </w:rPr>
      </w:pPr>
      <w:r>
        <w:rPr>
          <w:rFonts w:ascii="Times New Roman" w:cs="Times New Roman" w:eastAsia="Times New Roman" w:hAnsi="Times New Roman"/>
          <w:sz w:val="16"/>
          <w:szCs w:val="16"/>
          <w:color w:val="auto"/>
        </w:rPr>
        <w:t>The Board may suspend registration of transfers from time to time, with such suspensions not to exceed 30 days in aggregate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748665</wp:posOffset>
            </wp:positionV>
            <wp:extent cx="560387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34" w:name="page135"/>
    <w:bookmarkEnd w:id="134"/>
    <w:p>
      <w:pPr>
        <w:jc w:val="right"/>
        <w:ind w:right="899"/>
        <w:spacing w:after="0"/>
        <w:rPr>
          <w:sz w:val="20"/>
          <w:szCs w:val="20"/>
          <w:color w:val="auto"/>
        </w:rPr>
      </w:pPr>
      <w:r>
        <w:rPr>
          <w:rFonts w:ascii="Arial" w:cs="Arial" w:eastAsia="Arial" w:hAnsi="Arial"/>
          <w:sz w:val="14"/>
          <w:szCs w:val="14"/>
          <w:b w:val="1"/>
          <w:bCs w:val="1"/>
          <w:color w:val="auto"/>
        </w:rPr>
        <w:t>Exhibit 10.24</w:t>
      </w:r>
    </w:p>
    <w:p>
      <w:pPr>
        <w:spacing w:after="0" w:line="13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00558C"/>
        </w:rPr>
        <w:t>ALKERMES PLC</w:t>
      </w:r>
    </w:p>
    <w:p>
      <w:pPr>
        <w:spacing w:after="0" w:line="74"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00558C"/>
        </w:rPr>
        <w:t>2018 Stock Option and Incentive Plan, as amended</w:t>
      </w:r>
    </w:p>
    <w:p>
      <w:pPr>
        <w:spacing w:after="0" w:line="78" w:lineRule="exact"/>
        <w:rPr>
          <w:sz w:val="20"/>
          <w:szCs w:val="20"/>
          <w:color w:val="auto"/>
        </w:rPr>
      </w:pPr>
    </w:p>
    <w:p>
      <w:pPr>
        <w:ind w:left="1020"/>
        <w:spacing w:after="0"/>
        <w:tabs>
          <w:tab w:leader="none" w:pos="1960" w:val="left"/>
        </w:tabs>
        <w:rPr>
          <w:sz w:val="20"/>
          <w:szCs w:val="20"/>
          <w:color w:val="auto"/>
        </w:rPr>
      </w:pPr>
      <w:r>
        <w:rPr>
          <w:rFonts w:ascii="Arial" w:cs="Arial" w:eastAsia="Arial" w:hAnsi="Arial"/>
          <w:sz w:val="14"/>
          <w:szCs w:val="14"/>
          <w:b w:val="1"/>
          <w:bCs w:val="1"/>
          <w:color w:val="40C1AC"/>
        </w:rPr>
        <w:t>SECTION 1.</w:t>
      </w:r>
      <w:r>
        <w:rPr>
          <w:sz w:val="20"/>
          <w:szCs w:val="20"/>
          <w:color w:val="auto"/>
        </w:rPr>
        <w:tab/>
      </w:r>
      <w:r>
        <w:rPr>
          <w:rFonts w:ascii="Arial" w:cs="Arial" w:eastAsia="Arial" w:hAnsi="Arial"/>
          <w:sz w:val="14"/>
          <w:szCs w:val="14"/>
          <w:b w:val="1"/>
          <w:bCs w:val="1"/>
          <w:i w:val="1"/>
          <w:iCs w:val="1"/>
          <w:color w:val="40C1AC"/>
        </w:rPr>
        <w:t>GENERAL PURPOSE OF THE PLAN; DEFINITIONS</w:t>
      </w:r>
    </w:p>
    <w:p>
      <w:pPr>
        <w:spacing w:after="0" w:line="140" w:lineRule="exact"/>
        <w:rPr>
          <w:sz w:val="20"/>
          <w:szCs w:val="20"/>
          <w:color w:val="auto"/>
        </w:rPr>
      </w:pPr>
    </w:p>
    <w:p>
      <w:pPr>
        <w:ind w:left="1020" w:right="979" w:firstLine="258"/>
        <w:spacing w:after="0" w:line="246" w:lineRule="auto"/>
        <w:rPr>
          <w:sz w:val="20"/>
          <w:szCs w:val="20"/>
          <w:color w:val="auto"/>
        </w:rPr>
      </w:pPr>
      <w:r>
        <w:rPr>
          <w:rFonts w:ascii="Arial" w:cs="Arial" w:eastAsia="Arial" w:hAnsi="Arial"/>
          <w:sz w:val="14"/>
          <w:szCs w:val="14"/>
          <w:color w:val="auto"/>
        </w:rPr>
        <w:t>The name of the plan is the Alkermes plc 2018 Stock Option and Incentive Plan (the “</w:t>
      </w:r>
      <w:r>
        <w:rPr>
          <w:rFonts w:ascii="Arial" w:cs="Arial" w:eastAsia="Arial" w:hAnsi="Arial"/>
          <w:sz w:val="14"/>
          <w:szCs w:val="14"/>
          <w:i w:val="1"/>
          <w:iCs w:val="1"/>
          <w:color w:val="auto"/>
        </w:rPr>
        <w:t>Plan</w:t>
      </w:r>
      <w:r>
        <w:rPr>
          <w:rFonts w:ascii="Arial" w:cs="Arial" w:eastAsia="Arial" w:hAnsi="Arial"/>
          <w:sz w:val="14"/>
          <w:szCs w:val="14"/>
          <w:color w:val="auto"/>
        </w:rPr>
        <w:t>”). The purpose of the Plan is to encourage and enable the officers, employees, Non-Employee Directors and consultants of Alkermes plc, an Irish public limited company (the “</w:t>
      </w:r>
      <w:r>
        <w:rPr>
          <w:rFonts w:ascii="Arial" w:cs="Arial" w:eastAsia="Arial" w:hAnsi="Arial"/>
          <w:sz w:val="14"/>
          <w:szCs w:val="14"/>
          <w:i w:val="1"/>
          <w:iCs w:val="1"/>
          <w:color w:val="auto"/>
        </w:rPr>
        <w:t>Company”</w:t>
      </w:r>
      <w:r>
        <w:rPr>
          <w:rFonts w:ascii="Arial" w:cs="Arial" w:eastAsia="Arial" w:hAnsi="Arial"/>
          <w:sz w:val="14"/>
          <w:szCs w:val="14"/>
          <w:color w:val="auto"/>
        </w:rPr>
        <w:t>), and its Subsidiaries upon whose judgment, initiative and efforts the Company and its Subsidiaries largely depend for the successful conduct of their business to acquire a proprietary interest in the Company. It is anticipated that providing such persons with a direct stake in the Company’s future value will create a closer alignment of their interests with those of the Company and its shareholders, thereby incentivizing their efforts on the Company’s and its Subsidiaries’ behalf and strengthening their desire to remain with the Company and its Subsidiaries.</w:t>
      </w:r>
    </w:p>
    <w:p>
      <w:pPr>
        <w:spacing w:after="0" w:line="1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following terms shall be defined as set forth below:</w:t>
      </w:r>
    </w:p>
    <w:p>
      <w:pPr>
        <w:spacing w:after="0" w:line="140" w:lineRule="exact"/>
        <w:rPr>
          <w:sz w:val="20"/>
          <w:szCs w:val="20"/>
          <w:color w:val="auto"/>
        </w:rPr>
      </w:pPr>
    </w:p>
    <w:p>
      <w:pPr>
        <w:ind w:left="1020" w:right="1219" w:firstLine="258"/>
        <w:spacing w:after="0" w:line="282" w:lineRule="auto"/>
        <w:rPr>
          <w:sz w:val="20"/>
          <w:szCs w:val="20"/>
          <w:color w:val="auto"/>
        </w:rPr>
      </w:pPr>
      <w:r>
        <w:rPr>
          <w:rFonts w:ascii="Arial" w:cs="Arial" w:eastAsia="Arial" w:hAnsi="Arial"/>
          <w:sz w:val="14"/>
          <w:szCs w:val="14"/>
          <w:i w:val="1"/>
          <w:iCs w:val="1"/>
          <w:color w:val="auto"/>
        </w:rPr>
        <w:t>“2008 Plan</w:t>
      </w:r>
      <w:r>
        <w:rPr>
          <w:rFonts w:ascii="Arial" w:cs="Arial" w:eastAsia="Arial" w:hAnsi="Arial"/>
          <w:sz w:val="14"/>
          <w:szCs w:val="14"/>
          <w:color w:val="auto"/>
        </w:rPr>
        <w:t>” means the Alkermes plc Amended and Restated 2008 Stock Option and Incentive Plan, as</w:t>
      </w:r>
      <w:r>
        <w:rPr>
          <w:rFonts w:ascii="Arial" w:cs="Arial" w:eastAsia="Arial" w:hAnsi="Arial"/>
          <w:sz w:val="14"/>
          <w:szCs w:val="14"/>
          <w:i w:val="1"/>
          <w:iCs w:val="1"/>
          <w:color w:val="auto"/>
        </w:rPr>
        <w:t xml:space="preserve"> </w:t>
      </w:r>
      <w:r>
        <w:rPr>
          <w:rFonts w:ascii="Arial" w:cs="Arial" w:eastAsia="Arial" w:hAnsi="Arial"/>
          <w:sz w:val="14"/>
          <w:szCs w:val="14"/>
          <w:color w:val="auto"/>
        </w:rPr>
        <w:t>amended.</w:t>
      </w:r>
    </w:p>
    <w:p>
      <w:pPr>
        <w:spacing w:after="0" w:line="83"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“2011 Plan</w:t>
      </w:r>
      <w:r>
        <w:rPr>
          <w:rFonts w:ascii="Arial" w:cs="Arial" w:eastAsia="Arial" w:hAnsi="Arial"/>
          <w:sz w:val="14"/>
          <w:szCs w:val="14"/>
          <w:color w:val="auto"/>
        </w:rPr>
        <w:t>” means the Alkermes plc 2011 Stock Option and Incentive Plan, as amended.</w:t>
      </w:r>
    </w:p>
    <w:p>
      <w:pPr>
        <w:spacing w:after="0" w:line="150" w:lineRule="exact"/>
        <w:rPr>
          <w:sz w:val="20"/>
          <w:szCs w:val="20"/>
          <w:color w:val="auto"/>
        </w:rPr>
      </w:pPr>
    </w:p>
    <w:p>
      <w:pPr>
        <w:ind w:left="1020" w:right="919" w:firstLine="258"/>
        <w:spacing w:after="0" w:line="261" w:lineRule="auto"/>
        <w:rPr>
          <w:sz w:val="20"/>
          <w:szCs w:val="20"/>
          <w:color w:val="auto"/>
        </w:rPr>
      </w:pPr>
      <w:r>
        <w:rPr>
          <w:rFonts w:ascii="Arial" w:cs="Arial" w:eastAsia="Arial" w:hAnsi="Arial"/>
          <w:sz w:val="14"/>
          <w:szCs w:val="14"/>
          <w:i w:val="1"/>
          <w:iCs w:val="1"/>
          <w:color w:val="auto"/>
        </w:rPr>
        <w:t>“2011 Plan Available Shares</w:t>
      </w:r>
      <w:r>
        <w:rPr>
          <w:rFonts w:ascii="Arial" w:cs="Arial" w:eastAsia="Arial" w:hAnsi="Arial"/>
          <w:sz w:val="14"/>
          <w:szCs w:val="14"/>
          <w:color w:val="auto"/>
        </w:rPr>
        <w:t>” means the 1,199,965 Shares that remained available for grant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2011 Plan as of the 2020 Annual Meeting (which Shares, as of the 2020 Annual Meeting, ceased to be available for grant under the 2011 Plan and became available for issuance pursuant to Awards under this Plan).</w:t>
      </w:r>
    </w:p>
    <w:p>
      <w:pPr>
        <w:spacing w:after="0" w:line="9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2020 Annual Meeting</w:t>
      </w:r>
      <w:r>
        <w:rPr>
          <w:rFonts w:ascii="Arial" w:cs="Arial" w:eastAsia="Arial" w:hAnsi="Arial"/>
          <w:sz w:val="14"/>
          <w:szCs w:val="14"/>
          <w:color w:val="auto"/>
        </w:rPr>
        <w:t>” means the 2020 Annual General Meeting of Shareholders of the Company.</w:t>
      </w:r>
    </w:p>
    <w:p>
      <w:pPr>
        <w:spacing w:after="0" w:line="14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2024 Annual Meeting</w:t>
      </w:r>
      <w:r>
        <w:rPr>
          <w:rFonts w:ascii="Arial" w:cs="Arial" w:eastAsia="Arial" w:hAnsi="Arial"/>
          <w:sz w:val="14"/>
          <w:szCs w:val="14"/>
          <w:color w:val="auto"/>
        </w:rPr>
        <w:t>” means the 2024 Annual General Meeting of Shareholders of the Company.</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 xml:space="preserve">“Act” </w:t>
      </w:r>
      <w:r>
        <w:rPr>
          <w:rFonts w:ascii="Arial" w:cs="Arial" w:eastAsia="Arial" w:hAnsi="Arial"/>
          <w:sz w:val="14"/>
          <w:szCs w:val="14"/>
          <w:color w:val="auto"/>
        </w:rPr>
        <w:t>means the Securities Act of 1933, as amended, and the rules and regulations thereunder.</w:t>
      </w:r>
    </w:p>
    <w:p>
      <w:pPr>
        <w:spacing w:after="0" w:line="140" w:lineRule="exact"/>
        <w:rPr>
          <w:sz w:val="20"/>
          <w:szCs w:val="20"/>
          <w:color w:val="auto"/>
        </w:rPr>
      </w:pPr>
    </w:p>
    <w:p>
      <w:pPr>
        <w:ind w:left="1020" w:right="979" w:firstLine="258"/>
        <w:spacing w:after="0" w:line="261" w:lineRule="auto"/>
        <w:rPr>
          <w:sz w:val="20"/>
          <w:szCs w:val="20"/>
          <w:color w:val="auto"/>
        </w:rPr>
      </w:pPr>
      <w:r>
        <w:rPr>
          <w:rFonts w:ascii="Arial" w:cs="Arial" w:eastAsia="Arial" w:hAnsi="Arial"/>
          <w:sz w:val="14"/>
          <w:szCs w:val="14"/>
          <w:i w:val="1"/>
          <w:iCs w:val="1"/>
          <w:color w:val="auto"/>
        </w:rPr>
        <w:t xml:space="preserve">“Administrator” </w:t>
      </w:r>
      <w:r>
        <w:rPr>
          <w:rFonts w:ascii="Arial" w:cs="Arial" w:eastAsia="Arial" w:hAnsi="Arial"/>
          <w:sz w:val="14"/>
          <w:szCs w:val="14"/>
          <w:color w:val="auto"/>
        </w:rPr>
        <w:t>means the compensation committee of the Board or a similar committee performing the</w:t>
      </w:r>
      <w:r>
        <w:rPr>
          <w:rFonts w:ascii="Arial" w:cs="Arial" w:eastAsia="Arial" w:hAnsi="Arial"/>
          <w:sz w:val="14"/>
          <w:szCs w:val="14"/>
          <w:i w:val="1"/>
          <w:iCs w:val="1"/>
          <w:color w:val="auto"/>
        </w:rPr>
        <w:t xml:space="preserve"> </w:t>
      </w:r>
      <w:r>
        <w:rPr>
          <w:rFonts w:ascii="Arial" w:cs="Arial" w:eastAsia="Arial" w:hAnsi="Arial"/>
          <w:sz w:val="14"/>
          <w:szCs w:val="14"/>
          <w:color w:val="auto"/>
        </w:rPr>
        <w:t>functions of the compensation committee and which is comprised of not less than two Non-Employee Directors who are independent.</w:t>
      </w:r>
    </w:p>
    <w:p>
      <w:pPr>
        <w:spacing w:after="0" w:line="98" w:lineRule="exact"/>
        <w:rPr>
          <w:sz w:val="20"/>
          <w:szCs w:val="20"/>
          <w:color w:val="auto"/>
        </w:rPr>
      </w:pPr>
    </w:p>
    <w:p>
      <w:pPr>
        <w:ind w:left="1020" w:right="1079" w:firstLine="258"/>
        <w:spacing w:after="0" w:line="261" w:lineRule="auto"/>
        <w:rPr>
          <w:sz w:val="20"/>
          <w:szCs w:val="20"/>
          <w:color w:val="auto"/>
        </w:rPr>
      </w:pPr>
      <w:r>
        <w:rPr>
          <w:rFonts w:ascii="Arial" w:cs="Arial" w:eastAsia="Arial" w:hAnsi="Arial"/>
          <w:sz w:val="14"/>
          <w:szCs w:val="14"/>
          <w:i w:val="1"/>
          <w:iCs w:val="1"/>
          <w:color w:val="auto"/>
        </w:rPr>
        <w:t xml:space="preserve">“Award” </w:t>
      </w:r>
      <w:r>
        <w:rPr>
          <w:rFonts w:ascii="Arial" w:cs="Arial" w:eastAsia="Arial" w:hAnsi="Arial"/>
          <w:sz w:val="14"/>
          <w:szCs w:val="14"/>
          <w:color w:val="auto"/>
        </w:rPr>
        <w:t>or</w:t>
      </w:r>
      <w:r>
        <w:rPr>
          <w:rFonts w:ascii="Arial" w:cs="Arial" w:eastAsia="Arial" w:hAnsi="Arial"/>
          <w:sz w:val="14"/>
          <w:szCs w:val="14"/>
          <w:i w:val="1"/>
          <w:iCs w:val="1"/>
          <w:color w:val="auto"/>
        </w:rPr>
        <w:t xml:space="preserve"> “Awards,” </w:t>
      </w:r>
      <w:r>
        <w:rPr>
          <w:rFonts w:ascii="Arial" w:cs="Arial" w:eastAsia="Arial" w:hAnsi="Arial"/>
          <w:sz w:val="14"/>
          <w:szCs w:val="14"/>
          <w:color w:val="auto"/>
        </w:rPr>
        <w:t>except where referring to a particular category of grant under the Plan, shall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Incentive Stock Options, Non-Qualified Stock Options, Stock Appreciation Rights, Restricted Stock Awards, Restricted Stock Unit Awards, Cash-Based Awards and Performance Share Awards.</w:t>
      </w:r>
    </w:p>
    <w:p>
      <w:pPr>
        <w:spacing w:after="0" w:line="108" w:lineRule="exact"/>
        <w:rPr>
          <w:sz w:val="20"/>
          <w:szCs w:val="20"/>
          <w:color w:val="auto"/>
        </w:rPr>
      </w:pPr>
    </w:p>
    <w:p>
      <w:pPr>
        <w:ind w:left="1020" w:right="959" w:firstLine="258"/>
        <w:spacing w:after="0" w:line="282" w:lineRule="auto"/>
        <w:rPr>
          <w:sz w:val="20"/>
          <w:szCs w:val="20"/>
          <w:color w:val="auto"/>
        </w:rPr>
      </w:pPr>
      <w:r>
        <w:rPr>
          <w:rFonts w:ascii="Arial" w:cs="Arial" w:eastAsia="Arial" w:hAnsi="Arial"/>
          <w:sz w:val="14"/>
          <w:szCs w:val="14"/>
          <w:i w:val="1"/>
          <w:iCs w:val="1"/>
          <w:color w:val="auto"/>
        </w:rPr>
        <w:t xml:space="preserve">“Award Certificate” </w:t>
      </w:r>
      <w:r>
        <w:rPr>
          <w:rFonts w:ascii="Arial" w:cs="Arial" w:eastAsia="Arial" w:hAnsi="Arial"/>
          <w:sz w:val="14"/>
          <w:szCs w:val="14"/>
          <w:color w:val="auto"/>
        </w:rPr>
        <w:t>means a written or electronic certificate setting forth the terms and provisions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to an Award granted under the Plan. Each Award Certificate is subject to the terms and conditions of the Plan.</w:t>
      </w:r>
    </w:p>
    <w:p>
      <w:pPr>
        <w:spacing w:after="0" w:line="83"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 xml:space="preserve">“Board” </w:t>
      </w:r>
      <w:r>
        <w:rPr>
          <w:rFonts w:ascii="Arial" w:cs="Arial" w:eastAsia="Arial" w:hAnsi="Arial"/>
          <w:sz w:val="14"/>
          <w:szCs w:val="14"/>
          <w:color w:val="auto"/>
        </w:rPr>
        <w:t>means the Board of Directors of the Company.</w:t>
      </w:r>
    </w:p>
    <w:p>
      <w:pPr>
        <w:spacing w:after="0" w:line="140"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 xml:space="preserve">“Cash-Based Award” </w:t>
      </w:r>
      <w:r>
        <w:rPr>
          <w:rFonts w:ascii="Arial" w:cs="Arial" w:eastAsia="Arial" w:hAnsi="Arial"/>
          <w:sz w:val="14"/>
          <w:szCs w:val="14"/>
          <w:color w:val="auto"/>
        </w:rPr>
        <w:t>means an Award entitling the recipient to receive a cash-denominated payment.</w:t>
      </w:r>
    </w:p>
    <w:p>
      <w:pPr>
        <w:spacing w:after="0" w:line="150" w:lineRule="exact"/>
        <w:rPr>
          <w:sz w:val="20"/>
          <w:szCs w:val="20"/>
          <w:color w:val="auto"/>
        </w:rPr>
      </w:pPr>
    </w:p>
    <w:p>
      <w:pPr>
        <w:ind w:left="1020" w:right="1239" w:firstLine="258"/>
        <w:spacing w:after="0" w:line="282" w:lineRule="auto"/>
        <w:rPr>
          <w:sz w:val="20"/>
          <w:szCs w:val="20"/>
          <w:color w:val="auto"/>
        </w:rPr>
      </w:pPr>
      <w:r>
        <w:rPr>
          <w:rFonts w:ascii="Arial" w:cs="Arial" w:eastAsia="Arial" w:hAnsi="Arial"/>
          <w:sz w:val="14"/>
          <w:szCs w:val="14"/>
          <w:i w:val="1"/>
          <w:iCs w:val="1"/>
          <w:color w:val="auto"/>
        </w:rPr>
        <w:t xml:space="preserve">“Code” </w:t>
      </w:r>
      <w:r>
        <w:rPr>
          <w:rFonts w:ascii="Arial" w:cs="Arial" w:eastAsia="Arial" w:hAnsi="Arial"/>
          <w:sz w:val="14"/>
          <w:szCs w:val="14"/>
          <w:color w:val="auto"/>
        </w:rPr>
        <w:t>means the Internal Revenue Code of 1986, as amended, and any successor Code, and related</w:t>
      </w:r>
      <w:r>
        <w:rPr>
          <w:rFonts w:ascii="Arial" w:cs="Arial" w:eastAsia="Arial" w:hAnsi="Arial"/>
          <w:sz w:val="14"/>
          <w:szCs w:val="14"/>
          <w:i w:val="1"/>
          <w:iCs w:val="1"/>
          <w:color w:val="auto"/>
        </w:rPr>
        <w:t xml:space="preserve"> </w:t>
      </w:r>
      <w:r>
        <w:rPr>
          <w:rFonts w:ascii="Arial" w:cs="Arial" w:eastAsia="Arial" w:hAnsi="Arial"/>
          <w:sz w:val="14"/>
          <w:szCs w:val="14"/>
          <w:color w:val="auto"/>
        </w:rPr>
        <w:t>rules, regulations and interpretations.</w:t>
      </w:r>
    </w:p>
    <w:p>
      <w:pPr>
        <w:spacing w:after="0" w:line="83" w:lineRule="exact"/>
        <w:rPr>
          <w:sz w:val="20"/>
          <w:szCs w:val="20"/>
          <w:color w:val="auto"/>
        </w:rPr>
      </w:pPr>
    </w:p>
    <w:p>
      <w:pPr>
        <w:ind w:left="1020" w:right="1259" w:firstLine="258"/>
        <w:spacing w:after="0" w:line="261" w:lineRule="auto"/>
        <w:rPr>
          <w:sz w:val="20"/>
          <w:szCs w:val="20"/>
          <w:color w:val="auto"/>
        </w:rPr>
      </w:pPr>
      <w:r>
        <w:rPr>
          <w:rFonts w:ascii="Arial" w:cs="Arial" w:eastAsia="Arial" w:hAnsi="Arial"/>
          <w:sz w:val="14"/>
          <w:szCs w:val="14"/>
          <w:i w:val="1"/>
          <w:iCs w:val="1"/>
          <w:color w:val="auto"/>
        </w:rPr>
        <w:t xml:space="preserve">“Companies Act” </w:t>
      </w:r>
      <w:r>
        <w:rPr>
          <w:rFonts w:ascii="Arial" w:cs="Arial" w:eastAsia="Arial" w:hAnsi="Arial"/>
          <w:sz w:val="14"/>
          <w:szCs w:val="14"/>
          <w:color w:val="auto"/>
        </w:rPr>
        <w:t>means the Irish Companies Act 2014, all enactments which are to be read as one, or</w:t>
      </w:r>
      <w:r>
        <w:rPr>
          <w:rFonts w:ascii="Arial" w:cs="Arial" w:eastAsia="Arial" w:hAnsi="Arial"/>
          <w:sz w:val="14"/>
          <w:szCs w:val="14"/>
          <w:i w:val="1"/>
          <w:iCs w:val="1"/>
          <w:color w:val="auto"/>
        </w:rPr>
        <w:t xml:space="preserve"> </w:t>
      </w:r>
      <w:r>
        <w:rPr>
          <w:rFonts w:ascii="Arial" w:cs="Arial" w:eastAsia="Arial" w:hAnsi="Arial"/>
          <w:sz w:val="14"/>
          <w:szCs w:val="14"/>
          <w:color w:val="auto"/>
        </w:rPr>
        <w:t>construed or read together as one with the Irish Companies Act 2014 and every statutory modification or reenactment thereof for the time being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603885</wp:posOffset>
            </wp:positionV>
            <wp:extent cx="560387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35" w:name="page136"/>
    <w:bookmarkEnd w:id="135"/>
    <w:p>
      <w:pPr>
        <w:ind w:left="1020" w:right="919" w:firstLine="258"/>
        <w:spacing w:after="0" w:line="247" w:lineRule="auto"/>
        <w:rPr>
          <w:sz w:val="20"/>
          <w:szCs w:val="20"/>
          <w:color w:val="auto"/>
        </w:rPr>
      </w:pPr>
      <w:r>
        <w:rPr>
          <w:rFonts w:ascii="Arial" w:cs="Arial" w:eastAsia="Arial" w:hAnsi="Arial"/>
          <w:sz w:val="14"/>
          <w:szCs w:val="14"/>
          <w:i w:val="1"/>
          <w:iCs w:val="1"/>
          <w:color w:val="auto"/>
        </w:rPr>
        <w:t xml:space="preserve">“Disability” </w:t>
      </w:r>
      <w:r>
        <w:rPr>
          <w:rFonts w:ascii="Arial" w:cs="Arial" w:eastAsia="Arial" w:hAnsi="Arial"/>
          <w:sz w:val="14"/>
          <w:szCs w:val="14"/>
          <w:color w:val="auto"/>
        </w:rPr>
        <w:t>means, with respect to a grantee, the inability of such grantee to engage in any substantial</w:t>
      </w:r>
      <w:r>
        <w:rPr>
          <w:rFonts w:ascii="Arial" w:cs="Arial" w:eastAsia="Arial" w:hAnsi="Arial"/>
          <w:sz w:val="14"/>
          <w:szCs w:val="14"/>
          <w:i w:val="1"/>
          <w:iCs w:val="1"/>
          <w:color w:val="auto"/>
        </w:rPr>
        <w:t xml:space="preserve"> </w:t>
      </w:r>
      <w:r>
        <w:rPr>
          <w:rFonts w:ascii="Arial" w:cs="Arial" w:eastAsia="Arial" w:hAnsi="Arial"/>
          <w:sz w:val="14"/>
          <w:szCs w:val="14"/>
          <w:color w:val="auto"/>
        </w:rPr>
        <w:t>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Company on the basis of such medical evidence as the Company deems warranted under the circumstances. For clarity, any reference to “disability” or “permanent disability” in any Award Certificate shall mean “Disability,” as defined herein.</w:t>
      </w: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 xml:space="preserve">“Effective Date” </w:t>
      </w:r>
      <w:r>
        <w:rPr>
          <w:rFonts w:ascii="Arial" w:cs="Arial" w:eastAsia="Arial" w:hAnsi="Arial"/>
          <w:sz w:val="14"/>
          <w:szCs w:val="14"/>
          <w:color w:val="auto"/>
        </w:rPr>
        <w:t>means the date set forth in Section 18.</w:t>
      </w:r>
    </w:p>
    <w:p>
      <w:pPr>
        <w:spacing w:after="0" w:line="140" w:lineRule="exact"/>
        <w:rPr>
          <w:sz w:val="20"/>
          <w:szCs w:val="20"/>
          <w:color w:val="auto"/>
        </w:rPr>
      </w:pPr>
    </w:p>
    <w:p>
      <w:pPr>
        <w:ind w:left="1020" w:right="1139" w:firstLine="258"/>
        <w:spacing w:after="0" w:line="282" w:lineRule="auto"/>
        <w:rPr>
          <w:sz w:val="20"/>
          <w:szCs w:val="20"/>
          <w:color w:val="auto"/>
        </w:rPr>
      </w:pPr>
      <w:r>
        <w:rPr>
          <w:rFonts w:ascii="Arial" w:cs="Arial" w:eastAsia="Arial" w:hAnsi="Arial"/>
          <w:sz w:val="14"/>
          <w:szCs w:val="14"/>
          <w:i w:val="1"/>
          <w:iCs w:val="1"/>
          <w:color w:val="auto"/>
        </w:rPr>
        <w:t xml:space="preserve">“Exchange Act” </w:t>
      </w:r>
      <w:r>
        <w:rPr>
          <w:rFonts w:ascii="Arial" w:cs="Arial" w:eastAsia="Arial" w:hAnsi="Arial"/>
          <w:sz w:val="14"/>
          <w:szCs w:val="14"/>
          <w:color w:val="auto"/>
        </w:rPr>
        <w:t>means the Securities Exchange Act of 1934, as amended, and the rules and regulations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thereunder.</w:t>
      </w:r>
    </w:p>
    <w:p>
      <w:pPr>
        <w:spacing w:after="0" w:line="94" w:lineRule="exact"/>
        <w:rPr>
          <w:sz w:val="20"/>
          <w:szCs w:val="20"/>
          <w:color w:val="auto"/>
        </w:rPr>
      </w:pPr>
    </w:p>
    <w:p>
      <w:pPr>
        <w:ind w:left="1020" w:right="979" w:firstLine="258"/>
        <w:spacing w:after="0" w:line="247" w:lineRule="auto"/>
        <w:rPr>
          <w:sz w:val="20"/>
          <w:szCs w:val="20"/>
          <w:color w:val="auto"/>
        </w:rPr>
      </w:pPr>
      <w:r>
        <w:rPr>
          <w:rFonts w:ascii="Arial" w:cs="Arial" w:eastAsia="Arial" w:hAnsi="Arial"/>
          <w:sz w:val="14"/>
          <w:szCs w:val="14"/>
          <w:i w:val="1"/>
          <w:iCs w:val="1"/>
          <w:color w:val="auto"/>
        </w:rPr>
        <w:t xml:space="preserve">“Fair Market Value” </w:t>
      </w:r>
      <w:r>
        <w:rPr>
          <w:rFonts w:ascii="Arial" w:cs="Arial" w:eastAsia="Arial" w:hAnsi="Arial"/>
          <w:sz w:val="14"/>
          <w:szCs w:val="14"/>
          <w:color w:val="auto"/>
        </w:rPr>
        <w:t>of the Shares on any given date for purposes of the Plan, unless otherwise required by</w:t>
      </w:r>
      <w:r>
        <w:rPr>
          <w:rFonts w:ascii="Arial" w:cs="Arial" w:eastAsia="Arial" w:hAnsi="Arial"/>
          <w:sz w:val="14"/>
          <w:szCs w:val="14"/>
          <w:i w:val="1"/>
          <w:iCs w:val="1"/>
          <w:color w:val="auto"/>
        </w:rPr>
        <w:t xml:space="preserve"> </w:t>
      </w:r>
      <w:r>
        <w:rPr>
          <w:rFonts w:ascii="Arial" w:cs="Arial" w:eastAsia="Arial" w:hAnsi="Arial"/>
          <w:sz w:val="14"/>
          <w:szCs w:val="14"/>
          <w:color w:val="auto"/>
        </w:rPr>
        <w:t>any applicable provision of the Code or any regulations issued thereunder, means the fair market value of the Shares determined in good faith by the Administrator; provided, however, that if the Shares are admitted to quotation on the Nasdaq Global Select Market (“</w:t>
      </w:r>
      <w:r>
        <w:rPr>
          <w:rFonts w:ascii="Arial" w:cs="Arial" w:eastAsia="Arial" w:hAnsi="Arial"/>
          <w:sz w:val="14"/>
          <w:szCs w:val="14"/>
          <w:i w:val="1"/>
          <w:iCs w:val="1"/>
          <w:color w:val="auto"/>
        </w:rPr>
        <w:t>Nasdaq</w:t>
      </w:r>
      <w:r>
        <w:rPr>
          <w:rFonts w:ascii="Arial" w:cs="Arial" w:eastAsia="Arial" w:hAnsi="Arial"/>
          <w:sz w:val="14"/>
          <w:szCs w:val="14"/>
          <w:color w:val="auto"/>
        </w:rPr>
        <w:t>”) or another national securities exchange, the determination shall be made by reference to the closing price reported by Nasdaq or such other exchange for such date. If the market is closed on such date, the determination shall be made by reference to the last date preceding such date for which the market is open.</w:t>
      </w:r>
    </w:p>
    <w:p>
      <w:pPr>
        <w:spacing w:after="0" w:line="107" w:lineRule="exact"/>
        <w:rPr>
          <w:sz w:val="20"/>
          <w:szCs w:val="20"/>
          <w:color w:val="auto"/>
        </w:rPr>
      </w:pPr>
    </w:p>
    <w:p>
      <w:pPr>
        <w:ind w:left="1020" w:right="939" w:firstLine="258"/>
        <w:spacing w:after="0" w:line="282" w:lineRule="auto"/>
        <w:rPr>
          <w:sz w:val="20"/>
          <w:szCs w:val="20"/>
          <w:color w:val="auto"/>
        </w:rPr>
      </w:pPr>
      <w:r>
        <w:rPr>
          <w:rFonts w:ascii="Arial" w:cs="Arial" w:eastAsia="Arial" w:hAnsi="Arial"/>
          <w:sz w:val="14"/>
          <w:szCs w:val="14"/>
          <w:i w:val="1"/>
          <w:iCs w:val="1"/>
          <w:color w:val="auto"/>
        </w:rPr>
        <w:t xml:space="preserve">“Incentive Stock Option” </w:t>
      </w:r>
      <w:r>
        <w:rPr>
          <w:rFonts w:ascii="Arial" w:cs="Arial" w:eastAsia="Arial" w:hAnsi="Arial"/>
          <w:sz w:val="14"/>
          <w:szCs w:val="14"/>
          <w:color w:val="auto"/>
        </w:rPr>
        <w:t>means any Stock Option designated and qualified as an “incentive stock option” as</w:t>
      </w:r>
      <w:r>
        <w:rPr>
          <w:rFonts w:ascii="Arial" w:cs="Arial" w:eastAsia="Arial" w:hAnsi="Arial"/>
          <w:sz w:val="14"/>
          <w:szCs w:val="14"/>
          <w:i w:val="1"/>
          <w:iCs w:val="1"/>
          <w:color w:val="auto"/>
        </w:rPr>
        <w:t xml:space="preserve"> </w:t>
      </w:r>
      <w:r>
        <w:rPr>
          <w:rFonts w:ascii="Arial" w:cs="Arial" w:eastAsia="Arial" w:hAnsi="Arial"/>
          <w:sz w:val="14"/>
          <w:szCs w:val="14"/>
          <w:color w:val="auto"/>
        </w:rPr>
        <w:t>defined in Section 422 of the Code.</w:t>
      </w:r>
    </w:p>
    <w:p>
      <w:pPr>
        <w:spacing w:after="0" w:line="83" w:lineRule="exact"/>
        <w:rPr>
          <w:sz w:val="20"/>
          <w:szCs w:val="20"/>
          <w:color w:val="auto"/>
        </w:rPr>
      </w:pPr>
    </w:p>
    <w:p>
      <w:pPr>
        <w:ind w:left="1020" w:right="1119" w:firstLine="258"/>
        <w:spacing w:after="0" w:line="282" w:lineRule="auto"/>
        <w:rPr>
          <w:sz w:val="20"/>
          <w:szCs w:val="20"/>
          <w:color w:val="auto"/>
        </w:rPr>
      </w:pPr>
      <w:r>
        <w:rPr>
          <w:rFonts w:ascii="Arial" w:cs="Arial" w:eastAsia="Arial" w:hAnsi="Arial"/>
          <w:sz w:val="14"/>
          <w:szCs w:val="14"/>
          <w:i w:val="1"/>
          <w:iCs w:val="1"/>
          <w:color w:val="auto"/>
        </w:rPr>
        <w:t xml:space="preserve">“Non-Employee Director” </w:t>
      </w:r>
      <w:r>
        <w:rPr>
          <w:rFonts w:ascii="Arial" w:cs="Arial" w:eastAsia="Arial" w:hAnsi="Arial"/>
          <w:sz w:val="14"/>
          <w:szCs w:val="14"/>
          <w:color w:val="auto"/>
        </w:rPr>
        <w:t>means a member of the Board who is not also an employee of the Company or</w:t>
      </w:r>
      <w:r>
        <w:rPr>
          <w:rFonts w:ascii="Arial" w:cs="Arial" w:eastAsia="Arial" w:hAnsi="Arial"/>
          <w:sz w:val="14"/>
          <w:szCs w:val="14"/>
          <w:i w:val="1"/>
          <w:iCs w:val="1"/>
          <w:color w:val="auto"/>
        </w:rPr>
        <w:t xml:space="preserve"> </w:t>
      </w:r>
      <w:r>
        <w:rPr>
          <w:rFonts w:ascii="Arial" w:cs="Arial" w:eastAsia="Arial" w:hAnsi="Arial"/>
          <w:sz w:val="14"/>
          <w:szCs w:val="14"/>
          <w:color w:val="auto"/>
        </w:rPr>
        <w:t>any Subsidiary.</w:t>
      </w:r>
    </w:p>
    <w:p>
      <w:pPr>
        <w:spacing w:after="0" w:line="94"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 xml:space="preserve">“Non-Qualified Stock Option” </w:t>
      </w:r>
      <w:r>
        <w:rPr>
          <w:rFonts w:ascii="Arial" w:cs="Arial" w:eastAsia="Arial" w:hAnsi="Arial"/>
          <w:sz w:val="14"/>
          <w:szCs w:val="14"/>
          <w:color w:val="auto"/>
        </w:rPr>
        <w:t>means any Stock Option that is not an Incentive Stock Option.</w:t>
      </w:r>
    </w:p>
    <w:p>
      <w:pPr>
        <w:spacing w:after="0" w:line="140"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 xml:space="preserve">“Option” </w:t>
      </w:r>
      <w:r>
        <w:rPr>
          <w:rFonts w:ascii="Arial" w:cs="Arial" w:eastAsia="Arial" w:hAnsi="Arial"/>
          <w:sz w:val="14"/>
          <w:szCs w:val="14"/>
          <w:color w:val="auto"/>
        </w:rPr>
        <w:t>or</w:t>
      </w:r>
      <w:r>
        <w:rPr>
          <w:rFonts w:ascii="Arial" w:cs="Arial" w:eastAsia="Arial" w:hAnsi="Arial"/>
          <w:sz w:val="14"/>
          <w:szCs w:val="14"/>
          <w:i w:val="1"/>
          <w:iCs w:val="1"/>
          <w:color w:val="auto"/>
        </w:rPr>
        <w:t xml:space="preserve"> “Stock Option” </w:t>
      </w:r>
      <w:r>
        <w:rPr>
          <w:rFonts w:ascii="Arial" w:cs="Arial" w:eastAsia="Arial" w:hAnsi="Arial"/>
          <w:sz w:val="14"/>
          <w:szCs w:val="14"/>
          <w:color w:val="auto"/>
        </w:rPr>
        <w:t>means any option to purchase Shares granted pursuant to Section 5.</w:t>
      </w:r>
    </w:p>
    <w:p>
      <w:pPr>
        <w:spacing w:after="0" w:line="140" w:lineRule="exact"/>
        <w:rPr>
          <w:sz w:val="20"/>
          <w:szCs w:val="20"/>
          <w:color w:val="auto"/>
        </w:rPr>
      </w:pPr>
    </w:p>
    <w:p>
      <w:pPr>
        <w:ind w:left="1020" w:right="1759" w:firstLine="258"/>
        <w:spacing w:after="0" w:line="282" w:lineRule="auto"/>
        <w:rPr>
          <w:sz w:val="20"/>
          <w:szCs w:val="20"/>
          <w:color w:val="auto"/>
        </w:rPr>
      </w:pPr>
      <w:r>
        <w:rPr>
          <w:rFonts w:ascii="Arial" w:cs="Arial" w:eastAsia="Arial" w:hAnsi="Arial"/>
          <w:sz w:val="14"/>
          <w:szCs w:val="14"/>
          <w:i w:val="1"/>
          <w:iCs w:val="1"/>
          <w:color w:val="auto"/>
        </w:rPr>
        <w:t xml:space="preserve">“Performance-Based Award” </w:t>
      </w:r>
      <w:r>
        <w:rPr>
          <w:rFonts w:ascii="Arial" w:cs="Arial" w:eastAsia="Arial" w:hAnsi="Arial"/>
          <w:sz w:val="14"/>
          <w:szCs w:val="14"/>
          <w:color w:val="auto"/>
        </w:rPr>
        <w:t>means any Restricted Stock Award, Restricted Stock Unit Award,</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Share Award or Cash-Based Award granted pursuant to Section 10.</w:t>
      </w:r>
    </w:p>
    <w:p>
      <w:pPr>
        <w:spacing w:after="0" w:line="94" w:lineRule="exact"/>
        <w:rPr>
          <w:sz w:val="20"/>
          <w:szCs w:val="20"/>
          <w:color w:val="auto"/>
        </w:rPr>
      </w:pPr>
    </w:p>
    <w:p>
      <w:pPr>
        <w:ind w:left="1020" w:right="899" w:firstLine="258"/>
        <w:spacing w:after="0" w:line="243" w:lineRule="auto"/>
        <w:rPr>
          <w:sz w:val="20"/>
          <w:szCs w:val="20"/>
          <w:color w:val="auto"/>
        </w:rPr>
      </w:pPr>
      <w:r>
        <w:rPr>
          <w:rFonts w:ascii="Arial" w:cs="Arial" w:eastAsia="Arial" w:hAnsi="Arial"/>
          <w:sz w:val="14"/>
          <w:szCs w:val="14"/>
          <w:i w:val="1"/>
          <w:iCs w:val="1"/>
          <w:color w:val="auto"/>
        </w:rPr>
        <w:t xml:space="preserve">“Performance Criteria” </w:t>
      </w:r>
      <w:r>
        <w:rPr>
          <w:rFonts w:ascii="Arial" w:cs="Arial" w:eastAsia="Arial" w:hAnsi="Arial"/>
          <w:sz w:val="14"/>
          <w:szCs w:val="14"/>
          <w:color w:val="auto"/>
        </w:rPr>
        <w:t>means the criteria that the Administrator selects for purposes of establishing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Goal or Performance Goals for an individual for a Performance Cycle. The Performance Criteria (which shall be applicable to the organizational level specified by the Administrator, including, but not limited to, the Company or a unit, division, group, or a Subsidiary) that will be used to establish Performance Goals are the following: earnings before interest, taxes, depreciation and amortization, net income (loss) (either before or after interest, taxes, depreciation and/or amortization), changes in the market price of the Shares, economic value-added, initiation or completion of clinical trials, results of clinical trials, drug development or commercialization milestones, collaboration milestones, operational measures including production capacity and capability, hiring and retention of key managers, expense management, capital raising transactions, sales or revenue, acquisitions or strategic transactions, operating income (loss), cash flow (including, but not limited to, operating cash flow and free cash flow), return on capital, assets, equity, or investment, shareholder returns, gross or net profit levels, operating margins, earnings (loss) per Share, sales or market shares, and any other measures of performance selected by the Administrator, any of which may be measured either in absolute terms or as compared to any incremental increase or as compared to results of a peer group.</w:t>
      </w:r>
    </w:p>
    <w:p>
      <w:pPr>
        <w:spacing w:after="0" w:line="113" w:lineRule="exact"/>
        <w:rPr>
          <w:sz w:val="20"/>
          <w:szCs w:val="20"/>
          <w:color w:val="auto"/>
        </w:rPr>
      </w:pPr>
    </w:p>
    <w:p>
      <w:pPr>
        <w:ind w:left="1020" w:right="1019" w:firstLine="258"/>
        <w:spacing w:after="0" w:line="250" w:lineRule="auto"/>
        <w:rPr>
          <w:sz w:val="20"/>
          <w:szCs w:val="20"/>
          <w:color w:val="auto"/>
        </w:rPr>
      </w:pPr>
      <w:r>
        <w:rPr>
          <w:rFonts w:ascii="Arial" w:cs="Arial" w:eastAsia="Arial" w:hAnsi="Arial"/>
          <w:sz w:val="14"/>
          <w:szCs w:val="14"/>
          <w:i w:val="1"/>
          <w:iCs w:val="1"/>
          <w:color w:val="auto"/>
        </w:rPr>
        <w:t xml:space="preserve">“Performance Cycle” </w:t>
      </w:r>
      <w:r>
        <w:rPr>
          <w:rFonts w:ascii="Arial" w:cs="Arial" w:eastAsia="Arial" w:hAnsi="Arial"/>
          <w:sz w:val="14"/>
          <w:szCs w:val="14"/>
          <w:color w:val="auto"/>
        </w:rPr>
        <w:t>means one or more periods of time, which may be of varying and overlapping</w:t>
      </w:r>
      <w:r>
        <w:rPr>
          <w:rFonts w:ascii="Arial" w:cs="Arial" w:eastAsia="Arial" w:hAnsi="Arial"/>
          <w:sz w:val="14"/>
          <w:szCs w:val="14"/>
          <w:i w:val="1"/>
          <w:iCs w:val="1"/>
          <w:color w:val="auto"/>
        </w:rPr>
        <w:t xml:space="preserve"> </w:t>
      </w:r>
      <w:r>
        <w:rPr>
          <w:rFonts w:ascii="Arial" w:cs="Arial" w:eastAsia="Arial" w:hAnsi="Arial"/>
          <w:sz w:val="14"/>
          <w:szCs w:val="14"/>
          <w:color w:val="auto"/>
        </w:rPr>
        <w:t>durations, as the Administrator may select, over which the attainment of one or more Performance Criteria will be measured for the purpose of determining a grantee’s right to and the payment of a Restricted Stock Award, Restricted Stock Unit Award, Performance Share Award or Cash-Based Award. Each such period shall not be less than 12 months.</w:t>
      </w:r>
    </w:p>
    <w:p>
      <w:pPr>
        <w:spacing w:after="0" w:line="107" w:lineRule="exact"/>
        <w:rPr>
          <w:sz w:val="20"/>
          <w:szCs w:val="20"/>
          <w:color w:val="auto"/>
        </w:rPr>
      </w:pPr>
    </w:p>
    <w:p>
      <w:pPr>
        <w:ind w:left="1020" w:right="939" w:firstLine="258"/>
        <w:spacing w:after="0" w:line="282" w:lineRule="auto"/>
        <w:rPr>
          <w:sz w:val="20"/>
          <w:szCs w:val="20"/>
          <w:color w:val="auto"/>
        </w:rPr>
      </w:pPr>
      <w:r>
        <w:rPr>
          <w:rFonts w:ascii="Arial" w:cs="Arial" w:eastAsia="Arial" w:hAnsi="Arial"/>
          <w:sz w:val="14"/>
          <w:szCs w:val="14"/>
          <w:i w:val="1"/>
          <w:iCs w:val="1"/>
          <w:color w:val="auto"/>
        </w:rPr>
        <w:t>“Performance Goals</w:t>
      </w:r>
      <w:r>
        <w:rPr>
          <w:rFonts w:ascii="Arial" w:cs="Arial" w:eastAsia="Arial" w:hAnsi="Arial"/>
          <w:sz w:val="14"/>
          <w:szCs w:val="14"/>
          <w:color w:val="auto"/>
        </w:rPr>
        <w:t>” means the specific goals established in writing by the Administrator for a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Cycle based upon the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594995</wp:posOffset>
            </wp:positionV>
            <wp:extent cx="560387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36" w:name="page137"/>
    <w:bookmarkEnd w:id="136"/>
    <w:p>
      <w:pPr>
        <w:ind w:left="1020" w:right="1019" w:firstLine="258"/>
        <w:spacing w:after="0" w:line="282" w:lineRule="auto"/>
        <w:rPr>
          <w:sz w:val="20"/>
          <w:szCs w:val="20"/>
          <w:color w:val="auto"/>
        </w:rPr>
      </w:pPr>
      <w:r>
        <w:rPr>
          <w:rFonts w:ascii="Arial" w:cs="Arial" w:eastAsia="Arial" w:hAnsi="Arial"/>
          <w:sz w:val="14"/>
          <w:szCs w:val="14"/>
          <w:i w:val="1"/>
          <w:iCs w:val="1"/>
          <w:color w:val="auto"/>
        </w:rPr>
        <w:t>“Performance Share Award</w:t>
      </w:r>
      <w:r>
        <w:rPr>
          <w:rFonts w:ascii="Arial" w:cs="Arial" w:eastAsia="Arial" w:hAnsi="Arial"/>
          <w:sz w:val="14"/>
          <w:szCs w:val="14"/>
          <w:color w:val="auto"/>
        </w:rPr>
        <w:t>” means an Award entitling the recipient to acquire Shares upon the attainment</w:t>
      </w:r>
      <w:r>
        <w:rPr>
          <w:rFonts w:ascii="Arial" w:cs="Arial" w:eastAsia="Arial" w:hAnsi="Arial"/>
          <w:sz w:val="14"/>
          <w:szCs w:val="14"/>
          <w:i w:val="1"/>
          <w:iCs w:val="1"/>
          <w:color w:val="auto"/>
        </w:rPr>
        <w:t xml:space="preserve"> </w:t>
      </w:r>
      <w:r>
        <w:rPr>
          <w:rFonts w:ascii="Arial" w:cs="Arial" w:eastAsia="Arial" w:hAnsi="Arial"/>
          <w:sz w:val="14"/>
          <w:szCs w:val="14"/>
          <w:color w:val="auto"/>
        </w:rPr>
        <w:t>of specified Performance Goals.</w:t>
      </w:r>
    </w:p>
    <w:p>
      <w:pPr>
        <w:spacing w:after="0" w:line="83" w:lineRule="exact"/>
        <w:rPr>
          <w:sz w:val="20"/>
          <w:szCs w:val="20"/>
          <w:color w:val="auto"/>
        </w:rPr>
      </w:pPr>
    </w:p>
    <w:p>
      <w:pPr>
        <w:ind w:left="1020" w:right="1119" w:firstLine="258"/>
        <w:spacing w:after="0" w:line="250" w:lineRule="auto"/>
        <w:rPr>
          <w:sz w:val="20"/>
          <w:szCs w:val="20"/>
          <w:color w:val="auto"/>
        </w:rPr>
      </w:pPr>
      <w:r>
        <w:rPr>
          <w:rFonts w:ascii="Arial" w:cs="Arial" w:eastAsia="Arial" w:hAnsi="Arial"/>
          <w:sz w:val="14"/>
          <w:szCs w:val="14"/>
          <w:i w:val="1"/>
          <w:iCs w:val="1"/>
          <w:color w:val="auto"/>
        </w:rPr>
        <w:t>“Prior Plans Returning Shares</w:t>
      </w:r>
      <w:r>
        <w:rPr>
          <w:rFonts w:ascii="Arial" w:cs="Arial" w:eastAsia="Arial" w:hAnsi="Arial"/>
          <w:sz w:val="14"/>
          <w:szCs w:val="14"/>
          <w:color w:val="auto"/>
        </w:rPr>
        <w:t>” means any Shares underlying any outstanding awards granted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2011 Plan or the 2008 Plan, in each case that are forfeited, canceled, repurchased or otherwise terminated (other than by exercise) from and after the 2020 Annual Meeting (which Shares, as and when they become Prior Plans Returning Shares, shall become available for issuance pursuant to Awards under this Plan, notwithstanding anything to the contrary in the terms of the 2011 Plan or the 2008 Plan).</w:t>
      </w:r>
    </w:p>
    <w:p>
      <w:pPr>
        <w:spacing w:after="0" w:line="107" w:lineRule="exact"/>
        <w:rPr>
          <w:sz w:val="20"/>
          <w:szCs w:val="20"/>
          <w:color w:val="auto"/>
        </w:rPr>
      </w:pPr>
    </w:p>
    <w:p>
      <w:pPr>
        <w:ind w:left="1020" w:right="1039" w:firstLine="258"/>
        <w:spacing w:after="0" w:line="261" w:lineRule="auto"/>
        <w:rPr>
          <w:sz w:val="20"/>
          <w:szCs w:val="20"/>
          <w:color w:val="auto"/>
        </w:rPr>
      </w:pPr>
      <w:r>
        <w:rPr>
          <w:rFonts w:ascii="Arial" w:cs="Arial" w:eastAsia="Arial" w:hAnsi="Arial"/>
          <w:sz w:val="14"/>
          <w:szCs w:val="14"/>
          <w:i w:val="1"/>
          <w:iCs w:val="1"/>
          <w:color w:val="auto"/>
        </w:rPr>
        <w:t>“Restricted Stock Award</w:t>
      </w:r>
      <w:r>
        <w:rPr>
          <w:rFonts w:ascii="Arial" w:cs="Arial" w:eastAsia="Arial" w:hAnsi="Arial"/>
          <w:sz w:val="14"/>
          <w:szCs w:val="14"/>
          <w:color w:val="auto"/>
        </w:rPr>
        <w:t>” means an Award entitling the recipient to acquire, at such purchase price (which</w:t>
      </w:r>
      <w:r>
        <w:rPr>
          <w:rFonts w:ascii="Arial" w:cs="Arial" w:eastAsia="Arial" w:hAnsi="Arial"/>
          <w:sz w:val="14"/>
          <w:szCs w:val="14"/>
          <w:i w:val="1"/>
          <w:iCs w:val="1"/>
          <w:color w:val="auto"/>
        </w:rPr>
        <w:t xml:space="preserve"> </w:t>
      </w:r>
      <w:r>
        <w:rPr>
          <w:rFonts w:ascii="Arial" w:cs="Arial" w:eastAsia="Arial" w:hAnsi="Arial"/>
          <w:sz w:val="14"/>
          <w:szCs w:val="14"/>
          <w:color w:val="auto"/>
        </w:rPr>
        <w:t>may be zero) as determined by the Administrator, Shares subject to such restrictions and conditions as the Administrator may determine at the time of grant.</w:t>
      </w:r>
    </w:p>
    <w:p>
      <w:pPr>
        <w:spacing w:after="0" w:line="108"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“Restricted Stock Unit Award</w:t>
      </w:r>
      <w:r>
        <w:rPr>
          <w:rFonts w:ascii="Arial" w:cs="Arial" w:eastAsia="Arial" w:hAnsi="Arial"/>
          <w:sz w:val="14"/>
          <w:szCs w:val="14"/>
          <w:color w:val="auto"/>
        </w:rPr>
        <w:t>” means an Award of phantom stock units to a grantee.</w:t>
      </w:r>
    </w:p>
    <w:p>
      <w:pPr>
        <w:spacing w:after="0" w:line="140" w:lineRule="exact"/>
        <w:rPr>
          <w:sz w:val="20"/>
          <w:szCs w:val="20"/>
          <w:color w:val="auto"/>
        </w:rPr>
      </w:pPr>
    </w:p>
    <w:p>
      <w:pPr>
        <w:ind w:left="1020" w:right="919" w:firstLine="258"/>
        <w:spacing w:after="0" w:line="248" w:lineRule="auto"/>
        <w:rPr>
          <w:sz w:val="20"/>
          <w:szCs w:val="20"/>
          <w:color w:val="auto"/>
        </w:rPr>
      </w:pPr>
      <w:r>
        <w:rPr>
          <w:rFonts w:ascii="Arial" w:cs="Arial" w:eastAsia="Arial" w:hAnsi="Arial"/>
          <w:sz w:val="14"/>
          <w:szCs w:val="14"/>
          <w:i w:val="1"/>
          <w:iCs w:val="1"/>
          <w:color w:val="auto"/>
        </w:rPr>
        <w:t>“Sale Event</w:t>
      </w:r>
      <w:r>
        <w:rPr>
          <w:rFonts w:ascii="Arial" w:cs="Arial" w:eastAsia="Arial" w:hAnsi="Arial"/>
          <w:sz w:val="14"/>
          <w:szCs w:val="14"/>
          <w:color w:val="auto"/>
        </w:rPr>
        <w:t>” shall mean (i) the sale of all or substantially all of the assets of the Company on a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basis to an unrelated person or entity, (ii) a merger, reorganization or consolidation in which the outstanding Shares are converted into or exchanged for securities of the successor entity and the holders of the Company’s outstanding voting power immediately prior to such transaction do not own a majority of the outstanding voting power of the successor entity immediately upon completion of such transaction, or (iii) the sale of all of the Shares to an unrelated person or entity.</w:t>
      </w:r>
    </w:p>
    <w:p>
      <w:pPr>
        <w:spacing w:after="0" w:line="108" w:lineRule="exact"/>
        <w:rPr>
          <w:sz w:val="20"/>
          <w:szCs w:val="20"/>
          <w:color w:val="auto"/>
        </w:rPr>
      </w:pPr>
    </w:p>
    <w:p>
      <w:pPr>
        <w:ind w:left="1020" w:right="1279" w:firstLine="258"/>
        <w:spacing w:after="0" w:line="282" w:lineRule="auto"/>
        <w:rPr>
          <w:sz w:val="20"/>
          <w:szCs w:val="20"/>
          <w:color w:val="auto"/>
        </w:rPr>
      </w:pPr>
      <w:r>
        <w:rPr>
          <w:rFonts w:ascii="Arial" w:cs="Arial" w:eastAsia="Arial" w:hAnsi="Arial"/>
          <w:sz w:val="14"/>
          <w:szCs w:val="14"/>
          <w:i w:val="1"/>
          <w:iCs w:val="1"/>
          <w:color w:val="auto"/>
        </w:rPr>
        <w:t xml:space="preserve">“Section 409A” </w:t>
      </w:r>
      <w:r>
        <w:rPr>
          <w:rFonts w:ascii="Arial" w:cs="Arial" w:eastAsia="Arial" w:hAnsi="Arial"/>
          <w:sz w:val="14"/>
          <w:szCs w:val="14"/>
          <w:color w:val="auto"/>
        </w:rPr>
        <w:t>means Section 409A of the Code and the regulations and other guidance promulgated</w:t>
      </w:r>
      <w:r>
        <w:rPr>
          <w:rFonts w:ascii="Arial" w:cs="Arial" w:eastAsia="Arial" w:hAnsi="Arial"/>
          <w:sz w:val="14"/>
          <w:szCs w:val="14"/>
          <w:i w:val="1"/>
          <w:iCs w:val="1"/>
          <w:color w:val="auto"/>
        </w:rPr>
        <w:t xml:space="preserve"> </w:t>
      </w:r>
      <w:r>
        <w:rPr>
          <w:rFonts w:ascii="Arial" w:cs="Arial" w:eastAsia="Arial" w:hAnsi="Arial"/>
          <w:sz w:val="14"/>
          <w:szCs w:val="14"/>
          <w:color w:val="auto"/>
        </w:rPr>
        <w:t>thereunder.</w:t>
      </w:r>
    </w:p>
    <w:p>
      <w:pPr>
        <w:spacing w:after="0" w:line="94" w:lineRule="exact"/>
        <w:rPr>
          <w:sz w:val="20"/>
          <w:szCs w:val="20"/>
          <w:color w:val="auto"/>
        </w:rPr>
      </w:pPr>
    </w:p>
    <w:p>
      <w:pPr>
        <w:ind w:left="1020" w:right="1279" w:firstLine="258"/>
        <w:spacing w:after="0" w:line="282" w:lineRule="auto"/>
        <w:rPr>
          <w:sz w:val="20"/>
          <w:szCs w:val="20"/>
          <w:color w:val="auto"/>
        </w:rPr>
      </w:pPr>
      <w:r>
        <w:rPr>
          <w:rFonts w:ascii="Arial" w:cs="Arial" w:eastAsia="Arial" w:hAnsi="Arial"/>
          <w:sz w:val="14"/>
          <w:szCs w:val="14"/>
          <w:i w:val="1"/>
          <w:iCs w:val="1"/>
          <w:color w:val="auto"/>
        </w:rPr>
        <w:t xml:space="preserve">“Share” </w:t>
      </w:r>
      <w:r>
        <w:rPr>
          <w:rFonts w:ascii="Arial" w:cs="Arial" w:eastAsia="Arial" w:hAnsi="Arial"/>
          <w:sz w:val="14"/>
          <w:szCs w:val="14"/>
          <w:color w:val="auto"/>
        </w:rPr>
        <w:t>or</w:t>
      </w:r>
      <w:r>
        <w:rPr>
          <w:rFonts w:ascii="Arial" w:cs="Arial" w:eastAsia="Arial" w:hAnsi="Arial"/>
          <w:sz w:val="14"/>
          <w:szCs w:val="14"/>
          <w:i w:val="1"/>
          <w:iCs w:val="1"/>
          <w:color w:val="auto"/>
        </w:rPr>
        <w:t xml:space="preserve"> “Shares” </w:t>
      </w:r>
      <w:r>
        <w:rPr>
          <w:rFonts w:ascii="Arial" w:cs="Arial" w:eastAsia="Arial" w:hAnsi="Arial"/>
          <w:sz w:val="14"/>
          <w:szCs w:val="14"/>
          <w:color w:val="auto"/>
        </w:rPr>
        <w:t>means the ordinary shares, $0.01 par value per share, of the Company,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adjustments pursuant to Section 3.</w:t>
      </w:r>
    </w:p>
    <w:p>
      <w:pPr>
        <w:spacing w:after="0" w:line="83"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 xml:space="preserve">“Stock Appreciation Right” </w:t>
      </w:r>
      <w:r>
        <w:rPr>
          <w:rFonts w:ascii="Arial" w:cs="Arial" w:eastAsia="Arial" w:hAnsi="Arial"/>
          <w:sz w:val="14"/>
          <w:szCs w:val="14"/>
          <w:color w:val="auto"/>
        </w:rPr>
        <w:t>means a right to receive the appreciation on Shares granted pursuant to Section</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5.</w:t>
      </w:r>
    </w:p>
    <w:p>
      <w:pPr>
        <w:spacing w:after="0" w:line="126" w:lineRule="exact"/>
        <w:rPr>
          <w:sz w:val="20"/>
          <w:szCs w:val="20"/>
          <w:color w:val="auto"/>
        </w:rPr>
      </w:pPr>
    </w:p>
    <w:p>
      <w:pPr>
        <w:ind w:left="1020" w:right="959" w:firstLine="258"/>
        <w:spacing w:after="0" w:line="282" w:lineRule="auto"/>
        <w:rPr>
          <w:sz w:val="20"/>
          <w:szCs w:val="20"/>
          <w:color w:val="auto"/>
        </w:rPr>
      </w:pPr>
      <w:r>
        <w:rPr>
          <w:rFonts w:ascii="Arial" w:cs="Arial" w:eastAsia="Arial" w:hAnsi="Arial"/>
          <w:sz w:val="14"/>
          <w:szCs w:val="14"/>
          <w:i w:val="1"/>
          <w:iCs w:val="1"/>
          <w:color w:val="auto"/>
        </w:rPr>
        <w:t xml:space="preserve">“Subsidiary” </w:t>
      </w:r>
      <w:r>
        <w:rPr>
          <w:rFonts w:ascii="Arial" w:cs="Arial" w:eastAsia="Arial" w:hAnsi="Arial"/>
          <w:sz w:val="14"/>
          <w:szCs w:val="14"/>
          <w:color w:val="auto"/>
        </w:rPr>
        <w:t>means any corporation or other entity in which the Company has at least a 50 percent interest,</w:t>
      </w:r>
      <w:r>
        <w:rPr>
          <w:rFonts w:ascii="Arial" w:cs="Arial" w:eastAsia="Arial" w:hAnsi="Arial"/>
          <w:sz w:val="14"/>
          <w:szCs w:val="14"/>
          <w:i w:val="1"/>
          <w:iCs w:val="1"/>
          <w:color w:val="auto"/>
        </w:rPr>
        <w:t xml:space="preserve"> </w:t>
      </w:r>
      <w:r>
        <w:rPr>
          <w:rFonts w:ascii="Arial" w:cs="Arial" w:eastAsia="Arial" w:hAnsi="Arial"/>
          <w:sz w:val="14"/>
          <w:szCs w:val="14"/>
          <w:color w:val="auto"/>
        </w:rPr>
        <w:t>either directly or indirectly.</w:t>
      </w:r>
    </w:p>
    <w:p>
      <w:pPr>
        <w:spacing w:after="0" w:line="94" w:lineRule="exact"/>
        <w:rPr>
          <w:sz w:val="20"/>
          <w:szCs w:val="20"/>
          <w:color w:val="auto"/>
        </w:rPr>
      </w:pPr>
    </w:p>
    <w:p>
      <w:pPr>
        <w:ind w:left="1020" w:right="939" w:firstLine="258"/>
        <w:spacing w:after="0" w:line="261" w:lineRule="auto"/>
        <w:rPr>
          <w:sz w:val="20"/>
          <w:szCs w:val="20"/>
          <w:color w:val="auto"/>
        </w:rPr>
      </w:pPr>
      <w:r>
        <w:rPr>
          <w:rFonts w:ascii="Arial" w:cs="Arial" w:eastAsia="Arial" w:hAnsi="Arial"/>
          <w:sz w:val="14"/>
          <w:szCs w:val="14"/>
          <w:i w:val="1"/>
          <w:iCs w:val="1"/>
          <w:color w:val="auto"/>
        </w:rPr>
        <w:t xml:space="preserve">“Ten Percent Owner” </w:t>
      </w:r>
      <w:r>
        <w:rPr>
          <w:rFonts w:ascii="Arial" w:cs="Arial" w:eastAsia="Arial" w:hAnsi="Arial"/>
          <w:sz w:val="14"/>
          <w:szCs w:val="14"/>
          <w:color w:val="auto"/>
        </w:rPr>
        <w:t>means an employee who owns or is deemed to own (by reason of the attribution rules</w:t>
      </w:r>
      <w:r>
        <w:rPr>
          <w:rFonts w:ascii="Arial" w:cs="Arial" w:eastAsia="Arial" w:hAnsi="Arial"/>
          <w:sz w:val="14"/>
          <w:szCs w:val="14"/>
          <w:i w:val="1"/>
          <w:iCs w:val="1"/>
          <w:color w:val="auto"/>
        </w:rPr>
        <w:t xml:space="preserve"> </w:t>
      </w:r>
      <w:r>
        <w:rPr>
          <w:rFonts w:ascii="Arial" w:cs="Arial" w:eastAsia="Arial" w:hAnsi="Arial"/>
          <w:sz w:val="14"/>
          <w:szCs w:val="14"/>
          <w:color w:val="auto"/>
        </w:rPr>
        <w:t>of Section 424(d) of the Code) more than 10 percent of the combined voting power of all classes of shares of the Company or any subsidiary corporation of the Company, within the meaning of Section 424 of the Code.</w:t>
      </w:r>
    </w:p>
    <w:p>
      <w:pPr>
        <w:spacing w:after="0" w:line="98" w:lineRule="exact"/>
        <w:rPr>
          <w:sz w:val="20"/>
          <w:szCs w:val="20"/>
          <w:color w:val="auto"/>
        </w:rPr>
      </w:pPr>
    </w:p>
    <w:p>
      <w:pPr>
        <w:ind w:left="1540" w:right="939" w:hanging="514"/>
        <w:spacing w:after="0" w:line="288" w:lineRule="auto"/>
        <w:rPr>
          <w:sz w:val="20"/>
          <w:szCs w:val="20"/>
          <w:color w:val="auto"/>
        </w:rPr>
      </w:pPr>
      <w:r>
        <w:rPr>
          <w:rFonts w:ascii="Arial" w:cs="Arial" w:eastAsia="Arial" w:hAnsi="Arial"/>
          <w:sz w:val="14"/>
          <w:szCs w:val="14"/>
          <w:b w:val="1"/>
          <w:bCs w:val="1"/>
          <w:color w:val="40C1AC"/>
        </w:rPr>
        <w:t>SECTION 2.</w:t>
      </w:r>
      <w:r>
        <w:rPr>
          <w:sz w:val="20"/>
          <w:szCs w:val="20"/>
          <w:color w:val="auto"/>
        </w:rPr>
        <w:t xml:space="preserve"> </w:t>
      </w:r>
      <w:r>
        <w:rPr>
          <w:rFonts w:ascii="Arial" w:cs="Arial" w:eastAsia="Arial" w:hAnsi="Arial"/>
          <w:sz w:val="14"/>
          <w:szCs w:val="14"/>
          <w:b w:val="1"/>
          <w:bCs w:val="1"/>
          <w:i w:val="1"/>
          <w:iCs w:val="1"/>
          <w:color w:val="40C1AC"/>
        </w:rPr>
        <w:t>ADMINISTRATION OF PLAN; ADMINISTRATOR AUTHORITY TO SELECT GRANTEES AND DETERMINE AWARDS</w:t>
      </w:r>
    </w:p>
    <w:p>
      <w:pPr>
        <w:spacing w:after="0" w:line="75" w:lineRule="exact"/>
        <w:rPr>
          <w:sz w:val="20"/>
          <w:szCs w:val="20"/>
          <w:color w:val="auto"/>
        </w:rPr>
      </w:pPr>
    </w:p>
    <w:p>
      <w:pPr>
        <w:ind w:left="1600" w:hanging="313"/>
        <w:spacing w:after="0"/>
        <w:tabs>
          <w:tab w:leader="none" w:pos="160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Administration of Plan.  </w:t>
      </w:r>
      <w:r>
        <w:rPr>
          <w:rFonts w:ascii="Arial" w:cs="Arial" w:eastAsia="Arial" w:hAnsi="Arial"/>
          <w:sz w:val="14"/>
          <w:szCs w:val="14"/>
          <w:color w:val="auto"/>
        </w:rPr>
        <w:t>The Plan shall be administered by the Administrator.</w:t>
      </w:r>
    </w:p>
    <w:p>
      <w:pPr>
        <w:spacing w:after="0" w:line="150" w:lineRule="exact"/>
        <w:rPr>
          <w:rFonts w:ascii="Arial" w:cs="Arial" w:eastAsia="Arial" w:hAnsi="Arial"/>
          <w:sz w:val="14"/>
          <w:szCs w:val="14"/>
          <w:color w:val="auto"/>
        </w:rPr>
      </w:pPr>
    </w:p>
    <w:p>
      <w:pPr>
        <w:ind w:left="1020" w:right="1299" w:firstLine="267"/>
        <w:spacing w:after="0" w:line="282" w:lineRule="auto"/>
        <w:tabs>
          <w:tab w:leader="none" w:pos="1596"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Powers of Administrator. </w:t>
      </w:r>
      <w:r>
        <w:rPr>
          <w:rFonts w:ascii="Arial" w:cs="Arial" w:eastAsia="Arial" w:hAnsi="Arial"/>
          <w:sz w:val="14"/>
          <w:szCs w:val="14"/>
          <w:color w:val="auto"/>
        </w:rPr>
        <w:t>The Administrator shall have the power and authority to grant Awards</w:t>
      </w:r>
      <w:r>
        <w:rPr>
          <w:rFonts w:ascii="Arial" w:cs="Arial" w:eastAsia="Arial" w:hAnsi="Arial"/>
          <w:sz w:val="14"/>
          <w:szCs w:val="14"/>
          <w:i w:val="1"/>
          <w:iCs w:val="1"/>
          <w:color w:val="auto"/>
        </w:rPr>
        <w:t xml:space="preserve"> </w:t>
      </w:r>
      <w:r>
        <w:rPr>
          <w:rFonts w:ascii="Arial" w:cs="Arial" w:eastAsia="Arial" w:hAnsi="Arial"/>
          <w:sz w:val="14"/>
          <w:szCs w:val="14"/>
          <w:color w:val="auto"/>
        </w:rPr>
        <w:t>consistent with the terms of the Plan, including the power and authority:</w:t>
      </w:r>
    </w:p>
    <w:p>
      <w:pPr>
        <w:spacing w:after="0" w:line="29" w:lineRule="exact"/>
        <w:rPr>
          <w:rFonts w:ascii="Arial" w:cs="Arial" w:eastAsia="Arial" w:hAnsi="Arial"/>
          <w:sz w:val="14"/>
          <w:szCs w:val="14"/>
          <w:color w:val="auto"/>
        </w:rPr>
      </w:pPr>
    </w:p>
    <w:p>
      <w:pPr>
        <w:ind w:left="2380" w:hanging="320"/>
        <w:spacing w:after="0"/>
        <w:tabs>
          <w:tab w:leader="none" w:pos="23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to select the individuals to whom Awards may from time to time be granted;</w:t>
      </w:r>
    </w:p>
    <w:p>
      <w:pPr>
        <w:spacing w:after="0" w:line="139" w:lineRule="exact"/>
        <w:rPr>
          <w:rFonts w:ascii="Arial" w:cs="Arial" w:eastAsia="Arial" w:hAnsi="Arial"/>
          <w:sz w:val="14"/>
          <w:szCs w:val="14"/>
          <w:color w:val="auto"/>
        </w:rPr>
      </w:pPr>
    </w:p>
    <w:p>
      <w:pPr>
        <w:ind w:left="1540" w:right="1039" w:firstLine="520"/>
        <w:spacing w:after="0" w:line="254" w:lineRule="auto"/>
        <w:tabs>
          <w:tab w:leader="none" w:pos="2374" w:val="left"/>
        </w:tabs>
        <w:numPr>
          <w:ilvl w:val="1"/>
          <w:numId w:val="57"/>
        </w:numPr>
        <w:rPr>
          <w:rFonts w:ascii="Arial" w:cs="Arial" w:eastAsia="Arial" w:hAnsi="Arial"/>
          <w:sz w:val="14"/>
          <w:szCs w:val="14"/>
          <w:color w:val="auto"/>
        </w:rPr>
      </w:pPr>
      <w:r>
        <w:rPr>
          <w:rFonts w:ascii="Arial" w:cs="Arial" w:eastAsia="Arial" w:hAnsi="Arial"/>
          <w:sz w:val="14"/>
          <w:szCs w:val="14"/>
          <w:color w:val="auto"/>
        </w:rPr>
        <w:t>to determine the time or times of grant, and the extent, if any, of Incentive Stock Options, Non-Qualified Stock Options, Stock Appreciation Rights, Restricted Stock Awards, Restricted Stock Unit Awards, Cash-Based Awards and Performance Share Awards, or any combination of the foregoing, granted to any one or more grantees;</w:t>
      </w:r>
    </w:p>
    <w:p>
      <w:pPr>
        <w:spacing w:after="0" w:line="102" w:lineRule="exact"/>
        <w:rPr>
          <w:rFonts w:ascii="Arial" w:cs="Arial" w:eastAsia="Arial" w:hAnsi="Arial"/>
          <w:sz w:val="14"/>
          <w:szCs w:val="14"/>
          <w:color w:val="auto"/>
        </w:rPr>
      </w:pPr>
    </w:p>
    <w:p>
      <w:pPr>
        <w:ind w:left="2380" w:hanging="320"/>
        <w:spacing w:after="0"/>
        <w:tabs>
          <w:tab w:leader="none" w:pos="23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to determine the number of Shares to be covered by any Award;</w:t>
      </w:r>
    </w:p>
    <w:p>
      <w:pPr>
        <w:spacing w:after="0" w:line="150" w:lineRule="exact"/>
        <w:rPr>
          <w:rFonts w:ascii="Arial" w:cs="Arial" w:eastAsia="Arial" w:hAnsi="Arial"/>
          <w:sz w:val="14"/>
          <w:szCs w:val="14"/>
          <w:color w:val="auto"/>
        </w:rPr>
      </w:pPr>
    </w:p>
    <w:p>
      <w:pPr>
        <w:jc w:val="both"/>
        <w:ind w:left="1540" w:right="959" w:firstLine="520"/>
        <w:spacing w:after="0" w:line="254" w:lineRule="auto"/>
        <w:tabs>
          <w:tab w:leader="none" w:pos="2374" w:val="left"/>
        </w:tabs>
        <w:numPr>
          <w:ilvl w:val="1"/>
          <w:numId w:val="57"/>
        </w:numPr>
        <w:rPr>
          <w:rFonts w:ascii="Arial" w:cs="Arial" w:eastAsia="Arial" w:hAnsi="Arial"/>
          <w:sz w:val="14"/>
          <w:szCs w:val="14"/>
          <w:color w:val="auto"/>
        </w:rPr>
      </w:pPr>
      <w:r>
        <w:rPr>
          <w:rFonts w:ascii="Arial" w:cs="Arial" w:eastAsia="Arial" w:hAnsi="Arial"/>
          <w:sz w:val="14"/>
          <w:szCs w:val="14"/>
          <w:color w:val="auto"/>
        </w:rPr>
        <w:t>to determine and modify from time to time the terms and conditions, including restrictions, not inconsistent with the terms of the Plan, of any Award, which terms and conditions may differ among individual Awards and grantees, and to approve the form of written (or electronic) instruments evidencing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600710</wp:posOffset>
            </wp:positionV>
            <wp:extent cx="560387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37" w:name="page138"/>
    <w:bookmarkEnd w:id="137"/>
    <w:p>
      <w:pPr>
        <w:ind w:left="1540" w:right="1079" w:firstLine="520"/>
        <w:spacing w:after="0" w:line="282" w:lineRule="auto"/>
        <w:tabs>
          <w:tab w:leader="none" w:pos="2374" w:val="left"/>
        </w:tabs>
        <w:numPr>
          <w:ilvl w:val="0"/>
          <w:numId w:val="58"/>
        </w:numPr>
        <w:rPr>
          <w:rFonts w:ascii="Arial" w:cs="Arial" w:eastAsia="Arial" w:hAnsi="Arial"/>
          <w:sz w:val="14"/>
          <w:szCs w:val="14"/>
          <w:color w:val="auto"/>
        </w:rPr>
      </w:pPr>
      <w:r>
        <w:rPr>
          <w:rFonts w:ascii="Arial" w:cs="Arial" w:eastAsia="Arial" w:hAnsi="Arial"/>
          <w:sz w:val="14"/>
          <w:szCs w:val="14"/>
          <w:color w:val="auto"/>
        </w:rPr>
        <w:t>subject to the provisions of Sections 5(a)(iii), 6(d) and 7(a), to accelerate at any time the exercisability or vesting of all or any portion of any Award;</w:t>
      </w:r>
    </w:p>
    <w:p>
      <w:pPr>
        <w:spacing w:after="0" w:line="83" w:lineRule="exact"/>
        <w:rPr>
          <w:rFonts w:ascii="Arial" w:cs="Arial" w:eastAsia="Arial" w:hAnsi="Arial"/>
          <w:sz w:val="14"/>
          <w:szCs w:val="14"/>
          <w:color w:val="auto"/>
        </w:rPr>
      </w:pPr>
    </w:p>
    <w:p>
      <w:pPr>
        <w:ind w:left="1540" w:right="939" w:firstLine="520"/>
        <w:spacing w:after="0" w:line="282" w:lineRule="auto"/>
        <w:tabs>
          <w:tab w:leader="none" w:pos="2374" w:val="left"/>
        </w:tabs>
        <w:numPr>
          <w:ilvl w:val="0"/>
          <w:numId w:val="58"/>
        </w:numPr>
        <w:rPr>
          <w:rFonts w:ascii="Arial" w:cs="Arial" w:eastAsia="Arial" w:hAnsi="Arial"/>
          <w:sz w:val="14"/>
          <w:szCs w:val="14"/>
          <w:color w:val="auto"/>
        </w:rPr>
      </w:pPr>
      <w:r>
        <w:rPr>
          <w:rFonts w:ascii="Arial" w:cs="Arial" w:eastAsia="Arial" w:hAnsi="Arial"/>
          <w:sz w:val="14"/>
          <w:szCs w:val="14"/>
          <w:color w:val="auto"/>
        </w:rPr>
        <w:t>subject to the provisions of Section 5(a)(ii), to extend at any time the period in which Stock Options or Stock Appreciation Rights may be exercised; and</w:t>
      </w:r>
    </w:p>
    <w:p>
      <w:pPr>
        <w:spacing w:after="0" w:line="83" w:lineRule="exact"/>
        <w:rPr>
          <w:rFonts w:ascii="Arial" w:cs="Arial" w:eastAsia="Arial" w:hAnsi="Arial"/>
          <w:sz w:val="14"/>
          <w:szCs w:val="14"/>
          <w:color w:val="auto"/>
        </w:rPr>
      </w:pPr>
    </w:p>
    <w:p>
      <w:pPr>
        <w:ind w:left="1540" w:right="959" w:firstLine="520"/>
        <w:spacing w:after="0" w:line="249" w:lineRule="auto"/>
        <w:tabs>
          <w:tab w:leader="none" w:pos="2374" w:val="left"/>
        </w:tabs>
        <w:numPr>
          <w:ilvl w:val="0"/>
          <w:numId w:val="58"/>
        </w:numPr>
        <w:rPr>
          <w:rFonts w:ascii="Arial" w:cs="Arial" w:eastAsia="Arial" w:hAnsi="Arial"/>
          <w:sz w:val="14"/>
          <w:szCs w:val="14"/>
          <w:color w:val="auto"/>
        </w:rPr>
      </w:pPr>
      <w:r>
        <w:rPr>
          <w:rFonts w:ascii="Arial" w:cs="Arial" w:eastAsia="Arial" w:hAnsi="Arial"/>
          <w:sz w:val="14"/>
          <w:szCs w:val="14"/>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and electronic instruments); to make all determinations it deems advisable for the administration of the Plan; to decide all disputes arising in connection with the Plan; and to otherwise supervise the administration of the Plan.</w:t>
      </w:r>
    </w:p>
    <w:p>
      <w:pPr>
        <w:spacing w:after="0" w:line="282" w:lineRule="exact"/>
        <w:rPr>
          <w:sz w:val="20"/>
          <w:szCs w:val="20"/>
          <w:color w:val="auto"/>
        </w:rPr>
      </w:pPr>
    </w:p>
    <w:p>
      <w:pPr>
        <w:ind w:left="1020" w:right="1579" w:firstLine="258"/>
        <w:spacing w:after="0" w:line="282" w:lineRule="auto"/>
        <w:rPr>
          <w:sz w:val="20"/>
          <w:szCs w:val="20"/>
          <w:color w:val="auto"/>
        </w:rPr>
      </w:pPr>
      <w:r>
        <w:rPr>
          <w:rFonts w:ascii="Arial" w:cs="Arial" w:eastAsia="Arial" w:hAnsi="Arial"/>
          <w:sz w:val="14"/>
          <w:szCs w:val="14"/>
          <w:color w:val="auto"/>
        </w:rPr>
        <w:t>All decisions and interpretations of the Administrator shall be binding on all persons, including the Company, Subsidiaries and Plan grantees.</w:t>
      </w:r>
    </w:p>
    <w:p>
      <w:pPr>
        <w:spacing w:after="0" w:line="83" w:lineRule="exact"/>
        <w:rPr>
          <w:sz w:val="20"/>
          <w:szCs w:val="20"/>
          <w:color w:val="auto"/>
        </w:rPr>
      </w:pPr>
    </w:p>
    <w:p>
      <w:pPr>
        <w:ind w:left="1020" w:right="939" w:firstLine="267"/>
        <w:spacing w:after="0" w:line="245" w:lineRule="auto"/>
        <w:tabs>
          <w:tab w:leader="none" w:pos="1596"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Delegation of Authority to Grant Awards. </w:t>
      </w:r>
      <w:r>
        <w:rPr>
          <w:rFonts w:ascii="Arial" w:cs="Arial" w:eastAsia="Arial" w:hAnsi="Arial"/>
          <w:sz w:val="14"/>
          <w:szCs w:val="14"/>
          <w:color w:val="auto"/>
        </w:rPr>
        <w:t>Subject to applicable law, the Administrator, in its</w:t>
      </w:r>
      <w:r>
        <w:rPr>
          <w:rFonts w:ascii="Arial" w:cs="Arial" w:eastAsia="Arial" w:hAnsi="Arial"/>
          <w:sz w:val="14"/>
          <w:szCs w:val="14"/>
          <w:i w:val="1"/>
          <w:iCs w:val="1"/>
          <w:color w:val="auto"/>
        </w:rPr>
        <w:t xml:space="preserve"> </w:t>
      </w:r>
      <w:r>
        <w:rPr>
          <w:rFonts w:ascii="Arial" w:cs="Arial" w:eastAsia="Arial" w:hAnsi="Arial"/>
          <w:sz w:val="14"/>
          <w:szCs w:val="14"/>
          <w:color w:val="auto"/>
        </w:rPr>
        <w:t>discretion, may delegate to a subcommittee comprised of one or more members of the Board all or part of the Administrator’s authority and duties with respect to the granting of Awards to employees who are not subject to the reporting and other provisions of Section 16 of the Exchange Act. Any such delegation by the Administrator shall include a limitation as to the amount of the Awards that may be granted during the period of the delegation and shall contain guidelines as to the determination of the exercise price, in the case of Stock Options and Stock Appreciation Rights, and the vesting criteria for the Award. The Administrator may revoke or amend the terms of a delegation at any time, but such action shall not invalidate any prior actions of the Administrator’s delegate or delegates that were consistent with the terms of the Plan.</w:t>
      </w:r>
    </w:p>
    <w:p>
      <w:pPr>
        <w:spacing w:after="0" w:line="110" w:lineRule="exact"/>
        <w:rPr>
          <w:rFonts w:ascii="Arial" w:cs="Arial" w:eastAsia="Arial" w:hAnsi="Arial"/>
          <w:sz w:val="14"/>
          <w:szCs w:val="14"/>
          <w:color w:val="auto"/>
        </w:rPr>
      </w:pPr>
    </w:p>
    <w:p>
      <w:pPr>
        <w:jc w:val="both"/>
        <w:ind w:left="1020" w:right="919" w:firstLine="267"/>
        <w:spacing w:after="0" w:line="261" w:lineRule="auto"/>
        <w:tabs>
          <w:tab w:leader="none" w:pos="1596"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Award Certificates. </w:t>
      </w:r>
      <w:r>
        <w:rPr>
          <w:rFonts w:ascii="Arial" w:cs="Arial" w:eastAsia="Arial" w:hAnsi="Arial"/>
          <w:sz w:val="14"/>
          <w:szCs w:val="14"/>
          <w:color w:val="auto"/>
        </w:rPr>
        <w:t>Awards under the Plan shall be evidenced by Award Certificates that set forth the</w:t>
      </w:r>
      <w:r>
        <w:rPr>
          <w:rFonts w:ascii="Arial" w:cs="Arial" w:eastAsia="Arial" w:hAnsi="Arial"/>
          <w:sz w:val="14"/>
          <w:szCs w:val="14"/>
          <w:i w:val="1"/>
          <w:iCs w:val="1"/>
          <w:color w:val="auto"/>
        </w:rPr>
        <w:t xml:space="preserve"> </w:t>
      </w:r>
      <w:r>
        <w:rPr>
          <w:rFonts w:ascii="Arial" w:cs="Arial" w:eastAsia="Arial" w:hAnsi="Arial"/>
          <w:sz w:val="14"/>
          <w:szCs w:val="14"/>
          <w:color w:val="auto"/>
        </w:rPr>
        <w:t>terms, conditions and limitations for each Award which may include, without limitation, the term of an Award and the provisions applicable in the event employment or service terminates.</w:t>
      </w:r>
    </w:p>
    <w:p>
      <w:pPr>
        <w:spacing w:after="0" w:line="108" w:lineRule="exact"/>
        <w:rPr>
          <w:rFonts w:ascii="Arial" w:cs="Arial" w:eastAsia="Arial" w:hAnsi="Arial"/>
          <w:sz w:val="14"/>
          <w:szCs w:val="14"/>
          <w:color w:val="auto"/>
        </w:rPr>
      </w:pPr>
    </w:p>
    <w:p>
      <w:pPr>
        <w:ind w:left="1020" w:right="919" w:firstLine="267"/>
        <w:spacing w:after="0" w:line="246" w:lineRule="auto"/>
        <w:tabs>
          <w:tab w:leader="none" w:pos="1596"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Indemnification. </w:t>
      </w:r>
      <w:r>
        <w:rPr>
          <w:rFonts w:ascii="Arial" w:cs="Arial" w:eastAsia="Arial" w:hAnsi="Arial"/>
          <w:sz w:val="14"/>
          <w:szCs w:val="14"/>
          <w:color w:val="auto"/>
        </w:rPr>
        <w:t>Subject to Section 235 of the Companies Act, neither the Board nor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08" w:lineRule="exact"/>
        <w:rPr>
          <w:rFonts w:ascii="Arial" w:cs="Arial" w:eastAsia="Arial" w:hAnsi="Arial"/>
          <w:sz w:val="14"/>
          <w:szCs w:val="14"/>
          <w:color w:val="auto"/>
        </w:rPr>
      </w:pPr>
    </w:p>
    <w:p>
      <w:pPr>
        <w:ind w:left="1020" w:right="1039" w:firstLine="267"/>
        <w:spacing w:after="0" w:line="243" w:lineRule="auto"/>
        <w:tabs>
          <w:tab w:leader="none" w:pos="1596"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Foreign Award Recipients. </w:t>
      </w:r>
      <w:r>
        <w:rPr>
          <w:rFonts w:ascii="Arial" w:cs="Arial" w:eastAsia="Arial" w:hAnsi="Arial"/>
          <w:sz w:val="14"/>
          <w:szCs w:val="14"/>
          <w:color w:val="auto"/>
        </w:rPr>
        <w:t>Notwithstanding any provision of the Plan to the contrary, in order to</w:t>
      </w:r>
      <w:r>
        <w:rPr>
          <w:rFonts w:ascii="Arial" w:cs="Arial" w:eastAsia="Arial" w:hAnsi="Arial"/>
          <w:sz w:val="14"/>
          <w:szCs w:val="14"/>
          <w:i w:val="1"/>
          <w:iCs w:val="1"/>
          <w:color w:val="auto"/>
        </w:rPr>
        <w:t xml:space="preserve"> </w:t>
      </w:r>
      <w:r>
        <w:rPr>
          <w:rFonts w:ascii="Arial" w:cs="Arial" w:eastAsia="Arial" w:hAnsi="Arial"/>
          <w:sz w:val="14"/>
          <w:szCs w:val="14"/>
          <w:color w:val="auto"/>
        </w:rPr>
        <w:t>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the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716280</wp:posOffset>
            </wp:positionV>
            <wp:extent cx="560387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38" w:name="page139"/>
    <w:bookmarkEnd w:id="138"/>
    <w:p>
      <w:pPr>
        <w:ind w:left="1020" w:right="1039" w:firstLine="267"/>
        <w:spacing w:after="0" w:line="246" w:lineRule="auto"/>
        <w:tabs>
          <w:tab w:leader="none" w:pos="1564"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 xml:space="preserve">Minimum Vesting Requirement. </w:t>
      </w:r>
      <w:r>
        <w:rPr>
          <w:rFonts w:ascii="Arial" w:cs="Arial" w:eastAsia="Arial" w:hAnsi="Arial"/>
          <w:sz w:val="14"/>
          <w:szCs w:val="14"/>
          <w:color w:val="auto"/>
        </w:rPr>
        <w:t>Awards granted under the Plan shall not vest and, if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become exercisable) until at least one year from the date of grant (excluding, for this purpose, any Award granted to a Non-Employee Director on or after February 5, 2026, that vests (or, if applicable, becomes exercisable) on the earlier of the one-year anniversary of the date of grant or the date of the Company’s next annual general meeting of shareholders that occurs at least 50 weeks after the date of grant);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Shares up to 5% of the Shares available for issuance under the Plan as set forth in Section 3(a)</w:t>
      </w:r>
      <w:r>
        <w:rPr>
          <w:rFonts w:ascii="Arial" w:cs="Arial" w:eastAsia="Arial" w:hAnsi="Arial"/>
          <w:sz w:val="14"/>
          <w:szCs w:val="14"/>
          <w:i w:val="1"/>
          <w:iCs w:val="1"/>
          <w:color w:val="auto"/>
        </w:rPr>
        <w:t xml:space="preserve"> </w:t>
      </w:r>
      <w:r>
        <w:rPr>
          <w:rFonts w:ascii="Arial" w:cs="Arial" w:eastAsia="Arial" w:hAnsi="Arial"/>
          <w:sz w:val="14"/>
          <w:szCs w:val="14"/>
          <w:color w:val="auto"/>
        </w:rPr>
        <w:t>may be issued pursuant to Awards that do not meet such minimum vesting (and, if applicable, exercisability) requirement. Notwithstanding the foregoing provisions of this Section 2(g) and without limiting otherwise applicable provisions of the Plan, the Administrator may accelerate vesting of an Award during the minimum vesting period in the case of a grantee’s death, Disability or retirement or upon a Sale Event.</w:t>
      </w:r>
    </w:p>
    <w:p>
      <w:pPr>
        <w:spacing w:after="0" w:line="111" w:lineRule="exact"/>
        <w:rPr>
          <w:sz w:val="20"/>
          <w:szCs w:val="20"/>
          <w:color w:val="auto"/>
        </w:rPr>
      </w:pPr>
    </w:p>
    <w:p>
      <w:pPr>
        <w:ind w:left="1020"/>
        <w:spacing w:after="0"/>
        <w:tabs>
          <w:tab w:leader="none" w:pos="1960" w:val="left"/>
        </w:tabs>
        <w:rPr>
          <w:sz w:val="20"/>
          <w:szCs w:val="20"/>
          <w:color w:val="auto"/>
        </w:rPr>
      </w:pPr>
      <w:r>
        <w:rPr>
          <w:rFonts w:ascii="Arial" w:cs="Arial" w:eastAsia="Arial" w:hAnsi="Arial"/>
          <w:sz w:val="14"/>
          <w:szCs w:val="14"/>
          <w:b w:val="1"/>
          <w:bCs w:val="1"/>
          <w:color w:val="40C1AC"/>
        </w:rPr>
        <w:t>SECTION 3.</w:t>
        <w:tab/>
        <w:t>SHARES ISSUABLE UNDER THE PLAN; MERGERS; SUBSTITUTION</w:t>
      </w:r>
    </w:p>
    <w:p>
      <w:pPr>
        <w:spacing w:after="0" w:line="129" w:lineRule="exact"/>
        <w:rPr>
          <w:sz w:val="20"/>
          <w:szCs w:val="20"/>
          <w:color w:val="auto"/>
        </w:rPr>
      </w:pPr>
    </w:p>
    <w:p>
      <w:pPr>
        <w:ind w:left="1020" w:right="939" w:firstLine="267"/>
        <w:spacing w:after="0" w:line="242" w:lineRule="auto"/>
        <w:tabs>
          <w:tab w:leader="none" w:pos="1596"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Shares Issuable. </w:t>
      </w:r>
      <w:r>
        <w:rPr>
          <w:rFonts w:ascii="Arial" w:cs="Arial" w:eastAsia="Arial" w:hAnsi="Arial"/>
          <w:sz w:val="14"/>
          <w:szCs w:val="14"/>
          <w:color w:val="auto"/>
        </w:rPr>
        <w:t>The maximum number of Shares reserved and available for issuance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Plan shall be equal to the sum of: (i) 53,447,405 Shares; (ii) 1,199,965 Shares, which is the number of 2011 Plan Available Shares; and (iii) the Prior Plans Returning Shares, as such Shares become available from time to time. For purposes of this limitation, the Shares underlying any Awards that are forfeited, canceled, repurchased or otherwise terminated (other than by exercise) shall be added back to the number of Shares available for issuance under the Plan. Shares tendered or held back upon exercise of an Option or Stock Appreciation Right or settlement of an Award to cover the exercise price or tax withholding shall not be added back to the number of Shares available for issuance under the Plan. In addition, upon net exercise of Options, the gross number of Shares exercised shall be deducted from the total number of Shares available for issuance under the Plan. Shares purchased in the open market with proceeds from the exercise of Options and Stock Appreciation Rights shall not be added to the number of Shares available for issuance under the Plan. In the event that a Stock Appreciation Right is settled in Shares, the gross number of Shares subject to the Stock Appreciation Right shall be deducted from the total number of Shares available for issuance under the Plan. Subject to such overall limitations, Shares may be issued up to such maximum number pursuant to any type or types of Award; provided, however, that no more than 62,950,000 Shares may be issued in the form of Incentive Stock Options. The Shares issued under the Plan may be issued from treasury or otherwise.</w:t>
      </w:r>
    </w:p>
    <w:p>
      <w:pPr>
        <w:spacing w:after="0" w:line="119" w:lineRule="exact"/>
        <w:rPr>
          <w:rFonts w:ascii="Arial" w:cs="Arial" w:eastAsia="Arial" w:hAnsi="Arial"/>
          <w:sz w:val="14"/>
          <w:szCs w:val="14"/>
          <w:color w:val="auto"/>
        </w:rPr>
      </w:pPr>
    </w:p>
    <w:p>
      <w:pPr>
        <w:ind w:left="1020" w:right="919" w:firstLine="267"/>
        <w:spacing w:after="0" w:line="242" w:lineRule="auto"/>
        <w:tabs>
          <w:tab w:leader="none" w:pos="1596"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Effect of Awards. </w:t>
      </w:r>
      <w:r>
        <w:rPr>
          <w:rFonts w:ascii="Arial" w:cs="Arial" w:eastAsia="Arial" w:hAnsi="Arial"/>
          <w:sz w:val="14"/>
          <w:szCs w:val="14"/>
          <w:color w:val="auto"/>
        </w:rPr>
        <w:t>The grant of any full value Award (i.e., an Award other than an Option or Stock</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Right) shall be deemed, for purposes of determining the number of Shares available for issuance under Section 3(a), an Award of 1.8 Shares for each such Share actually subject to the Award and shall be treated similarly if added back to the number of Shares available for issuance when forfeited, canceled, repurchased or otherwise terminated as provided in Section 3(a). Any Prior Plans Returning Share subject to a full value award (i.e., an award other than a stock option or stock appreciation right with respect to which the exercise price is at least 100% of the fair market value of the shares subject to such stock option or stock appreciation right on the date of grant) shall be added to the number of Shares available for issuance under Section 3(a) as 1.8 Shares. The grant of an Option or Stock Appreciation Right shall be deemed, for purposes of determining the number of Shares available for issuance under Section 3(a), an Award for one Share for each such Share actually subject to the Award and shall be treated similarly if added back to the number of Shares available for issuance when forfeited, canceled, repurchased or otherwise terminated as provided in Section 3(a). Any Prior Plans Returning Share subject to a stock option or stock appreciation right with respect to which the exercise price is at least 100% of the fair market value of the shares subject to such stock option or stock appreciation right on the date of grant shall be added to the number of Shares available for issuance under Section 3(a) as one Share.</w:t>
      </w:r>
    </w:p>
    <w:p>
      <w:pPr>
        <w:spacing w:after="0" w:line="292" w:lineRule="exact"/>
        <w:rPr>
          <w:rFonts w:ascii="Arial" w:cs="Arial" w:eastAsia="Arial" w:hAnsi="Arial"/>
          <w:sz w:val="14"/>
          <w:szCs w:val="14"/>
          <w:color w:val="auto"/>
        </w:rPr>
      </w:pPr>
    </w:p>
    <w:p>
      <w:pPr>
        <w:ind w:left="1020" w:right="979" w:firstLine="267"/>
        <w:spacing w:after="0" w:line="244" w:lineRule="auto"/>
        <w:tabs>
          <w:tab w:leader="none" w:pos="1596"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Changes in Shares. </w:t>
      </w:r>
      <w:r>
        <w:rPr>
          <w:rFonts w:ascii="Arial" w:cs="Arial" w:eastAsia="Arial" w:hAnsi="Arial"/>
          <w:sz w:val="14"/>
          <w:szCs w:val="14"/>
          <w:color w:val="auto"/>
        </w:rPr>
        <w:t>Subject to Section 3(d) hereof, if, as a result of any reorganization,</w:t>
      </w:r>
      <w:r>
        <w:rPr>
          <w:rFonts w:ascii="Arial" w:cs="Arial" w:eastAsia="Arial" w:hAnsi="Arial"/>
          <w:sz w:val="14"/>
          <w:szCs w:val="14"/>
          <w:i w:val="1"/>
          <w:iCs w:val="1"/>
          <w:color w:val="auto"/>
        </w:rPr>
        <w:t xml:space="preserve"> </w:t>
      </w:r>
      <w:r>
        <w:rPr>
          <w:rFonts w:ascii="Arial" w:cs="Arial" w:eastAsia="Arial" w:hAnsi="Arial"/>
          <w:sz w:val="14"/>
          <w:szCs w:val="14"/>
          <w:color w:val="auto"/>
        </w:rPr>
        <w:t>recapitalization, reclassification, share dividend, share split, reverse share split or other similar change in the Company’s capital shares,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or, if, as a result of any merger or consolidation, or sale of all or substantially all of the assets of the Company, the outstanding Shares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605790</wp:posOffset>
            </wp:positionV>
            <wp:extent cx="560387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39" w:name="page140"/>
    <w:bookmarkEnd w:id="139"/>
    <w:p>
      <w:pPr>
        <w:ind w:left="1020" w:right="959"/>
        <w:spacing w:after="0" w:line="244" w:lineRule="auto"/>
        <w:rPr>
          <w:sz w:val="20"/>
          <w:szCs w:val="20"/>
          <w:color w:val="auto"/>
        </w:rPr>
      </w:pPr>
      <w:r>
        <w:rPr>
          <w:rFonts w:ascii="Arial" w:cs="Arial" w:eastAsia="Arial" w:hAnsi="Arial"/>
          <w:sz w:val="14"/>
          <w:szCs w:val="14"/>
          <w:color w:val="auto"/>
        </w:rPr>
        <w:t>price, if any, per Share subject to each outstanding Restricted Stock Award, and (iv) the price for each Share subject to any then outstanding Stock Options and Stock Appreciation Rights under the Plan, without changing the aggregate exercise price (i.e., the exercise price multiplied by the number of Shares subject to the Stock Option or Stock Appreciation Right)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shall be issued under the Plan resulting from any such adjustment, but the Administrator in its discretion may make a cash payment in lieu of fractional Shares.</w:t>
      </w:r>
    </w:p>
    <w:p>
      <w:pPr>
        <w:spacing w:after="0" w:line="114" w:lineRule="exact"/>
        <w:rPr>
          <w:sz w:val="20"/>
          <w:szCs w:val="20"/>
          <w:color w:val="auto"/>
        </w:rPr>
      </w:pPr>
    </w:p>
    <w:p>
      <w:pPr>
        <w:ind w:left="1020" w:right="959" w:firstLine="267"/>
        <w:spacing w:after="0" w:line="247" w:lineRule="auto"/>
        <w:tabs>
          <w:tab w:leader="none" w:pos="1596" w:val="left"/>
        </w:tabs>
        <w:numPr>
          <w:ilvl w:val="0"/>
          <w:numId w:val="62"/>
        </w:numPr>
        <w:rPr>
          <w:rFonts w:ascii="Arial" w:cs="Arial" w:eastAsia="Arial" w:hAnsi="Arial"/>
          <w:sz w:val="14"/>
          <w:szCs w:val="14"/>
          <w:color w:val="auto"/>
        </w:rPr>
      </w:pPr>
      <w:r>
        <w:rPr>
          <w:rFonts w:ascii="Arial" w:cs="Arial" w:eastAsia="Arial" w:hAnsi="Arial"/>
          <w:sz w:val="14"/>
          <w:szCs w:val="14"/>
          <w:i w:val="1"/>
          <w:iCs w:val="1"/>
          <w:color w:val="auto"/>
        </w:rPr>
        <w:t xml:space="preserve">Mergers and Other Transactions. </w:t>
      </w:r>
      <w:r>
        <w:rPr>
          <w:rFonts w:ascii="Arial" w:cs="Arial" w:eastAsia="Arial" w:hAnsi="Arial"/>
          <w:sz w:val="14"/>
          <w:szCs w:val="14"/>
          <w:color w:val="auto"/>
        </w:rPr>
        <w:t>In the event of a Sale Event, the provisions of this Section 3(d) will</w:t>
      </w:r>
      <w:r>
        <w:rPr>
          <w:rFonts w:ascii="Arial" w:cs="Arial" w:eastAsia="Arial" w:hAnsi="Arial"/>
          <w:sz w:val="14"/>
          <w:szCs w:val="14"/>
          <w:i w:val="1"/>
          <w:iCs w:val="1"/>
          <w:color w:val="auto"/>
        </w:rPr>
        <w:t xml:space="preserve"> </w:t>
      </w:r>
      <w:r>
        <w:rPr>
          <w:rFonts w:ascii="Arial" w:cs="Arial" w:eastAsia="Arial" w:hAnsi="Arial"/>
          <w:sz w:val="14"/>
          <w:szCs w:val="14"/>
          <w:color w:val="auto"/>
        </w:rPr>
        <w:t>apply to each outstanding Award granted on or after the date of the 2024 Annual Meeting, unless otherwise provided in the applicable Award Certificate for such Award, in any other written agreement between a grantee and the Company or a Subsidiary, or in any director compensation policy of the Company. For clarity, in the event of a Sale Event, the provisions of Section 3(d) of the Plan, as in effect immediately prior to the date of the 2024 Annual Meeting, will apply to any outstanding Awards granted prior to the date of the 2024 Annual Meeting.</w:t>
      </w:r>
    </w:p>
    <w:p>
      <w:pPr>
        <w:spacing w:after="0" w:line="219" w:lineRule="exact"/>
        <w:rPr>
          <w:rFonts w:ascii="Arial" w:cs="Arial" w:eastAsia="Arial" w:hAnsi="Arial"/>
          <w:sz w:val="14"/>
          <w:szCs w:val="14"/>
          <w:color w:val="auto"/>
        </w:rPr>
      </w:pPr>
    </w:p>
    <w:p>
      <w:pPr>
        <w:ind w:left="1540" w:right="919" w:firstLine="520"/>
        <w:spacing w:after="0" w:line="243" w:lineRule="auto"/>
        <w:tabs>
          <w:tab w:leader="none" w:pos="2373" w:val="left"/>
        </w:tabs>
        <w:numPr>
          <w:ilvl w:val="1"/>
          <w:numId w:val="62"/>
        </w:numPr>
        <w:rPr>
          <w:rFonts w:ascii="Arial" w:cs="Arial" w:eastAsia="Arial" w:hAnsi="Arial"/>
          <w:sz w:val="14"/>
          <w:szCs w:val="14"/>
          <w:color w:val="auto"/>
        </w:rPr>
      </w:pPr>
      <w:r>
        <w:rPr>
          <w:rFonts w:ascii="Arial" w:cs="Arial" w:eastAsia="Arial" w:hAnsi="Arial"/>
          <w:sz w:val="14"/>
          <w:szCs w:val="14"/>
          <w:i w:val="1"/>
          <w:iCs w:val="1"/>
          <w:color w:val="auto"/>
        </w:rPr>
        <w:t>Awards May Be Assumed</w:t>
      </w:r>
      <w:r>
        <w:rPr>
          <w:rFonts w:ascii="Arial" w:cs="Arial" w:eastAsia="Arial" w:hAnsi="Arial"/>
          <w:sz w:val="14"/>
          <w:szCs w:val="14"/>
          <w:color w:val="auto"/>
        </w:rPr>
        <w:t>. In the event of a Sale Event, any surviving corporation or</w:t>
      </w:r>
      <w:r>
        <w:rPr>
          <w:rFonts w:ascii="Arial" w:cs="Arial" w:eastAsia="Arial" w:hAnsi="Arial"/>
          <w:sz w:val="14"/>
          <w:szCs w:val="14"/>
          <w:i w:val="1"/>
          <w:iCs w:val="1"/>
          <w:color w:val="auto"/>
        </w:rPr>
        <w:t xml:space="preserve"> </w:t>
      </w:r>
      <w:r>
        <w:rPr>
          <w:rFonts w:ascii="Arial" w:cs="Arial" w:eastAsia="Arial" w:hAnsi="Arial"/>
          <w:sz w:val="14"/>
          <w:szCs w:val="14"/>
          <w:color w:val="auto"/>
        </w:rPr>
        <w:t>acquiring corporation (or the surviving or acquiring corporation’s parent company) may assume or continue any or all outstanding Awards or may substitute similar awards for any or all outstanding Awards (including, but not limited to, awards to acquire the same consideration paid to the shareholders of the Company pursuant to the Sale Event), and any reacquisition or repurchase rights held by the Company in respect of Shares issued pursuant to any outstanding Awards may be assigned by the Company to the surviving corporation or acquiring corporation (or the surviving or acquiring corporation’s parent company). For clarity, in the event of a Sale Event, any surviving corporation or acquiring corporation (or the surviving or acquiring corporation’s parent company) may choose to assume or continue only a portion of an outstanding Award, to substitute a similar award for only a portion of an outstanding Award, or to assume or continue, or substitute similar awards for, the outstanding Awards held by some, but not all, individuals. The terms of any such assumption, continuation or substitution will be set by the Board or the Administrator.</w:t>
      </w:r>
    </w:p>
    <w:p>
      <w:pPr>
        <w:spacing w:after="0" w:line="71" w:lineRule="exact"/>
        <w:rPr>
          <w:rFonts w:ascii="Arial" w:cs="Arial" w:eastAsia="Arial" w:hAnsi="Arial"/>
          <w:sz w:val="14"/>
          <w:szCs w:val="14"/>
          <w:color w:val="auto"/>
        </w:rPr>
      </w:pPr>
    </w:p>
    <w:p>
      <w:pPr>
        <w:ind w:left="1540" w:right="959" w:firstLine="520"/>
        <w:spacing w:after="0" w:line="242" w:lineRule="auto"/>
        <w:tabs>
          <w:tab w:leader="none" w:pos="2373" w:val="left"/>
        </w:tabs>
        <w:numPr>
          <w:ilvl w:val="1"/>
          <w:numId w:val="62"/>
        </w:numPr>
        <w:rPr>
          <w:rFonts w:ascii="Arial" w:cs="Arial" w:eastAsia="Arial" w:hAnsi="Arial"/>
          <w:sz w:val="14"/>
          <w:szCs w:val="14"/>
          <w:color w:val="auto"/>
        </w:rPr>
      </w:pPr>
      <w:r>
        <w:rPr>
          <w:rFonts w:ascii="Arial" w:cs="Arial" w:eastAsia="Arial" w:hAnsi="Arial"/>
          <w:sz w:val="14"/>
          <w:szCs w:val="14"/>
          <w:i w:val="1"/>
          <w:iCs w:val="1"/>
          <w:color w:val="auto"/>
        </w:rPr>
        <w:t>Awards Held by Current Grantees</w:t>
      </w:r>
      <w:r>
        <w:rPr>
          <w:rFonts w:ascii="Arial" w:cs="Arial" w:eastAsia="Arial" w:hAnsi="Arial"/>
          <w:sz w:val="14"/>
          <w:szCs w:val="14"/>
          <w:color w:val="auto"/>
        </w:rPr>
        <w:t>. In the event of a Sale Event in which the surviving</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corporation or acquiring corporation (or the surviving or acquiring corporation’s parent company) does not assume or continue outstanding Awards, or substitute similar awards for outstanding Awards, then with respect to any such Awards that have not been assumed, continued or substituted and that are held by grantees whose employment (or other service relationship) with the Company and its Subsidiaries has not terminated prior to the effective time of the Sale Event (referred to as the “</w:t>
      </w:r>
      <w:r>
        <w:rPr>
          <w:rFonts w:ascii="Arial" w:cs="Arial" w:eastAsia="Arial" w:hAnsi="Arial"/>
          <w:sz w:val="14"/>
          <w:szCs w:val="14"/>
          <w:i w:val="1"/>
          <w:iCs w:val="1"/>
          <w:color w:val="auto"/>
        </w:rPr>
        <w:t>Current</w:t>
      </w:r>
      <w:r>
        <w:rPr>
          <w:rFonts w:ascii="Arial" w:cs="Arial" w:eastAsia="Arial" w:hAnsi="Arial"/>
          <w:sz w:val="14"/>
          <w:szCs w:val="14"/>
          <w:color w:val="auto"/>
        </w:rPr>
        <w:t xml:space="preserve"> </w:t>
      </w:r>
      <w:r>
        <w:rPr>
          <w:rFonts w:ascii="Arial" w:cs="Arial" w:eastAsia="Arial" w:hAnsi="Arial"/>
          <w:sz w:val="14"/>
          <w:szCs w:val="14"/>
          <w:i w:val="1"/>
          <w:iCs w:val="1"/>
          <w:color w:val="auto"/>
        </w:rPr>
        <w:t>Grantees</w:t>
      </w:r>
      <w:r>
        <w:rPr>
          <w:rFonts w:ascii="Arial" w:cs="Arial" w:eastAsia="Arial" w:hAnsi="Arial"/>
          <w:sz w:val="14"/>
          <w:szCs w:val="14"/>
          <w:color w:val="auto"/>
        </w:rPr>
        <w:t>”), the vesting (and exercisability, if applicable) of such Awards will be accelerated in full (and</w:t>
      </w:r>
      <w:r>
        <w:rPr>
          <w:rFonts w:ascii="Arial" w:cs="Arial" w:eastAsia="Arial" w:hAnsi="Arial"/>
          <w:sz w:val="14"/>
          <w:szCs w:val="14"/>
          <w:i w:val="1"/>
          <w:iCs w:val="1"/>
          <w:color w:val="auto"/>
        </w:rPr>
        <w:t xml:space="preserve"> </w:t>
      </w:r>
      <w:r>
        <w:rPr>
          <w:rFonts w:ascii="Arial" w:cs="Arial" w:eastAsia="Arial" w:hAnsi="Arial"/>
          <w:sz w:val="14"/>
          <w:szCs w:val="14"/>
          <w:color w:val="auto"/>
        </w:rPr>
        <w:t>with respect to any such Awards that are subject to performance-based vesting conditions or requirements, vesting will be deemed to be satisfied at the greater of (x) the target level of performance or (y) the actual level of performance measured in accordance with the applicable performance goals as of the date of the Sale Event) to a date prior to the effective time of the Sale Event (contingent upon the closing or completion of the Sale Event) as the Administrator will determine (or, if the Administrator does not determine such a date, to the date that is five days prior to the effective time of the Sale Event), and such Awards will terminate if not exercised (if applicable) prior to the effective time of the Sale Event in accordance with the exercise procedures determined by the Administrator, and any reacquisition or repurchase rights held by the Company with respect to such Awards will lapse (contingent upon the closing or completion of the Sale Event).</w:t>
      </w:r>
    </w:p>
    <w:p>
      <w:pPr>
        <w:spacing w:after="0" w:line="86" w:lineRule="exact"/>
        <w:rPr>
          <w:rFonts w:ascii="Arial" w:cs="Arial" w:eastAsia="Arial" w:hAnsi="Arial"/>
          <w:sz w:val="14"/>
          <w:szCs w:val="14"/>
          <w:color w:val="auto"/>
        </w:rPr>
      </w:pPr>
    </w:p>
    <w:p>
      <w:pPr>
        <w:ind w:left="1540" w:right="959" w:firstLine="520"/>
        <w:spacing w:after="0" w:line="245" w:lineRule="auto"/>
        <w:tabs>
          <w:tab w:leader="none" w:pos="2373" w:val="left"/>
        </w:tabs>
        <w:numPr>
          <w:ilvl w:val="1"/>
          <w:numId w:val="62"/>
        </w:numPr>
        <w:rPr>
          <w:rFonts w:ascii="Arial" w:cs="Arial" w:eastAsia="Arial" w:hAnsi="Arial"/>
          <w:sz w:val="14"/>
          <w:szCs w:val="14"/>
          <w:color w:val="auto"/>
        </w:rPr>
      </w:pPr>
      <w:r>
        <w:rPr>
          <w:rFonts w:ascii="Arial" w:cs="Arial" w:eastAsia="Arial" w:hAnsi="Arial"/>
          <w:sz w:val="14"/>
          <w:szCs w:val="14"/>
          <w:i w:val="1"/>
          <w:iCs w:val="1"/>
          <w:color w:val="auto"/>
        </w:rPr>
        <w:t>Awards Held by Individuals other than Current Grantees</w:t>
      </w:r>
      <w:r>
        <w:rPr>
          <w:rFonts w:ascii="Arial" w:cs="Arial" w:eastAsia="Arial" w:hAnsi="Arial"/>
          <w:sz w:val="14"/>
          <w:szCs w:val="14"/>
          <w:color w:val="auto"/>
        </w:rPr>
        <w:t>. In the event of a Sale Event in</w:t>
      </w:r>
      <w:r>
        <w:rPr>
          <w:rFonts w:ascii="Arial" w:cs="Arial" w:eastAsia="Arial" w:hAnsi="Arial"/>
          <w:sz w:val="14"/>
          <w:szCs w:val="14"/>
          <w:i w:val="1"/>
          <w:iCs w:val="1"/>
          <w:color w:val="auto"/>
        </w:rPr>
        <w:t xml:space="preserve"> </w:t>
      </w:r>
      <w:r>
        <w:rPr>
          <w:rFonts w:ascii="Arial" w:cs="Arial" w:eastAsia="Arial" w:hAnsi="Arial"/>
          <w:sz w:val="14"/>
          <w:szCs w:val="14"/>
          <w:color w:val="auto"/>
        </w:rPr>
        <w:t>which the surviving corporation or acquiring corporation (or the surviving or acquiring corporation’s parent company) does not assume or continue outstanding Awards, or substitute similar awards for outstanding Awards, then with respect to any such Awards that have not been assumed, continued or substituted and that are held by individuals other than Current Grantees, such Awards will terminate if not exercised (if applicable) prior to the effective time of the Sale Event in accordance with the exercise procedures determined by the Administrator; provided, however, that any reacquisition or repurchase rights held by the Company with respect to such Awards will not terminate and may continue to be exercised notwithstanding the Sale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605155</wp:posOffset>
            </wp:positionV>
            <wp:extent cx="560387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40" w:name="page141"/>
    <w:bookmarkEnd w:id="140"/>
    <w:p>
      <w:pPr>
        <w:ind w:left="1540" w:right="979" w:firstLine="520"/>
        <w:spacing w:after="0" w:line="244" w:lineRule="auto"/>
        <w:tabs>
          <w:tab w:leader="none" w:pos="2373" w:val="left"/>
        </w:tabs>
        <w:numPr>
          <w:ilvl w:val="1"/>
          <w:numId w:val="63"/>
        </w:numPr>
        <w:rPr>
          <w:rFonts w:ascii="Arial" w:cs="Arial" w:eastAsia="Arial" w:hAnsi="Arial"/>
          <w:sz w:val="14"/>
          <w:szCs w:val="14"/>
          <w:color w:val="auto"/>
        </w:rPr>
      </w:pPr>
      <w:r>
        <w:rPr>
          <w:rFonts w:ascii="Arial" w:cs="Arial" w:eastAsia="Arial" w:hAnsi="Arial"/>
          <w:sz w:val="14"/>
          <w:szCs w:val="14"/>
          <w:i w:val="1"/>
          <w:iCs w:val="1"/>
          <w:color w:val="auto"/>
        </w:rPr>
        <w:t>Payment for Awards in Lieu of Exercise</w:t>
      </w:r>
      <w:r>
        <w:rPr>
          <w:rFonts w:ascii="Arial" w:cs="Arial" w:eastAsia="Arial" w:hAnsi="Arial"/>
          <w:sz w:val="14"/>
          <w:szCs w:val="14"/>
          <w:color w:val="auto"/>
        </w:rPr>
        <w:t>. Notwithstanding the foregoing, in the event any</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Award held by an individual will terminate if not exercised prior to the effective time of a Sale Event, the Administrator may provide that such individual may not exercise such Award but instead will receive a payment, in such form as may be determined by the Administrator, equal in value to the excess, if any, of (x) the value of the property such individual would have received upon the exercise of such Award immediately prior to the effective time of the Sale Event, over (y) any exercise price payable by such individual in connection with such exercise. For clarity, such payment may be zero if the value of such property is equal to or less than the exercise price. Payments under this provision may be delayed to the same extent that payment of consideration to the shareholders of the Company in connection with the Sale Event is delayed as a result of escrows, earn outs, holdbacks or any other contingencies.</w:t>
      </w:r>
    </w:p>
    <w:p>
      <w:pPr>
        <w:spacing w:after="0" w:line="221" w:lineRule="exact"/>
        <w:rPr>
          <w:rFonts w:ascii="Arial" w:cs="Arial" w:eastAsia="Arial" w:hAnsi="Arial"/>
          <w:sz w:val="14"/>
          <w:szCs w:val="14"/>
          <w:color w:val="auto"/>
        </w:rPr>
      </w:pPr>
    </w:p>
    <w:p>
      <w:pPr>
        <w:ind w:left="1020" w:right="919" w:firstLine="267"/>
        <w:spacing w:after="0" w:line="247" w:lineRule="auto"/>
        <w:tabs>
          <w:tab w:leader="none" w:pos="1596"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Substitute Awards. </w:t>
      </w:r>
      <w:r>
        <w:rPr>
          <w:rFonts w:ascii="Arial" w:cs="Arial" w:eastAsia="Arial" w:hAnsi="Arial"/>
          <w:sz w:val="14"/>
          <w:szCs w:val="14"/>
          <w:color w:val="auto"/>
        </w:rPr>
        <w:t>The Administrator may grant Awards under the Plan in substitution for stock and</w:t>
      </w:r>
      <w:r>
        <w:rPr>
          <w:rFonts w:ascii="Arial" w:cs="Arial" w:eastAsia="Arial" w:hAnsi="Arial"/>
          <w:sz w:val="14"/>
          <w:szCs w:val="14"/>
          <w:i w:val="1"/>
          <w:iCs w:val="1"/>
          <w:color w:val="auto"/>
        </w:rPr>
        <w:t xml:space="preserve"> </w:t>
      </w:r>
      <w:r>
        <w:rPr>
          <w:rFonts w:ascii="Arial" w:cs="Arial" w:eastAsia="Arial" w:hAnsi="Arial"/>
          <w:sz w:val="14"/>
          <w:szCs w:val="14"/>
          <w:color w:val="auto"/>
        </w:rPr>
        <w:t>stock-based awards held by employees, directors or consultants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18" w:lineRule="exact"/>
        <w:rPr>
          <w:sz w:val="20"/>
          <w:szCs w:val="20"/>
          <w:color w:val="auto"/>
        </w:rPr>
      </w:pPr>
    </w:p>
    <w:p>
      <w:pPr>
        <w:ind w:left="1020"/>
        <w:spacing w:after="0"/>
        <w:tabs>
          <w:tab w:leader="none" w:pos="1960" w:val="left"/>
        </w:tabs>
        <w:rPr>
          <w:sz w:val="20"/>
          <w:szCs w:val="20"/>
          <w:color w:val="auto"/>
        </w:rPr>
      </w:pPr>
      <w:r>
        <w:rPr>
          <w:rFonts w:ascii="Arial" w:cs="Arial" w:eastAsia="Arial" w:hAnsi="Arial"/>
          <w:sz w:val="14"/>
          <w:szCs w:val="14"/>
          <w:b w:val="1"/>
          <w:bCs w:val="1"/>
          <w:color w:val="40C1AC"/>
        </w:rPr>
        <w:t>SECTION 4.</w:t>
      </w:r>
      <w:r>
        <w:rPr>
          <w:sz w:val="20"/>
          <w:szCs w:val="20"/>
          <w:color w:val="auto"/>
        </w:rPr>
        <w:tab/>
      </w:r>
      <w:r>
        <w:rPr>
          <w:rFonts w:ascii="Arial" w:cs="Arial" w:eastAsia="Arial" w:hAnsi="Arial"/>
          <w:sz w:val="14"/>
          <w:szCs w:val="14"/>
          <w:b w:val="1"/>
          <w:bCs w:val="1"/>
          <w:i w:val="1"/>
          <w:iCs w:val="1"/>
          <w:color w:val="40C1AC"/>
        </w:rPr>
        <w:t>ELIGIBILITY</w:t>
      </w:r>
    </w:p>
    <w:p>
      <w:pPr>
        <w:spacing w:after="0" w:line="107" w:lineRule="exact"/>
        <w:rPr>
          <w:sz w:val="20"/>
          <w:szCs w:val="20"/>
          <w:color w:val="auto"/>
        </w:rPr>
      </w:pPr>
    </w:p>
    <w:p>
      <w:pPr>
        <w:jc w:val="both"/>
        <w:ind w:left="1020" w:right="1499" w:firstLine="258"/>
        <w:spacing w:after="0" w:line="261" w:lineRule="auto"/>
        <w:rPr>
          <w:sz w:val="20"/>
          <w:szCs w:val="20"/>
          <w:color w:val="auto"/>
        </w:rPr>
      </w:pPr>
      <w:r>
        <w:rPr>
          <w:rFonts w:ascii="Arial" w:cs="Arial" w:eastAsia="Arial" w:hAnsi="Arial"/>
          <w:sz w:val="14"/>
          <w:szCs w:val="14"/>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08" w:lineRule="exact"/>
        <w:rPr>
          <w:sz w:val="20"/>
          <w:szCs w:val="20"/>
          <w:color w:val="auto"/>
        </w:rPr>
      </w:pPr>
    </w:p>
    <w:p>
      <w:pPr>
        <w:ind w:left="1020"/>
        <w:spacing w:after="0"/>
        <w:tabs>
          <w:tab w:leader="none" w:pos="1960" w:val="left"/>
        </w:tabs>
        <w:rPr>
          <w:sz w:val="20"/>
          <w:szCs w:val="20"/>
          <w:color w:val="auto"/>
        </w:rPr>
      </w:pPr>
      <w:r>
        <w:rPr>
          <w:rFonts w:ascii="Arial" w:cs="Arial" w:eastAsia="Arial" w:hAnsi="Arial"/>
          <w:sz w:val="14"/>
          <w:szCs w:val="14"/>
          <w:b w:val="1"/>
          <w:bCs w:val="1"/>
          <w:color w:val="40C1AC"/>
        </w:rPr>
        <w:t>SECTION 5.</w:t>
      </w:r>
      <w:r>
        <w:rPr>
          <w:sz w:val="20"/>
          <w:szCs w:val="20"/>
          <w:color w:val="auto"/>
        </w:rPr>
        <w:tab/>
      </w:r>
      <w:r>
        <w:rPr>
          <w:rFonts w:ascii="Arial" w:cs="Arial" w:eastAsia="Arial" w:hAnsi="Arial"/>
          <w:sz w:val="14"/>
          <w:szCs w:val="14"/>
          <w:b w:val="1"/>
          <w:bCs w:val="1"/>
          <w:i w:val="1"/>
          <w:iCs w:val="1"/>
          <w:color w:val="40C1AC"/>
        </w:rPr>
        <w:t>STOCK OPTIONS AND STOCK APPRECIATION RIGHTS</w:t>
      </w:r>
    </w:p>
    <w:p>
      <w:pPr>
        <w:spacing w:after="0" w:line="129" w:lineRule="exact"/>
        <w:rPr>
          <w:sz w:val="20"/>
          <w:szCs w:val="20"/>
          <w:color w:val="auto"/>
        </w:rPr>
      </w:pPr>
    </w:p>
    <w:p>
      <w:pPr>
        <w:ind w:left="1020" w:right="1579" w:firstLine="258"/>
        <w:spacing w:after="0" w:line="282" w:lineRule="auto"/>
        <w:rPr>
          <w:sz w:val="20"/>
          <w:szCs w:val="20"/>
          <w:color w:val="auto"/>
        </w:rPr>
      </w:pPr>
      <w:r>
        <w:rPr>
          <w:rFonts w:ascii="Arial" w:cs="Arial" w:eastAsia="Arial" w:hAnsi="Arial"/>
          <w:sz w:val="14"/>
          <w:szCs w:val="14"/>
          <w:color w:val="auto"/>
        </w:rPr>
        <w:t>Any Stock Option or Stock Appreciation Right granted under the Plan shall be in such form as the Administrator may from time to time approve.</w:t>
      </w:r>
    </w:p>
    <w:p>
      <w:pPr>
        <w:spacing w:after="0" w:line="51" w:lineRule="exact"/>
        <w:rPr>
          <w:sz w:val="20"/>
          <w:szCs w:val="20"/>
          <w:color w:val="auto"/>
        </w:rPr>
      </w:pPr>
    </w:p>
    <w:p>
      <w:pPr>
        <w:ind w:left="1020" w:right="939" w:firstLine="258"/>
        <w:spacing w:after="0" w:line="254" w:lineRule="auto"/>
        <w:rPr>
          <w:sz w:val="20"/>
          <w:szCs w:val="20"/>
          <w:color w:val="auto"/>
        </w:rPr>
      </w:pPr>
      <w:r>
        <w:rPr>
          <w:rFonts w:ascii="Arial" w:cs="Arial" w:eastAsia="Arial" w:hAnsi="Arial"/>
          <w:sz w:val="14"/>
          <w:szCs w:val="14"/>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49" w:lineRule="exact"/>
        <w:rPr>
          <w:sz w:val="20"/>
          <w:szCs w:val="20"/>
          <w:color w:val="auto"/>
        </w:rPr>
      </w:pPr>
    </w:p>
    <w:p>
      <w:pPr>
        <w:ind w:left="1020" w:right="1019" w:firstLine="267"/>
        <w:spacing w:after="0" w:line="244" w:lineRule="auto"/>
        <w:tabs>
          <w:tab w:leader="none" w:pos="1596"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Grant of Stock Options and Stock Appreciation Rights. </w:t>
      </w:r>
      <w:r>
        <w:rPr>
          <w:rFonts w:ascii="Arial" w:cs="Arial" w:eastAsia="Arial" w:hAnsi="Arial"/>
          <w:sz w:val="14"/>
          <w:szCs w:val="14"/>
          <w:color w:val="auto"/>
        </w:rPr>
        <w:t>The Administrator in its discretion may grant</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and Stock Appreciation Rights to eligible employees, Non-Employee Directors, and consultants of the Company or any Subsidiary. Stock Options and Stock Appreciation Rights granted pursuant to this Section 5(a) shall be subject to the following terms and conditions and shall contain such additional terms and conditions, not inconsistent with the terms of the Plan, as the Administrator shall deem desirable. Conditions may be based on continuing employment (or other service relationship) and/or achievement of pre-established performance goals and objectives. If the Administrator so determines, Stock Options and Stock Appreciation Rights may be granted in lieu of cash compensation at the grantee’s election, subject to such terms and conditions as the Administrator may establish. Each Stock Appreciation Right will be denominated in Share equivalents.</w:t>
      </w:r>
    </w:p>
    <w:p>
      <w:pPr>
        <w:spacing w:after="0" w:line="38" w:lineRule="exact"/>
        <w:rPr>
          <w:rFonts w:ascii="Arial" w:cs="Arial" w:eastAsia="Arial" w:hAnsi="Arial"/>
          <w:sz w:val="14"/>
          <w:szCs w:val="14"/>
          <w:color w:val="auto"/>
        </w:rPr>
      </w:pPr>
    </w:p>
    <w:p>
      <w:pPr>
        <w:ind w:left="1540" w:right="959" w:firstLine="520"/>
        <w:spacing w:after="0" w:line="248" w:lineRule="auto"/>
        <w:tabs>
          <w:tab w:leader="none" w:pos="2373" w:val="left"/>
        </w:tabs>
        <w:numPr>
          <w:ilvl w:val="1"/>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Exercise Price. </w:t>
      </w:r>
      <w:r>
        <w:rPr>
          <w:rFonts w:ascii="Arial" w:cs="Arial" w:eastAsia="Arial" w:hAnsi="Arial"/>
          <w:sz w:val="14"/>
          <w:szCs w:val="14"/>
          <w:color w:val="auto"/>
        </w:rPr>
        <w:t>The exercise price per Share covered by a Stock Option or Stock</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Right granted pursuant to this Section 5(a) shall be determined by the Administrator at the time of grant but shall not be less than 100 percent of the Fair Market Value on the date of grant. In the case of an Incentive Stock Option that is granted to a Ten Percent Owner, the exercise price per Share of such Incentive Stock Option shall be not less than 110 percent of the Fair Market Value on the grant date.</w:t>
      </w:r>
    </w:p>
    <w:p>
      <w:pPr>
        <w:spacing w:after="0" w:line="54" w:lineRule="exact"/>
        <w:rPr>
          <w:rFonts w:ascii="Arial" w:cs="Arial" w:eastAsia="Arial" w:hAnsi="Arial"/>
          <w:sz w:val="14"/>
          <w:szCs w:val="14"/>
          <w:color w:val="auto"/>
        </w:rPr>
      </w:pPr>
    </w:p>
    <w:p>
      <w:pPr>
        <w:ind w:left="1540" w:right="919" w:firstLine="520"/>
        <w:spacing w:after="0" w:line="247" w:lineRule="auto"/>
        <w:tabs>
          <w:tab w:leader="none" w:pos="2373" w:val="left"/>
        </w:tabs>
        <w:numPr>
          <w:ilvl w:val="1"/>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Term and Termination. </w:t>
      </w:r>
      <w:r>
        <w:rPr>
          <w:rFonts w:ascii="Arial" w:cs="Arial" w:eastAsia="Arial" w:hAnsi="Arial"/>
          <w:sz w:val="14"/>
          <w:szCs w:val="14"/>
          <w:color w:val="auto"/>
        </w:rPr>
        <w:t>The term of each Stock Option and Stock Appreciation Right</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fixed by the Administrator, but no Stock Option or Stock Appreciation Right shall be exercisable more than ten years after the date the Stock Option or Stock Appreciation Right is granted. In the case of an Incentive Stock Option that is granted to a Ten Percent Owner, the term of such Stock Option shall be no more than five years from the date of grant. Unless otherwise determined by the Administrator on or after the date of grant, if a grantee’s employment (or other service relationship) with the Company and its Subsidiaries terminates for any reason (including if a Subsidiary ceases to be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603250</wp:posOffset>
            </wp:positionV>
            <wp:extent cx="560387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13" w:right="1440" w:bottom="1440" w:gutter="0" w:footer="0" w:header="0"/>
        </w:sectPr>
      </w:pPr>
    </w:p>
    <w:bookmarkStart w:id="141" w:name="page142"/>
    <w:bookmarkEnd w:id="141"/>
    <w:p>
      <w:pPr>
        <w:ind w:left="1540" w:right="919"/>
        <w:spacing w:after="0" w:line="250" w:lineRule="auto"/>
        <w:rPr>
          <w:sz w:val="20"/>
          <w:szCs w:val="20"/>
          <w:color w:val="auto"/>
        </w:rPr>
      </w:pPr>
      <w:r>
        <w:rPr>
          <w:rFonts w:ascii="Arial" w:cs="Arial" w:eastAsia="Arial" w:hAnsi="Arial"/>
          <w:sz w:val="14"/>
          <w:szCs w:val="14"/>
          <w:color w:val="auto"/>
        </w:rPr>
        <w:t>Subsidiary of the Company), the portion of each Stock Option and Stock Appreciation Right held by the grantee that is not then exercisable shall be immediately forfeited. Unless otherwise determined by the Administrator on or after the date of grant, the grantee may exercise the exercisable portion of his Stock Options and Stock Appreciation Rights until the earlier of three months after such date of termination or the expiration of the stated term of such Stock Option or Stock Appreciation Right.</w:t>
      </w:r>
    </w:p>
    <w:p>
      <w:pPr>
        <w:spacing w:after="0" w:line="53" w:lineRule="exact"/>
        <w:rPr>
          <w:sz w:val="20"/>
          <w:szCs w:val="20"/>
          <w:color w:val="auto"/>
        </w:rPr>
      </w:pPr>
    </w:p>
    <w:p>
      <w:pPr>
        <w:ind w:left="1540" w:right="919" w:firstLine="520"/>
        <w:spacing w:after="0" w:line="246" w:lineRule="auto"/>
        <w:tabs>
          <w:tab w:leader="none" w:pos="2373"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Vesting and Exercisability; Rights of a Shareholder. </w:t>
      </w:r>
      <w:r>
        <w:rPr>
          <w:rFonts w:ascii="Arial" w:cs="Arial" w:eastAsia="Arial" w:hAnsi="Arial"/>
          <w:sz w:val="14"/>
          <w:szCs w:val="14"/>
          <w:color w:val="auto"/>
        </w:rPr>
        <w:t>Rights of a Shareholder. Subject</w:t>
      </w:r>
      <w:r>
        <w:rPr>
          <w:rFonts w:ascii="Arial" w:cs="Arial" w:eastAsia="Arial" w:hAnsi="Arial"/>
          <w:sz w:val="14"/>
          <w:szCs w:val="14"/>
          <w:i w:val="1"/>
          <w:iCs w:val="1"/>
          <w:color w:val="auto"/>
        </w:rPr>
        <w:t xml:space="preserve"> </w:t>
      </w:r>
      <w:r>
        <w:rPr>
          <w:rFonts w:ascii="Arial" w:cs="Arial" w:eastAsia="Arial" w:hAnsi="Arial"/>
          <w:sz w:val="14"/>
          <w:szCs w:val="14"/>
          <w:color w:val="auto"/>
        </w:rPr>
        <w:t>to the provisions of Section 2(g), Stock Options and Stock Appreciation Rights shall become vested and exercisable at such time or times, whether or not in installments, as shall be determined by the Administrator at or after the grant date. A grantee shall have the rights of a shareholder only as to Shares acquired upon the exercise of a Stock Option or Stock Appreciation Right and not as to unexercised Stock Options or Stock Appreciation Rights. The Administrator may accelerate vesting during the minimum vesting period as set forth in Section 2(g), and otherwise may accelerate the vesting of all or any portion of any Stock Option or Stock Appreciation Right at any time.</w:t>
      </w:r>
    </w:p>
    <w:p>
      <w:pPr>
        <w:spacing w:after="0" w:line="54" w:lineRule="exact"/>
        <w:rPr>
          <w:rFonts w:ascii="Arial" w:cs="Arial" w:eastAsia="Arial" w:hAnsi="Arial"/>
          <w:sz w:val="14"/>
          <w:szCs w:val="14"/>
          <w:color w:val="auto"/>
        </w:rPr>
      </w:pPr>
    </w:p>
    <w:p>
      <w:pPr>
        <w:ind w:left="1540" w:right="919" w:firstLine="520"/>
        <w:spacing w:after="0" w:line="246" w:lineRule="auto"/>
        <w:tabs>
          <w:tab w:leader="none" w:pos="2373"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Method of Exercise for Stock Options. </w:t>
      </w:r>
      <w:r>
        <w:rPr>
          <w:rFonts w:ascii="Arial" w:cs="Arial" w:eastAsia="Arial" w:hAnsi="Arial"/>
          <w:sz w:val="14"/>
          <w:szCs w:val="14"/>
          <w:color w:val="auto"/>
        </w:rPr>
        <w:t>Stock Options may be exercised in whole or in</w:t>
      </w:r>
      <w:r>
        <w:rPr>
          <w:rFonts w:ascii="Arial" w:cs="Arial" w:eastAsia="Arial" w:hAnsi="Arial"/>
          <w:sz w:val="14"/>
          <w:szCs w:val="14"/>
          <w:i w:val="1"/>
          <w:iCs w:val="1"/>
          <w:color w:val="auto"/>
        </w:rPr>
        <w:t xml:space="preserve"> </w:t>
      </w:r>
      <w:r>
        <w:rPr>
          <w:rFonts w:ascii="Arial" w:cs="Arial" w:eastAsia="Arial" w:hAnsi="Arial"/>
          <w:sz w:val="14"/>
          <w:szCs w:val="14"/>
          <w:color w:val="auto"/>
        </w:rPr>
        <w:t>part, by giving written or electronic notice of exercise to the Company’s delegate, specifying the number of Shares to be purchased. In the case of a Stock Option that is not an Incentive Stock Option, unless otherwise determined by the Administrator on or after the date of grant, payment of the purchase price must be made by reduction in the number of Shares issuable upon such exercise, based, in each case, on the Fair Market Value of the Shares on the date of exercise. If the Administrator determines not to use the above payment method or in the case of the exercise of Incentive Stock Options, then payment of the purchase price may be made by one or more of the following methods:</w:t>
      </w:r>
    </w:p>
    <w:p>
      <w:pPr>
        <w:spacing w:after="0" w:line="54" w:lineRule="exact"/>
        <w:rPr>
          <w:rFonts w:ascii="Arial" w:cs="Arial" w:eastAsia="Arial" w:hAnsi="Arial"/>
          <w:sz w:val="14"/>
          <w:szCs w:val="14"/>
          <w:color w:val="auto"/>
        </w:rPr>
      </w:pPr>
    </w:p>
    <w:p>
      <w:pPr>
        <w:ind w:left="2900" w:hanging="324"/>
        <w:spacing w:after="0"/>
        <w:tabs>
          <w:tab w:leader="none" w:pos="290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In cash, by certified or bank check or other instrument acceptable to the</w:t>
      </w:r>
    </w:p>
    <w:p>
      <w:pPr>
        <w:spacing w:after="0" w:line="14" w:lineRule="exact"/>
        <w:rPr>
          <w:rFonts w:ascii="Arial" w:cs="Arial" w:eastAsia="Arial" w:hAnsi="Arial"/>
          <w:sz w:val="14"/>
          <w:szCs w:val="14"/>
          <w:color w:val="auto"/>
        </w:rPr>
      </w:pPr>
    </w:p>
    <w:p>
      <w:pPr>
        <w:ind w:left="1660"/>
        <w:spacing w:after="0"/>
        <w:rPr>
          <w:rFonts w:ascii="Arial" w:cs="Arial" w:eastAsia="Arial" w:hAnsi="Arial"/>
          <w:sz w:val="14"/>
          <w:szCs w:val="14"/>
          <w:color w:val="auto"/>
        </w:rPr>
      </w:pPr>
      <w:r>
        <w:rPr>
          <w:rFonts w:ascii="Arial" w:cs="Arial" w:eastAsia="Arial" w:hAnsi="Arial"/>
          <w:sz w:val="14"/>
          <w:szCs w:val="14"/>
          <w:color w:val="auto"/>
        </w:rPr>
        <w:t>Administrator;</w:t>
      </w:r>
    </w:p>
    <w:p>
      <w:pPr>
        <w:spacing w:after="0" w:line="72" w:lineRule="exact"/>
        <w:rPr>
          <w:rFonts w:ascii="Arial" w:cs="Arial" w:eastAsia="Arial" w:hAnsi="Arial"/>
          <w:sz w:val="14"/>
          <w:szCs w:val="14"/>
          <w:color w:val="auto"/>
        </w:rPr>
      </w:pPr>
    </w:p>
    <w:p>
      <w:pPr>
        <w:ind w:left="1660" w:right="1259" w:firstLine="916"/>
        <w:spacing w:after="0" w:line="254" w:lineRule="auto"/>
        <w:tabs>
          <w:tab w:leader="none" w:pos="2896" w:val="left"/>
        </w:tabs>
        <w:numPr>
          <w:ilvl w:val="1"/>
          <w:numId w:val="66"/>
        </w:numPr>
        <w:rPr>
          <w:rFonts w:ascii="Arial" w:cs="Arial" w:eastAsia="Arial" w:hAnsi="Arial"/>
          <w:sz w:val="14"/>
          <w:szCs w:val="14"/>
          <w:color w:val="auto"/>
        </w:rPr>
      </w:pPr>
      <w:r>
        <w:rPr>
          <w:rFonts w:ascii="Arial" w:cs="Arial" w:eastAsia="Arial" w:hAnsi="Arial"/>
          <w:sz w:val="14"/>
          <w:szCs w:val="14"/>
          <w:color w:val="auto"/>
        </w:rPr>
        <w:t>Subject to the consent of the Administrator and on the basis of such form of surrender agreement as the Administrator may specify, through the delivery (or attestation to the ownership) of Shares owned by the optionee. Such surrendered Shares shall be valued at Fair Market Value on the exercise date; or</w:t>
      </w:r>
    </w:p>
    <w:p>
      <w:pPr>
        <w:spacing w:after="0" w:line="48" w:lineRule="exact"/>
        <w:rPr>
          <w:rFonts w:ascii="Arial" w:cs="Arial" w:eastAsia="Arial" w:hAnsi="Arial"/>
          <w:sz w:val="14"/>
          <w:szCs w:val="14"/>
          <w:color w:val="auto"/>
        </w:rPr>
      </w:pPr>
    </w:p>
    <w:p>
      <w:pPr>
        <w:ind w:left="1660" w:right="959" w:firstLine="916"/>
        <w:spacing w:after="0" w:line="248" w:lineRule="auto"/>
        <w:tabs>
          <w:tab w:leader="none" w:pos="2896" w:val="left"/>
        </w:tabs>
        <w:numPr>
          <w:ilvl w:val="1"/>
          <w:numId w:val="66"/>
        </w:numPr>
        <w:rPr>
          <w:rFonts w:ascii="Arial" w:cs="Arial" w:eastAsia="Arial" w:hAnsi="Arial"/>
          <w:sz w:val="14"/>
          <w:szCs w:val="14"/>
          <w:color w:val="auto"/>
        </w:rPr>
      </w:pPr>
      <w:r>
        <w:rPr>
          <w:rFonts w:ascii="Arial" w:cs="Arial" w:eastAsia="Arial" w:hAnsi="Arial"/>
          <w:sz w:val="14"/>
          <w:szCs w:val="14"/>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w:t>
      </w:r>
    </w:p>
    <w:p>
      <w:pPr>
        <w:spacing w:after="0" w:line="119" w:lineRule="exact"/>
        <w:rPr>
          <w:sz w:val="20"/>
          <w:szCs w:val="20"/>
          <w:color w:val="auto"/>
        </w:rPr>
      </w:pPr>
    </w:p>
    <w:p>
      <w:pPr>
        <w:ind w:left="1020" w:right="899" w:firstLine="258"/>
        <w:spacing w:after="0" w:line="244" w:lineRule="auto"/>
        <w:rPr>
          <w:sz w:val="20"/>
          <w:szCs w:val="20"/>
          <w:color w:val="auto"/>
        </w:rPr>
      </w:pPr>
      <w:r>
        <w:rPr>
          <w:rFonts w:ascii="Arial" w:cs="Arial" w:eastAsia="Arial" w:hAnsi="Arial"/>
          <w:sz w:val="14"/>
          <w:szCs w:val="14"/>
          <w:color w:val="auto"/>
        </w:rPr>
        <w:t>Payment instruments will be received subject to collection. The transfer to the optionee on the records of the Company or of the transfer agent of the Shares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through the attestation method, the number of Shares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55" w:lineRule="exact"/>
        <w:rPr>
          <w:sz w:val="20"/>
          <w:szCs w:val="20"/>
          <w:color w:val="auto"/>
        </w:rPr>
      </w:pPr>
    </w:p>
    <w:p>
      <w:pPr>
        <w:ind w:left="1540" w:right="919" w:firstLine="520"/>
        <w:spacing w:after="0" w:line="246" w:lineRule="auto"/>
        <w:tabs>
          <w:tab w:leader="none" w:pos="2373"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Method of Exercise for Stock Appreciation Rights and Payment upon Exercise. </w:t>
      </w:r>
      <w:r>
        <w:rPr>
          <w:rFonts w:ascii="Arial" w:cs="Arial" w:eastAsia="Arial" w:hAnsi="Arial"/>
          <w:sz w:val="14"/>
          <w:szCs w:val="14"/>
          <w:color w:val="auto"/>
        </w:rPr>
        <w:t>Stock</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Rights may be exercised in whole or in part, by giving written or electronic notice of exercise to the Company’s delegate, specifying the number of Shares to be exercised. The appreciation distribution payable on the exercise of a Stock Appreciation Right will be not greater than an amount equal to the excess of (A) the aggregate Fair Market Value (on the date of exercise of the Stock Appreciation Right) of a number of Shares equal to the number of Share equivalents in which the grantee is vested under the Stock Appreciation Right, and with respect to which the grantee is exercising the Stock Appreciation Right on such date, over (B) the aggregate exercise price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603885</wp:posOffset>
            </wp:positionV>
            <wp:extent cx="560387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13" w:right="1440" w:bottom="1440" w:gutter="0" w:footer="0" w:header="0"/>
        </w:sectPr>
      </w:pPr>
    </w:p>
    <w:bookmarkStart w:id="142" w:name="page143"/>
    <w:bookmarkEnd w:id="142"/>
    <w:p>
      <w:pPr>
        <w:ind w:left="1540" w:right="979"/>
        <w:spacing w:after="0" w:line="254" w:lineRule="auto"/>
        <w:rPr>
          <w:sz w:val="20"/>
          <w:szCs w:val="20"/>
          <w:color w:val="auto"/>
        </w:rPr>
      </w:pPr>
      <w:r>
        <w:rPr>
          <w:rFonts w:ascii="Arial" w:cs="Arial" w:eastAsia="Arial" w:hAnsi="Arial"/>
          <w:sz w:val="14"/>
          <w:szCs w:val="14"/>
          <w:color w:val="auto"/>
        </w:rPr>
        <w:t>number of Share equivalents with respect to which the grantee is exercising the Stock Appreciation Right on such date. The appreciation distribution may be paid in Shares, in cash, in any combination of the two or in any other form of consideration, as determined by the Administrator and contained in the Stock Appreciation Right Award Certificate.</w:t>
      </w:r>
    </w:p>
    <w:p>
      <w:pPr>
        <w:spacing w:after="0" w:line="49" w:lineRule="exact"/>
        <w:rPr>
          <w:sz w:val="20"/>
          <w:szCs w:val="20"/>
          <w:color w:val="auto"/>
        </w:rPr>
      </w:pPr>
    </w:p>
    <w:p>
      <w:pPr>
        <w:ind w:left="1540" w:right="1039" w:firstLine="520"/>
        <w:spacing w:after="0" w:line="248" w:lineRule="auto"/>
        <w:tabs>
          <w:tab w:leader="none" w:pos="2373"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Annual Limit on Incentive Stock Options. </w:t>
      </w:r>
      <w:r>
        <w:rPr>
          <w:rFonts w:ascii="Arial" w:cs="Arial" w:eastAsia="Arial" w:hAnsi="Arial"/>
          <w:sz w:val="14"/>
          <w:szCs w:val="14"/>
          <w:color w:val="auto"/>
        </w:rPr>
        <w:t>To the extent required for “incentive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 treatment under Section 422 of the Code, the aggregate Fair Market Value (determined as of the time of grant) of the Shares with respect to which Incentive Stock Options granted under the Plan and any other plan of the Company or its subsidiary corporations become exercisable for the first time by an optionee during any calendar year shall not exceed $100,000. To the extent that any Stock Option exceeds this limit, it shall constitute a Non-Qualified Stock Option.</w:t>
      </w:r>
    </w:p>
    <w:p>
      <w:pPr>
        <w:spacing w:after="0" w:line="119" w:lineRule="exact"/>
        <w:rPr>
          <w:sz w:val="20"/>
          <w:szCs w:val="20"/>
          <w:color w:val="auto"/>
        </w:rPr>
      </w:pPr>
    </w:p>
    <w:p>
      <w:pPr>
        <w:ind w:left="1020"/>
        <w:spacing w:after="0"/>
        <w:tabs>
          <w:tab w:leader="none" w:pos="1960" w:val="left"/>
        </w:tabs>
        <w:rPr>
          <w:sz w:val="20"/>
          <w:szCs w:val="20"/>
          <w:color w:val="auto"/>
        </w:rPr>
      </w:pPr>
      <w:r>
        <w:rPr>
          <w:rFonts w:ascii="Arial" w:cs="Arial" w:eastAsia="Arial" w:hAnsi="Arial"/>
          <w:sz w:val="14"/>
          <w:szCs w:val="14"/>
          <w:b w:val="1"/>
          <w:bCs w:val="1"/>
          <w:color w:val="40C1AC"/>
        </w:rPr>
        <w:t>SECTION 6.</w:t>
      </w:r>
      <w:r>
        <w:rPr>
          <w:sz w:val="20"/>
          <w:szCs w:val="20"/>
          <w:color w:val="auto"/>
        </w:rPr>
        <w:tab/>
      </w:r>
      <w:r>
        <w:rPr>
          <w:rFonts w:ascii="Arial" w:cs="Arial" w:eastAsia="Arial" w:hAnsi="Arial"/>
          <w:sz w:val="14"/>
          <w:szCs w:val="14"/>
          <w:b w:val="1"/>
          <w:bCs w:val="1"/>
          <w:i w:val="1"/>
          <w:iCs w:val="1"/>
          <w:color w:val="40C1AC"/>
        </w:rPr>
        <w:t>RESTRICTED STOCK AWARDS</w:t>
      </w:r>
    </w:p>
    <w:p>
      <w:pPr>
        <w:spacing w:after="0" w:line="140" w:lineRule="exact"/>
        <w:rPr>
          <w:sz w:val="20"/>
          <w:szCs w:val="20"/>
          <w:color w:val="auto"/>
        </w:rPr>
      </w:pPr>
    </w:p>
    <w:p>
      <w:pPr>
        <w:ind w:left="1020" w:right="959" w:firstLine="267"/>
        <w:spacing w:after="0" w:line="250" w:lineRule="auto"/>
        <w:tabs>
          <w:tab w:leader="none" w:pos="1596"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Nature of Restricted Stock Awards. </w:t>
      </w:r>
      <w:r>
        <w:rPr>
          <w:rFonts w:ascii="Arial" w:cs="Arial" w:eastAsia="Arial" w:hAnsi="Arial"/>
          <w:sz w:val="14"/>
          <w:szCs w:val="14"/>
          <w:color w:val="auto"/>
        </w:rPr>
        <w:t>The Administrator shall determine the restrictions and conditions</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to each Restricted Stock Award at the time of grant. Conditions may be based on continuing employment (or other service relationship) and/or achievement of pre-established performance goals and objectives. The terms and conditions of each Restricted Stock Award Certificate shall be determined by the Administrator, and such terms and conditions may differ among individual Awards and grantees.</w:t>
      </w:r>
    </w:p>
    <w:p>
      <w:pPr>
        <w:spacing w:after="0" w:line="106" w:lineRule="exact"/>
        <w:rPr>
          <w:rFonts w:ascii="Arial" w:cs="Arial" w:eastAsia="Arial" w:hAnsi="Arial"/>
          <w:sz w:val="14"/>
          <w:szCs w:val="14"/>
          <w:color w:val="auto"/>
        </w:rPr>
      </w:pPr>
    </w:p>
    <w:p>
      <w:pPr>
        <w:ind w:left="1020" w:right="919" w:firstLine="267"/>
        <w:spacing w:after="0" w:line="243" w:lineRule="auto"/>
        <w:tabs>
          <w:tab w:leader="none" w:pos="1596"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Rights as a Shareholder. </w:t>
      </w:r>
      <w:r>
        <w:rPr>
          <w:rFonts w:ascii="Arial" w:cs="Arial" w:eastAsia="Arial" w:hAnsi="Arial"/>
          <w:sz w:val="14"/>
          <w:szCs w:val="14"/>
          <w:color w:val="auto"/>
        </w:rPr>
        <w:t>Upon the grant of a Restricted Stock Award and payment of any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price, a grantee shall have the rights of a shareholder with respect to the voting of the Shares subject to the Restricted Stock Award and receipt of dividends (if any), subject to such conditions contained in the Restricted Stock Award Certificate. Unless the Administrator shall otherwise determine, (i) uncertificated Shares subject to the Restricted Stock Award shall be accompanied by a notation on the records of the Company or the transfer agent to the effect that they are subject to forfeiture until such Shares are vested as provided in Section 6(d) below, and (ii) certificated Shares subject to the Restricted Stock Award shall remain in the possession of the Company until such Shares are vested as provided in Section 6(d) below, and the grantee shall be required, as a condition of the grant, to deliver to the Company such instruments of transfer as the Administrator may prescribe. Notwithstanding anything herein to the contrary, any dividends paid by the Company during the vesting period of any Restricted Stock Award shall accrue and shall not be paid until the Shares subject to the Restricted Stock Award have vested and if any such Shares are forfeited, the grantee shall have no rights to any such accrued dividends.</w:t>
      </w:r>
    </w:p>
    <w:p>
      <w:pPr>
        <w:spacing w:after="0" w:line="125" w:lineRule="exact"/>
        <w:rPr>
          <w:rFonts w:ascii="Arial" w:cs="Arial" w:eastAsia="Arial" w:hAnsi="Arial"/>
          <w:sz w:val="14"/>
          <w:szCs w:val="14"/>
          <w:color w:val="auto"/>
        </w:rPr>
      </w:pPr>
    </w:p>
    <w:p>
      <w:pPr>
        <w:ind w:left="1020" w:right="919" w:firstLine="267"/>
        <w:spacing w:after="0" w:line="244" w:lineRule="auto"/>
        <w:tabs>
          <w:tab w:leader="none" w:pos="1596"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Restrictions. </w:t>
      </w:r>
      <w:r>
        <w:rPr>
          <w:rFonts w:ascii="Arial" w:cs="Arial" w:eastAsia="Arial" w:hAnsi="Arial"/>
          <w:sz w:val="14"/>
          <w:szCs w:val="14"/>
          <w:color w:val="auto"/>
        </w:rPr>
        <w:t>Shares subject to a Restricted Stock Award may not be sold, assigned, transferred,</w:t>
      </w:r>
      <w:r>
        <w:rPr>
          <w:rFonts w:ascii="Arial" w:cs="Arial" w:eastAsia="Arial" w:hAnsi="Arial"/>
          <w:sz w:val="14"/>
          <w:szCs w:val="14"/>
          <w:i w:val="1"/>
          <w:iCs w:val="1"/>
          <w:color w:val="auto"/>
        </w:rPr>
        <w:t xml:space="preserve"> </w:t>
      </w:r>
      <w:r>
        <w:rPr>
          <w:rFonts w:ascii="Arial" w:cs="Arial" w:eastAsia="Arial" w:hAnsi="Arial"/>
          <w:sz w:val="14"/>
          <w:szCs w:val="14"/>
          <w:color w:val="auto"/>
        </w:rPr>
        <w:t>pledged or otherwise encumbered or disposed of except as specifically provided herein or in the Restricted Stock Award Certificate. If a grantee’s employment (or other service relationship) with the Company and its Subsidiaries terminates for any reason (including if a Subsidiary ceases to be a Subsidiary of the Company), any Shares subject to a Restricted Stock Award that have not vested at the time of termination shall automatically, without any requirement of notice to such grantee from, or other action by or on behalf of, the Company or its Subsidiaries,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unvested Shares subject to a Restricted Stock Award that are represented by physical certificates, a grantee shall surrender such certificates to the Company upon request without consideration.</w:t>
      </w:r>
    </w:p>
    <w:p>
      <w:pPr>
        <w:spacing w:after="0" w:line="108" w:lineRule="exact"/>
        <w:rPr>
          <w:rFonts w:ascii="Arial" w:cs="Arial" w:eastAsia="Arial" w:hAnsi="Arial"/>
          <w:sz w:val="14"/>
          <w:szCs w:val="14"/>
          <w:color w:val="auto"/>
        </w:rPr>
      </w:pPr>
    </w:p>
    <w:p>
      <w:pPr>
        <w:ind w:left="1020" w:right="939" w:firstLine="267"/>
        <w:spacing w:after="0" w:line="243" w:lineRule="auto"/>
        <w:tabs>
          <w:tab w:leader="none" w:pos="1596"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Vesting of Restricted Stock Awards. </w:t>
      </w:r>
      <w:r>
        <w:rPr>
          <w:rFonts w:ascii="Arial" w:cs="Arial" w:eastAsia="Arial" w:hAnsi="Arial"/>
          <w:sz w:val="14"/>
          <w:szCs w:val="14"/>
          <w:color w:val="auto"/>
        </w:rPr>
        <w:t>Subject to the provisions of Section 2(g), the Administrator at</w:t>
      </w:r>
      <w:r>
        <w:rPr>
          <w:rFonts w:ascii="Arial" w:cs="Arial" w:eastAsia="Arial" w:hAnsi="Arial"/>
          <w:sz w:val="14"/>
          <w:szCs w:val="14"/>
          <w:i w:val="1"/>
          <w:iCs w:val="1"/>
          <w:color w:val="auto"/>
        </w:rPr>
        <w:t xml:space="preserve"> </w:t>
      </w:r>
      <w:r>
        <w:rPr>
          <w:rFonts w:ascii="Arial" w:cs="Arial" w:eastAsia="Arial" w:hAnsi="Arial"/>
          <w:sz w:val="14"/>
          <w:szCs w:val="14"/>
          <w:color w:val="auto"/>
        </w:rPr>
        <w:t>the time of grant shall specify the date or dates and/or the attainment of pre-established performance goals, objectives and other conditions on which the non-transferability of the Restricted Stock Award and the Company’s right of repurchase or forfeiture shall lapse. Subsequent to such date or dates and/or the attainment of such pre-established performance goals, objectives and other conditions, the Shares on which all restrictions have lapsed shall no longer be subject to the Restricted Stock Award and shall be deemed “vested”. Except as may otherwise be provided by the Administrator pursuant to the authority reserved in this Section 6, a grantee’s rights in any Shares subject to a Restricted Stock Award that have not vested shall automatically terminate upon the grantee’s termination of employment (or other service relationship) with the Company and its Subsidiaries for any reason (including if a Subsidiary ceases to be a Subsidiary of the Company) and such Shares shall be subject to the provisions of Section 6(c) above. The Administrator may accelerate vesting during the minimum vesting period as set forth in Section 2(g), and otherwise may accelerate the vesting of all or any portion of any Restricted Stock Award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614680</wp:posOffset>
            </wp:positionV>
            <wp:extent cx="560387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13" w:right="1440" w:bottom="1440" w:gutter="0" w:footer="0" w:header="0"/>
        </w:sectPr>
      </w:pPr>
    </w:p>
    <w:bookmarkStart w:id="143" w:name="page144"/>
    <w:bookmarkEnd w:id="143"/>
    <w:p>
      <w:pPr>
        <w:ind w:left="1020"/>
        <w:spacing w:after="0"/>
        <w:tabs>
          <w:tab w:leader="none" w:pos="1960" w:val="left"/>
        </w:tabs>
        <w:rPr>
          <w:sz w:val="20"/>
          <w:szCs w:val="20"/>
          <w:color w:val="auto"/>
        </w:rPr>
      </w:pPr>
      <w:r>
        <w:rPr>
          <w:rFonts w:ascii="Arial" w:cs="Arial" w:eastAsia="Arial" w:hAnsi="Arial"/>
          <w:sz w:val="14"/>
          <w:szCs w:val="14"/>
          <w:b w:val="1"/>
          <w:bCs w:val="1"/>
          <w:color w:val="40C1AC"/>
        </w:rPr>
        <w:t>SECTION 7.</w:t>
      </w:r>
      <w:r>
        <w:rPr>
          <w:sz w:val="20"/>
          <w:szCs w:val="20"/>
          <w:color w:val="auto"/>
        </w:rPr>
        <w:tab/>
      </w:r>
      <w:r>
        <w:rPr>
          <w:rFonts w:ascii="Arial" w:cs="Arial" w:eastAsia="Arial" w:hAnsi="Arial"/>
          <w:sz w:val="14"/>
          <w:szCs w:val="14"/>
          <w:b w:val="1"/>
          <w:bCs w:val="1"/>
          <w:i w:val="1"/>
          <w:iCs w:val="1"/>
          <w:color w:val="40C1AC"/>
        </w:rPr>
        <w:t>RESTRICTED STOCK UNIT AWARDS</w:t>
      </w:r>
    </w:p>
    <w:p>
      <w:pPr>
        <w:spacing w:after="0" w:line="129" w:lineRule="exact"/>
        <w:rPr>
          <w:sz w:val="20"/>
          <w:szCs w:val="20"/>
          <w:color w:val="auto"/>
        </w:rPr>
      </w:pPr>
    </w:p>
    <w:p>
      <w:pPr>
        <w:ind w:left="1020" w:right="899" w:firstLine="267"/>
        <w:spacing w:after="0" w:line="244" w:lineRule="auto"/>
        <w:tabs>
          <w:tab w:leader="none" w:pos="1596"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Nature of Restricted Stock Unit Awards. </w:t>
      </w:r>
      <w:r>
        <w:rPr>
          <w:rFonts w:ascii="Arial" w:cs="Arial" w:eastAsia="Arial" w:hAnsi="Arial"/>
          <w:sz w:val="14"/>
          <w:szCs w:val="14"/>
          <w:color w:val="auto"/>
        </w:rPr>
        <w:t>Subject to the provisions of Section 2(g), the Administrator</w:t>
      </w:r>
      <w:r>
        <w:rPr>
          <w:rFonts w:ascii="Arial" w:cs="Arial" w:eastAsia="Arial" w:hAnsi="Arial"/>
          <w:sz w:val="14"/>
          <w:szCs w:val="14"/>
          <w:i w:val="1"/>
          <w:iCs w:val="1"/>
          <w:color w:val="auto"/>
        </w:rPr>
        <w:t xml:space="preserve"> </w:t>
      </w:r>
      <w:r>
        <w:rPr>
          <w:rFonts w:ascii="Arial" w:cs="Arial" w:eastAsia="Arial" w:hAnsi="Arial"/>
          <w:sz w:val="14"/>
          <w:szCs w:val="14"/>
          <w:color w:val="auto"/>
        </w:rPr>
        <w:t>shall determine the restrictions and conditions applicable to each Restricted Stock Unit Award at the time of grant. Conditions may be based on continuing employment (or other service relationship) and/or achievement of pre-established performance goals and objectives. The terms and conditions of each Restricted Stock Unit Award Certificate shall be determined by the Administrator, and such terms and conditions may differ among individual Awards and grantees.. At the end of the restriction period, the Restricted Stock Unit Award, to the extent vested, shall be settled in the form of Shares. To the extent that a Restricted Stock Unit Award is subject to Section 409A, it may contain such additional terms and conditions as the Administrator shall determine in its sole discretion in order for such Award to comply with the requirements of Section 409A. The Administrator may accelerate vesting during the minimum vesting period as set forth in Section 2(g), and otherwise may accelerate the vesting of all or any portion of any Restricted Stock Unit Award at any time.</w:t>
      </w:r>
    </w:p>
    <w:p>
      <w:pPr>
        <w:spacing w:after="0" w:line="100" w:lineRule="exact"/>
        <w:rPr>
          <w:rFonts w:ascii="Arial" w:cs="Arial" w:eastAsia="Arial" w:hAnsi="Arial"/>
          <w:sz w:val="14"/>
          <w:szCs w:val="14"/>
          <w:color w:val="auto"/>
        </w:rPr>
      </w:pPr>
    </w:p>
    <w:p>
      <w:pPr>
        <w:ind w:left="1020" w:right="939" w:firstLine="267"/>
        <w:spacing w:after="0" w:line="244" w:lineRule="auto"/>
        <w:tabs>
          <w:tab w:leader="none" w:pos="1596"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Election to Receive Restricted Stock Unit Awards in Lieu of Compensation. </w:t>
      </w:r>
      <w:r>
        <w:rPr>
          <w:rFonts w:ascii="Arial" w:cs="Arial" w:eastAsia="Arial" w:hAnsi="Arial"/>
          <w:sz w:val="14"/>
          <w:szCs w:val="14"/>
          <w:color w:val="auto"/>
        </w:rPr>
        <w:t>The Administrator may,</w:t>
      </w:r>
      <w:r>
        <w:rPr>
          <w:rFonts w:ascii="Arial" w:cs="Arial" w:eastAsia="Arial" w:hAnsi="Arial"/>
          <w:sz w:val="14"/>
          <w:szCs w:val="14"/>
          <w:i w:val="1"/>
          <w:iCs w:val="1"/>
          <w:color w:val="auto"/>
        </w:rPr>
        <w:t xml:space="preserve"> </w:t>
      </w:r>
      <w:r>
        <w:rPr>
          <w:rFonts w:ascii="Arial" w:cs="Arial" w:eastAsia="Arial" w:hAnsi="Arial"/>
          <w:sz w:val="14"/>
          <w:szCs w:val="14"/>
          <w:color w:val="auto"/>
        </w:rPr>
        <w:t>in its sole discretion, permit a grantee to elect to receive a portion of future cash compensation otherwise due to such grantee in the form of a Restricted Stock Unit Award.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phantom stock units (which may be fully vested) based on the Fair Market Value of the Shares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w:t>
      </w:r>
    </w:p>
    <w:p>
      <w:pPr>
        <w:spacing w:after="0" w:line="264" w:lineRule="exact"/>
        <w:rPr>
          <w:rFonts w:ascii="Arial" w:cs="Arial" w:eastAsia="Arial" w:hAnsi="Arial"/>
          <w:sz w:val="14"/>
          <w:szCs w:val="14"/>
          <w:color w:val="auto"/>
        </w:rPr>
      </w:pPr>
    </w:p>
    <w:p>
      <w:pPr>
        <w:ind w:left="1020" w:right="999" w:firstLine="267"/>
        <w:spacing w:after="0" w:line="247" w:lineRule="auto"/>
        <w:tabs>
          <w:tab w:leader="none" w:pos="1596"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Rights as a Shareholder. </w:t>
      </w:r>
      <w:r>
        <w:rPr>
          <w:rFonts w:ascii="Arial" w:cs="Arial" w:eastAsia="Arial" w:hAnsi="Arial"/>
          <w:sz w:val="14"/>
          <w:szCs w:val="14"/>
          <w:color w:val="auto"/>
        </w:rPr>
        <w:t>A grantee shall have the rights as a shareholder only as to Shares</w:t>
      </w:r>
      <w:r>
        <w:rPr>
          <w:rFonts w:ascii="Arial" w:cs="Arial" w:eastAsia="Arial" w:hAnsi="Arial"/>
          <w:sz w:val="14"/>
          <w:szCs w:val="14"/>
          <w:i w:val="1"/>
          <w:iCs w:val="1"/>
          <w:color w:val="auto"/>
        </w:rPr>
        <w:t xml:space="preserve"> </w:t>
      </w:r>
      <w:r>
        <w:rPr>
          <w:rFonts w:ascii="Arial" w:cs="Arial" w:eastAsia="Arial" w:hAnsi="Arial"/>
          <w:sz w:val="14"/>
          <w:szCs w:val="14"/>
          <w:color w:val="auto"/>
        </w:rPr>
        <w:t>acquired by the grantee upon settlement of a Restricted Stock Unit Award; provided, however, that the grantee may be credited with dividend equivalent rights with respect to the phantom stock units underlying his Restricted Stock Unit Award, subject to such terms and conditions as the Administrator may determine; provided that no payment of any such dividend equivalents shall be made unless and until such Restricted Stock Unit Award has vested, and if such Restricted Stock Unit Award is forfeited, the grantee shall have no right to such dividend equivalents.</w:t>
      </w:r>
    </w:p>
    <w:p>
      <w:pPr>
        <w:spacing w:after="0" w:line="262" w:lineRule="exact"/>
        <w:rPr>
          <w:rFonts w:ascii="Arial" w:cs="Arial" w:eastAsia="Arial" w:hAnsi="Arial"/>
          <w:sz w:val="14"/>
          <w:szCs w:val="14"/>
          <w:color w:val="auto"/>
        </w:rPr>
      </w:pPr>
    </w:p>
    <w:p>
      <w:pPr>
        <w:ind w:left="1020" w:right="939" w:firstLine="267"/>
        <w:spacing w:after="0" w:line="250" w:lineRule="auto"/>
        <w:tabs>
          <w:tab w:leader="none" w:pos="1596"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Termination. </w:t>
      </w:r>
      <w:r>
        <w:rPr>
          <w:rFonts w:ascii="Arial" w:cs="Arial" w:eastAsia="Arial" w:hAnsi="Arial"/>
          <w:sz w:val="14"/>
          <w:szCs w:val="14"/>
          <w:color w:val="auto"/>
        </w:rPr>
        <w:t>Except as may otherwise be provided by the Administrator pursuant to the authority</w:t>
      </w:r>
      <w:r>
        <w:rPr>
          <w:rFonts w:ascii="Arial" w:cs="Arial" w:eastAsia="Arial" w:hAnsi="Arial"/>
          <w:sz w:val="14"/>
          <w:szCs w:val="14"/>
          <w:i w:val="1"/>
          <w:iCs w:val="1"/>
          <w:color w:val="auto"/>
        </w:rPr>
        <w:t xml:space="preserve"> </w:t>
      </w:r>
      <w:r>
        <w:rPr>
          <w:rFonts w:ascii="Arial" w:cs="Arial" w:eastAsia="Arial" w:hAnsi="Arial"/>
          <w:sz w:val="14"/>
          <w:szCs w:val="14"/>
          <w:color w:val="auto"/>
        </w:rPr>
        <w:t>reserved in Section 7(a), a grantee’s right in all Restricted Stock Unit Awards that have not vested shall automatically terminate upon the grantee’s termination of employment (or cessation of service relationship) with the Company and its Subsidiaries for any reason (including if a Subsidiary ceases to be a Subsidiary of the Company).</w:t>
      </w:r>
    </w:p>
    <w:p>
      <w:pPr>
        <w:spacing w:after="0" w:line="107" w:lineRule="exact"/>
        <w:rPr>
          <w:sz w:val="20"/>
          <w:szCs w:val="20"/>
          <w:color w:val="auto"/>
        </w:rPr>
      </w:pPr>
    </w:p>
    <w:p>
      <w:pPr>
        <w:ind w:left="1020"/>
        <w:spacing w:after="0"/>
        <w:tabs>
          <w:tab w:leader="none" w:pos="1960" w:val="left"/>
        </w:tabs>
        <w:rPr>
          <w:sz w:val="20"/>
          <w:szCs w:val="20"/>
          <w:color w:val="auto"/>
        </w:rPr>
      </w:pPr>
      <w:r>
        <w:rPr>
          <w:rFonts w:ascii="Arial" w:cs="Arial" w:eastAsia="Arial" w:hAnsi="Arial"/>
          <w:sz w:val="14"/>
          <w:szCs w:val="14"/>
          <w:b w:val="1"/>
          <w:bCs w:val="1"/>
          <w:color w:val="40C1AC"/>
        </w:rPr>
        <w:t>SECTION 8.</w:t>
      </w:r>
      <w:r>
        <w:rPr>
          <w:sz w:val="20"/>
          <w:szCs w:val="20"/>
          <w:color w:val="auto"/>
        </w:rPr>
        <w:tab/>
      </w:r>
      <w:r>
        <w:rPr>
          <w:rFonts w:ascii="Arial" w:cs="Arial" w:eastAsia="Arial" w:hAnsi="Arial"/>
          <w:sz w:val="14"/>
          <w:szCs w:val="14"/>
          <w:b w:val="1"/>
          <w:bCs w:val="1"/>
          <w:i w:val="1"/>
          <w:iCs w:val="1"/>
          <w:color w:val="40C1AC"/>
        </w:rPr>
        <w:t>CASH-BASED AWARDS</w:t>
      </w:r>
    </w:p>
    <w:p>
      <w:pPr>
        <w:spacing w:after="0" w:line="129" w:lineRule="exact"/>
        <w:rPr>
          <w:sz w:val="20"/>
          <w:szCs w:val="20"/>
          <w:color w:val="auto"/>
        </w:rPr>
      </w:pPr>
    </w:p>
    <w:p>
      <w:pPr>
        <w:ind w:left="1020" w:right="899" w:firstLine="258"/>
        <w:spacing w:after="0" w:line="244" w:lineRule="auto"/>
        <w:rPr>
          <w:sz w:val="20"/>
          <w:szCs w:val="20"/>
          <w:color w:val="auto"/>
        </w:rPr>
      </w:pPr>
      <w:r>
        <w:rPr>
          <w:rFonts w:ascii="Arial" w:cs="Arial" w:eastAsia="Arial" w:hAnsi="Arial"/>
          <w:sz w:val="14"/>
          <w:szCs w:val="14"/>
          <w:i w:val="1"/>
          <w:iCs w:val="1"/>
          <w:color w:val="auto"/>
        </w:rPr>
        <w:t xml:space="preserve">Grant of Cash-Based Awards. </w:t>
      </w:r>
      <w:r>
        <w:rPr>
          <w:rFonts w:ascii="Arial" w:cs="Arial" w:eastAsia="Arial" w:hAnsi="Arial"/>
          <w:sz w:val="14"/>
          <w:szCs w:val="14"/>
          <w:color w:val="auto"/>
        </w:rPr>
        <w:t>The Administrator may, in its sole discretion, grant Cash-Based Awards to</w:t>
      </w:r>
      <w:r>
        <w:rPr>
          <w:rFonts w:ascii="Arial" w:cs="Arial" w:eastAsia="Arial" w:hAnsi="Arial"/>
          <w:sz w:val="14"/>
          <w:szCs w:val="14"/>
          <w:i w:val="1"/>
          <w:iCs w:val="1"/>
          <w:color w:val="auto"/>
        </w:rPr>
        <w:t xml:space="preserve"> </w:t>
      </w:r>
      <w:r>
        <w:rPr>
          <w:rFonts w:ascii="Arial" w:cs="Arial" w:eastAsia="Arial" w:hAnsi="Arial"/>
          <w:sz w:val="14"/>
          <w:szCs w:val="14"/>
          <w:color w:val="auto"/>
        </w:rPr>
        <w:t>any grantee in such number or amount and 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as the Administrator determines. Except as may otherwise be provided by the Administrator pursuant to the authority reserved in this Section 8, a grantee’s right in all Cash-Based Awards that have not vested shall automatically terminate upon the grantee’s termination of employment (or cessation of service relationship) with the Company and its Subsidiaries for any reason (including if a Subsidiary ceases to be a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610870</wp:posOffset>
            </wp:positionV>
            <wp:extent cx="560387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44" w:name="page145"/>
    <w:bookmarkEnd w:id="144"/>
    <w:p>
      <w:pPr>
        <w:ind w:left="1020"/>
        <w:spacing w:after="0"/>
        <w:tabs>
          <w:tab w:leader="none" w:pos="1960" w:val="left"/>
        </w:tabs>
        <w:rPr>
          <w:sz w:val="20"/>
          <w:szCs w:val="20"/>
          <w:color w:val="auto"/>
        </w:rPr>
      </w:pPr>
      <w:r>
        <w:rPr>
          <w:rFonts w:ascii="Arial" w:cs="Arial" w:eastAsia="Arial" w:hAnsi="Arial"/>
          <w:sz w:val="14"/>
          <w:szCs w:val="14"/>
          <w:b w:val="1"/>
          <w:bCs w:val="1"/>
          <w:color w:val="40C1AC"/>
        </w:rPr>
        <w:t>SECTION 9.</w:t>
        <w:tab/>
        <w:t>PERFORMANCE SHARE AWARDS</w:t>
      </w:r>
    </w:p>
    <w:p>
      <w:pPr>
        <w:spacing w:after="0" w:line="140" w:lineRule="exact"/>
        <w:rPr>
          <w:sz w:val="20"/>
          <w:szCs w:val="20"/>
          <w:color w:val="auto"/>
        </w:rPr>
      </w:pPr>
    </w:p>
    <w:p>
      <w:pPr>
        <w:ind w:left="1020" w:right="939" w:firstLine="267"/>
        <w:spacing w:after="0" w:line="250" w:lineRule="auto"/>
        <w:tabs>
          <w:tab w:leader="none" w:pos="1596"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 xml:space="preserve">Nature of Performance Share Awards. </w:t>
      </w:r>
      <w:r>
        <w:rPr>
          <w:rFonts w:ascii="Arial" w:cs="Arial" w:eastAsia="Arial" w:hAnsi="Arial"/>
          <w:sz w:val="14"/>
          <w:szCs w:val="14"/>
          <w:color w:val="auto"/>
        </w:rPr>
        <w:t>The Administrator may, in its sole discretion, grant</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Share Awards independent of, or in connection with, the granting of any other Award under the Plan. The Administrator shall determine whether and to whom Performance Share Awards shall be granted, the Performance Goals, the Performance Cycles (which, as defined above, shall not be less than 12 months), and such other limitations and conditions as the Administrator shall determine.</w:t>
      </w:r>
    </w:p>
    <w:p>
      <w:pPr>
        <w:spacing w:after="0" w:line="106" w:lineRule="exact"/>
        <w:rPr>
          <w:rFonts w:ascii="Arial" w:cs="Arial" w:eastAsia="Arial" w:hAnsi="Arial"/>
          <w:sz w:val="14"/>
          <w:szCs w:val="14"/>
          <w:color w:val="auto"/>
        </w:rPr>
      </w:pPr>
    </w:p>
    <w:p>
      <w:pPr>
        <w:ind w:left="1020" w:right="999" w:firstLine="267"/>
        <w:spacing w:after="0" w:line="250" w:lineRule="auto"/>
        <w:tabs>
          <w:tab w:leader="none" w:pos="1596"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 xml:space="preserve">Rights as a Shareholder. </w:t>
      </w:r>
      <w:r>
        <w:rPr>
          <w:rFonts w:ascii="Arial" w:cs="Arial" w:eastAsia="Arial" w:hAnsi="Arial"/>
          <w:sz w:val="14"/>
          <w:szCs w:val="14"/>
          <w:color w:val="auto"/>
        </w:rPr>
        <w:t>A grantee receiving a Performance Share Award shall have the rights of a</w:t>
      </w:r>
      <w:r>
        <w:rPr>
          <w:rFonts w:ascii="Arial" w:cs="Arial" w:eastAsia="Arial" w:hAnsi="Arial"/>
          <w:sz w:val="14"/>
          <w:szCs w:val="14"/>
          <w:i w:val="1"/>
          <w:iCs w:val="1"/>
          <w:color w:val="auto"/>
        </w:rPr>
        <w:t xml:space="preserve"> </w:t>
      </w:r>
      <w:r>
        <w:rPr>
          <w:rFonts w:ascii="Arial" w:cs="Arial" w:eastAsia="Arial" w:hAnsi="Arial"/>
          <w:sz w:val="14"/>
          <w:szCs w:val="14"/>
          <w:color w:val="auto"/>
        </w:rPr>
        <w:t>shareholder only as to Shares actually received by the grantee under the Plan and not with respect to Shares subject to the Award but not actually received by the grantee. A grantee shall be entitled to receive Shares under a Performance Share Award only upon satisfaction of all conditions specified in the Performance Share Award Certificate (or in a performance plan adopted by the Administrator).</w:t>
      </w:r>
    </w:p>
    <w:p>
      <w:pPr>
        <w:spacing w:after="0" w:line="117" w:lineRule="exact"/>
        <w:rPr>
          <w:rFonts w:ascii="Arial" w:cs="Arial" w:eastAsia="Arial" w:hAnsi="Arial"/>
          <w:sz w:val="14"/>
          <w:szCs w:val="14"/>
          <w:color w:val="auto"/>
        </w:rPr>
      </w:pPr>
    </w:p>
    <w:p>
      <w:pPr>
        <w:ind w:left="1020" w:right="899" w:firstLine="267"/>
        <w:spacing w:after="0" w:line="250" w:lineRule="auto"/>
        <w:tabs>
          <w:tab w:leader="none" w:pos="1596"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 xml:space="preserve">Termination. </w:t>
      </w:r>
      <w:r>
        <w:rPr>
          <w:rFonts w:ascii="Arial" w:cs="Arial" w:eastAsia="Arial" w:hAnsi="Arial"/>
          <w:sz w:val="14"/>
          <w:szCs w:val="14"/>
          <w:color w:val="auto"/>
        </w:rPr>
        <w:t>Except as may otherwise be provided by the Administrator either in the Award</w:t>
      </w:r>
      <w:r>
        <w:rPr>
          <w:rFonts w:ascii="Arial" w:cs="Arial" w:eastAsia="Arial" w:hAnsi="Arial"/>
          <w:sz w:val="14"/>
          <w:szCs w:val="14"/>
          <w:i w:val="1"/>
          <w:iCs w:val="1"/>
          <w:color w:val="auto"/>
        </w:rPr>
        <w:t xml:space="preserve"> </w:t>
      </w:r>
      <w:r>
        <w:rPr>
          <w:rFonts w:ascii="Arial" w:cs="Arial" w:eastAsia="Arial" w:hAnsi="Arial"/>
          <w:sz w:val="14"/>
          <w:szCs w:val="14"/>
          <w:color w:val="auto"/>
        </w:rPr>
        <w:t>Certificate or, subject to Section 15 below, in writing after the Award Certificate is issued, a grantee’s rights in all Performance Share Awards shall automatically terminate upon the grantee’s termination of employment (or cessation of service relationship) with the Company and its Subsidiaries for any reason (including if a Subsidiary ceases to be a Subsidiary of the Company).</w:t>
      </w:r>
    </w:p>
    <w:p>
      <w:pPr>
        <w:spacing w:after="0" w:line="107"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40C1AC"/>
        </w:rPr>
        <w:t xml:space="preserve">SECTION 10. </w:t>
      </w:r>
      <w:r>
        <w:rPr>
          <w:rFonts w:ascii="Arial" w:cs="Arial" w:eastAsia="Arial" w:hAnsi="Arial"/>
          <w:sz w:val="14"/>
          <w:szCs w:val="14"/>
          <w:b w:val="1"/>
          <w:bCs w:val="1"/>
          <w:i w:val="1"/>
          <w:iCs w:val="1"/>
          <w:color w:val="40C1AC"/>
        </w:rPr>
        <w:t>PERFORMANCE-BASED AWARDS</w:t>
      </w:r>
    </w:p>
    <w:p>
      <w:pPr>
        <w:spacing w:after="0" w:line="140" w:lineRule="exact"/>
        <w:rPr>
          <w:sz w:val="20"/>
          <w:szCs w:val="20"/>
          <w:color w:val="auto"/>
        </w:rPr>
      </w:pPr>
    </w:p>
    <w:p>
      <w:pPr>
        <w:ind w:left="1020" w:right="899" w:firstLine="267"/>
        <w:spacing w:after="0" w:line="242" w:lineRule="auto"/>
        <w:tabs>
          <w:tab w:leader="none" w:pos="1596"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 xml:space="preserve">Performance-Based Awards. </w:t>
      </w:r>
      <w:r>
        <w:rPr>
          <w:rFonts w:ascii="Arial" w:cs="Arial" w:eastAsia="Arial" w:hAnsi="Arial"/>
          <w:sz w:val="14"/>
          <w:szCs w:val="14"/>
          <w:color w:val="auto"/>
        </w:rPr>
        <w:t>Any grantee who is selected by the Administrator may be granted one</w:t>
      </w:r>
      <w:r>
        <w:rPr>
          <w:rFonts w:ascii="Arial" w:cs="Arial" w:eastAsia="Arial" w:hAnsi="Arial"/>
          <w:sz w:val="14"/>
          <w:szCs w:val="14"/>
          <w:i w:val="1"/>
          <w:iCs w:val="1"/>
          <w:color w:val="auto"/>
        </w:rPr>
        <w:t xml:space="preserve"> </w:t>
      </w:r>
      <w:r>
        <w:rPr>
          <w:rFonts w:ascii="Arial" w:cs="Arial" w:eastAsia="Arial" w:hAnsi="Arial"/>
          <w:sz w:val="14"/>
          <w:szCs w:val="14"/>
          <w:color w:val="auto"/>
        </w:rPr>
        <w:t>or more Performance-Based Awards payable upon the attainment of Performance Goals that are established by the Administrator and relate to one or more of the Performance Criteria, in each case on a specified date or dates or over any period or periods determined by the Administrator (which, for clarification, shall not be less than 12 months). The Administrator shall define the manner of calculating the Performance Criteria it selects to use for any Performance Cycle (which, as defined above, shall not be less than 12 months). Depending on the Performance Criteria used to establish such Performance Goals, the Performance Goals may be expressed in terms of overall performance of the Company or the performance of a Subsidiary, division, business unit, or an individual. The Administrator, in its discretion, may adjust or modify the calculation of Performance Goals for such Performance Cycle to make adjustments deemed appropriate by the Administrator, including but not limited to,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its Subsidiaries, or the financial statements of the Company or its Subsidiaries, or (iii) in response to, or in anticipation of, changes in applicable laws, regulations, accounting principles, or business conditions. Each Performance-Based Award shall comply with the provisions set forth below.</w:t>
      </w:r>
    </w:p>
    <w:p>
      <w:pPr>
        <w:spacing w:after="0" w:line="130" w:lineRule="exact"/>
        <w:rPr>
          <w:rFonts w:ascii="Arial" w:cs="Arial" w:eastAsia="Arial" w:hAnsi="Arial"/>
          <w:sz w:val="14"/>
          <w:szCs w:val="14"/>
          <w:color w:val="auto"/>
        </w:rPr>
      </w:pPr>
    </w:p>
    <w:p>
      <w:pPr>
        <w:ind w:left="1020" w:right="919" w:firstLine="267"/>
        <w:spacing w:after="0" w:line="246" w:lineRule="auto"/>
        <w:tabs>
          <w:tab w:leader="none" w:pos="1596"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 xml:space="preserve">Grant of Performance-Based Awards. </w:t>
      </w:r>
      <w:r>
        <w:rPr>
          <w:rFonts w:ascii="Arial" w:cs="Arial" w:eastAsia="Arial" w:hAnsi="Arial"/>
          <w:sz w:val="14"/>
          <w:szCs w:val="14"/>
          <w:color w:val="auto"/>
        </w:rPr>
        <w:t>With respect to each Performance-Based Award granted to a</w:t>
      </w:r>
      <w:r>
        <w:rPr>
          <w:rFonts w:ascii="Arial" w:cs="Arial" w:eastAsia="Arial" w:hAnsi="Arial"/>
          <w:sz w:val="14"/>
          <w:szCs w:val="14"/>
          <w:i w:val="1"/>
          <w:iCs w:val="1"/>
          <w:color w:val="auto"/>
        </w:rPr>
        <w:t xml:space="preserve"> </w:t>
      </w:r>
      <w:r>
        <w:rPr>
          <w:rFonts w:ascii="Arial" w:cs="Arial" w:eastAsia="Arial" w:hAnsi="Arial"/>
          <w:sz w:val="14"/>
          <w:szCs w:val="14"/>
          <w:color w:val="auto"/>
        </w:rPr>
        <w:t>grantee, the Administrator shall select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grantees.</w:t>
      </w:r>
    </w:p>
    <w:p>
      <w:pPr>
        <w:spacing w:after="0" w:line="108" w:lineRule="exact"/>
        <w:rPr>
          <w:rFonts w:ascii="Arial" w:cs="Arial" w:eastAsia="Arial" w:hAnsi="Arial"/>
          <w:sz w:val="14"/>
          <w:szCs w:val="14"/>
          <w:color w:val="auto"/>
        </w:rPr>
      </w:pPr>
    </w:p>
    <w:p>
      <w:pPr>
        <w:ind w:left="1020" w:right="959" w:firstLine="267"/>
        <w:spacing w:after="0" w:line="247" w:lineRule="auto"/>
        <w:tabs>
          <w:tab w:leader="none" w:pos="1596"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 xml:space="preserve">Payment of Performance-Based Awards. </w:t>
      </w:r>
      <w:r>
        <w:rPr>
          <w:rFonts w:ascii="Arial" w:cs="Arial" w:eastAsia="Arial" w:hAnsi="Arial"/>
          <w:sz w:val="14"/>
          <w:szCs w:val="14"/>
          <w:color w:val="auto"/>
        </w:rPr>
        <w:t>Following the completion of a Performance Cycle,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grantee’s Performance-Based Award, and, in doing so, may reduce or eliminate the amount of the Performance-Based Award for a grantee if, in its sole judgment, such reduction or elimination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715645</wp:posOffset>
            </wp:positionV>
            <wp:extent cx="560387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45" w:name="page146"/>
    <w:bookmarkEnd w:id="145"/>
    <w:p>
      <w:pPr>
        <w:ind w:left="1020"/>
        <w:spacing w:after="0"/>
        <w:rPr>
          <w:sz w:val="20"/>
          <w:szCs w:val="20"/>
          <w:color w:val="auto"/>
        </w:rPr>
      </w:pPr>
      <w:r>
        <w:rPr>
          <w:rFonts w:ascii="Arial" w:cs="Arial" w:eastAsia="Arial" w:hAnsi="Arial"/>
          <w:sz w:val="14"/>
          <w:szCs w:val="14"/>
          <w:b w:val="1"/>
          <w:bCs w:val="1"/>
          <w:color w:val="40C1AC"/>
        </w:rPr>
        <w:t xml:space="preserve">SECTION 11. </w:t>
      </w:r>
      <w:r>
        <w:rPr>
          <w:rFonts w:ascii="Arial" w:cs="Arial" w:eastAsia="Arial" w:hAnsi="Arial"/>
          <w:sz w:val="14"/>
          <w:szCs w:val="14"/>
          <w:b w:val="1"/>
          <w:bCs w:val="1"/>
          <w:i w:val="1"/>
          <w:iCs w:val="1"/>
          <w:color w:val="40C1AC"/>
        </w:rPr>
        <w:t>TRANSFERABILITY OF AWARDS</w:t>
      </w:r>
    </w:p>
    <w:p>
      <w:pPr>
        <w:spacing w:after="0" w:line="140" w:lineRule="exact"/>
        <w:rPr>
          <w:sz w:val="20"/>
          <w:szCs w:val="20"/>
          <w:color w:val="auto"/>
        </w:rPr>
      </w:pPr>
    </w:p>
    <w:p>
      <w:pPr>
        <w:ind w:left="1020" w:right="1019" w:firstLine="267"/>
        <w:spacing w:after="0" w:line="248" w:lineRule="auto"/>
        <w:tabs>
          <w:tab w:leader="none" w:pos="15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Except as provided in Section 11(b) below, during a grantee’s lifetime, the grantee’s</w:t>
      </w:r>
      <w:r>
        <w:rPr>
          <w:rFonts w:ascii="Arial" w:cs="Arial" w:eastAsia="Arial" w:hAnsi="Arial"/>
          <w:sz w:val="14"/>
          <w:szCs w:val="14"/>
          <w:i w:val="1"/>
          <w:iCs w:val="1"/>
          <w:color w:val="auto"/>
        </w:rPr>
        <w:t xml:space="preserve"> </w:t>
      </w:r>
      <w:r>
        <w:rPr>
          <w:rFonts w:ascii="Arial" w:cs="Arial" w:eastAsia="Arial" w:hAnsi="Arial"/>
          <w:sz w:val="14"/>
          <w:szCs w:val="14"/>
          <w:color w:val="auto"/>
        </w:rPr>
        <w:t>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07" w:lineRule="exact"/>
        <w:rPr>
          <w:rFonts w:ascii="Arial" w:cs="Arial" w:eastAsia="Arial" w:hAnsi="Arial"/>
          <w:sz w:val="14"/>
          <w:szCs w:val="14"/>
          <w:color w:val="auto"/>
        </w:rPr>
      </w:pPr>
    </w:p>
    <w:p>
      <w:pPr>
        <w:ind w:left="1020" w:right="939" w:firstLine="267"/>
        <w:spacing w:after="0" w:line="248" w:lineRule="auto"/>
        <w:tabs>
          <w:tab w:leader="none" w:pos="15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Administrator Action. </w:t>
      </w:r>
      <w:r>
        <w:rPr>
          <w:rFonts w:ascii="Arial" w:cs="Arial" w:eastAsia="Arial" w:hAnsi="Arial"/>
          <w:sz w:val="14"/>
          <w:szCs w:val="14"/>
          <w:color w:val="auto"/>
        </w:rPr>
        <w:t>Notwithstanding Section 11(a), the Administrator, in its discretion, may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either in the Award Certificate regarding a given Award or by subsequent written approval that the grantee (who is an employee or director) may transfer their Non-Qualified Stock Options and Stock Appreciation Rights to their immediate family members, to trusts for the benefit of such family members, or to partnerships in which such family members are the only partners, provided that the transferee agrees in writing with the Company to be bound by all of the terms and conditions of the Plan and the applicable Award.</w:t>
      </w:r>
    </w:p>
    <w:p>
      <w:pPr>
        <w:spacing w:after="0" w:line="118" w:lineRule="exact"/>
        <w:rPr>
          <w:rFonts w:ascii="Arial" w:cs="Arial" w:eastAsia="Arial" w:hAnsi="Arial"/>
          <w:sz w:val="14"/>
          <w:szCs w:val="14"/>
          <w:color w:val="auto"/>
        </w:rPr>
      </w:pPr>
    </w:p>
    <w:p>
      <w:pPr>
        <w:ind w:left="1020" w:right="939" w:firstLine="267"/>
        <w:spacing w:after="0" w:line="247" w:lineRule="auto"/>
        <w:tabs>
          <w:tab w:leader="none" w:pos="15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Family Member. </w:t>
      </w:r>
      <w:r>
        <w:rPr>
          <w:rFonts w:ascii="Arial" w:cs="Arial" w:eastAsia="Arial" w:hAnsi="Arial"/>
          <w:sz w:val="14"/>
          <w:szCs w:val="14"/>
          <w:color w:val="auto"/>
        </w:rPr>
        <w:t>For purposes of Section 11(b), “family member” shall mean a grantee’s child,</w:t>
      </w:r>
      <w:r>
        <w:rPr>
          <w:rFonts w:ascii="Arial" w:cs="Arial" w:eastAsia="Arial" w:hAnsi="Arial"/>
          <w:sz w:val="14"/>
          <w:szCs w:val="14"/>
          <w:i w:val="1"/>
          <w:iCs w:val="1"/>
          <w:color w:val="auto"/>
        </w:rPr>
        <w:t xml:space="preserve"> </w:t>
      </w:r>
      <w:r>
        <w:rPr>
          <w:rFonts w:ascii="Arial" w:cs="Arial" w:eastAsia="Arial" w:hAnsi="Arial"/>
          <w:sz w:val="14"/>
          <w:szCs w:val="14"/>
          <w:color w:val="auto"/>
        </w:rPr>
        <w:t>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Arial" w:cs="Arial" w:eastAsia="Arial" w:hAnsi="Arial"/>
          <w:sz w:val="14"/>
          <w:szCs w:val="14"/>
          <w:color w:val="auto"/>
        </w:rPr>
      </w:pPr>
    </w:p>
    <w:p>
      <w:pPr>
        <w:ind w:left="1020" w:right="1099" w:firstLine="267"/>
        <w:spacing w:after="0" w:line="248" w:lineRule="auto"/>
        <w:tabs>
          <w:tab w:leader="none" w:pos="15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Designation of Beneficiary. </w:t>
      </w:r>
      <w:r>
        <w:rPr>
          <w:rFonts w:ascii="Arial" w:cs="Arial" w:eastAsia="Arial" w:hAnsi="Arial"/>
          <w:sz w:val="14"/>
          <w:szCs w:val="14"/>
          <w:color w:val="auto"/>
        </w:rPr>
        <w:t>Each grantee to whom an Award has been made under the Plan may</w:t>
      </w:r>
      <w:r>
        <w:rPr>
          <w:rFonts w:ascii="Arial" w:cs="Arial" w:eastAsia="Arial" w:hAnsi="Arial"/>
          <w:sz w:val="14"/>
          <w:szCs w:val="14"/>
          <w:i w:val="1"/>
          <w:iCs w:val="1"/>
          <w:color w:val="auto"/>
        </w:rPr>
        <w:t xml:space="preserve"> </w:t>
      </w:r>
      <w:r>
        <w:rPr>
          <w:rFonts w:ascii="Arial" w:cs="Arial" w:eastAsia="Arial" w:hAnsi="Arial"/>
          <w:sz w:val="14"/>
          <w:szCs w:val="14"/>
          <w:color w:val="auto"/>
        </w:rPr>
        <w:t>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08"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40C1AC"/>
        </w:rPr>
        <w:t xml:space="preserve">SECTION 12. </w:t>
      </w:r>
      <w:r>
        <w:rPr>
          <w:rFonts w:ascii="Arial" w:cs="Arial" w:eastAsia="Arial" w:hAnsi="Arial"/>
          <w:sz w:val="14"/>
          <w:szCs w:val="14"/>
          <w:b w:val="1"/>
          <w:bCs w:val="1"/>
          <w:i w:val="1"/>
          <w:iCs w:val="1"/>
          <w:color w:val="40C1AC"/>
        </w:rPr>
        <w:t>TAX WITHHOLDING</w:t>
      </w:r>
    </w:p>
    <w:p>
      <w:pPr>
        <w:spacing w:after="0" w:line="150" w:lineRule="exact"/>
        <w:rPr>
          <w:sz w:val="20"/>
          <w:szCs w:val="20"/>
          <w:color w:val="auto"/>
        </w:rPr>
      </w:pPr>
    </w:p>
    <w:p>
      <w:pPr>
        <w:ind w:left="1020" w:right="979" w:firstLine="267"/>
        <w:spacing w:after="0" w:line="247" w:lineRule="auto"/>
        <w:tabs>
          <w:tab w:leader="none" w:pos="1596" w:val="left"/>
        </w:tabs>
        <w:numPr>
          <w:ilvl w:val="0"/>
          <w:numId w:val="74"/>
        </w:numPr>
        <w:rPr>
          <w:rFonts w:ascii="Arial" w:cs="Arial" w:eastAsia="Arial" w:hAnsi="Arial"/>
          <w:sz w:val="14"/>
          <w:szCs w:val="14"/>
          <w:color w:val="auto"/>
        </w:rPr>
      </w:pPr>
      <w:r>
        <w:rPr>
          <w:rFonts w:ascii="Arial" w:cs="Arial" w:eastAsia="Arial" w:hAnsi="Arial"/>
          <w:sz w:val="14"/>
          <w:szCs w:val="14"/>
          <w:i w:val="1"/>
          <w:iCs w:val="1"/>
          <w:color w:val="auto"/>
        </w:rPr>
        <w:t xml:space="preserve">Payment by Grantee. </w:t>
      </w:r>
      <w:r>
        <w:rPr>
          <w:rFonts w:ascii="Arial" w:cs="Arial" w:eastAsia="Arial" w:hAnsi="Arial"/>
          <w:sz w:val="14"/>
          <w:szCs w:val="14"/>
          <w:color w:val="auto"/>
        </w:rPr>
        <w:t>Each grantee shall pay to the Company or its Subsidiaries, or make</w:t>
      </w:r>
      <w:r>
        <w:rPr>
          <w:rFonts w:ascii="Arial" w:cs="Arial" w:eastAsia="Arial" w:hAnsi="Arial"/>
          <w:sz w:val="14"/>
          <w:szCs w:val="14"/>
          <w:i w:val="1"/>
          <w:iCs w:val="1"/>
          <w:color w:val="auto"/>
        </w:rPr>
        <w:t xml:space="preserve"> </w:t>
      </w:r>
      <w:r>
        <w:rPr>
          <w:rFonts w:ascii="Arial" w:cs="Arial" w:eastAsia="Arial" w:hAnsi="Arial"/>
          <w:sz w:val="14"/>
          <w:szCs w:val="14"/>
          <w:color w:val="auto"/>
        </w:rPr>
        <w:t>arrangements satisfactory to the Administrator regarding payment of, any U.S. federal, state or local taxes, and non-U.S. or other taxes of any kind required by law to be withheld by the Company or its Subsidiaries with respect to any Award. The Company and its Subsidiaries shall, to the extent permitted by law, have the right to deduct any such taxes from any payment of any kind otherwise due to the grantee. The Company’s obligation to deliver evidence of book entry (or share certificates) to any grantee is subject to and conditioned on tax withholding obligations being satisfied by the grantee.</w:t>
      </w:r>
    </w:p>
    <w:p>
      <w:pPr>
        <w:spacing w:after="0" w:line="107" w:lineRule="exact"/>
        <w:rPr>
          <w:rFonts w:ascii="Arial" w:cs="Arial" w:eastAsia="Arial" w:hAnsi="Arial"/>
          <w:sz w:val="14"/>
          <w:szCs w:val="14"/>
          <w:color w:val="auto"/>
        </w:rPr>
      </w:pPr>
    </w:p>
    <w:p>
      <w:pPr>
        <w:ind w:left="1020" w:right="899" w:firstLine="267"/>
        <w:spacing w:after="0" w:line="245" w:lineRule="auto"/>
        <w:tabs>
          <w:tab w:leader="none" w:pos="1596" w:val="left"/>
        </w:tabs>
        <w:numPr>
          <w:ilvl w:val="0"/>
          <w:numId w:val="74"/>
        </w:numPr>
        <w:rPr>
          <w:rFonts w:ascii="Arial" w:cs="Arial" w:eastAsia="Arial" w:hAnsi="Arial"/>
          <w:sz w:val="14"/>
          <w:szCs w:val="14"/>
          <w:color w:val="auto"/>
        </w:rPr>
      </w:pPr>
      <w:r>
        <w:rPr>
          <w:rFonts w:ascii="Arial" w:cs="Arial" w:eastAsia="Arial" w:hAnsi="Arial"/>
          <w:sz w:val="14"/>
          <w:szCs w:val="14"/>
          <w:i w:val="1"/>
          <w:iCs w:val="1"/>
          <w:color w:val="auto"/>
        </w:rPr>
        <w:t xml:space="preserve">Payment in Shares. </w:t>
      </w:r>
      <w:r>
        <w:rPr>
          <w:rFonts w:ascii="Arial" w:cs="Arial" w:eastAsia="Arial" w:hAnsi="Arial"/>
          <w:sz w:val="14"/>
          <w:szCs w:val="14"/>
          <w:color w:val="auto"/>
        </w:rPr>
        <w:t>In connection with its obligations to withhold any U.S. federal, state or local</w:t>
      </w:r>
      <w:r>
        <w:rPr>
          <w:rFonts w:ascii="Arial" w:cs="Arial" w:eastAsia="Arial" w:hAnsi="Arial"/>
          <w:sz w:val="14"/>
          <w:szCs w:val="14"/>
          <w:i w:val="1"/>
          <w:iCs w:val="1"/>
          <w:color w:val="auto"/>
        </w:rPr>
        <w:t xml:space="preserve"> </w:t>
      </w:r>
      <w:r>
        <w:rPr>
          <w:rFonts w:ascii="Arial" w:cs="Arial" w:eastAsia="Arial" w:hAnsi="Arial"/>
          <w:sz w:val="14"/>
          <w:szCs w:val="14"/>
          <w:color w:val="auto"/>
        </w:rPr>
        <w:t>taxes, and non-U.S. or other taxes from amounts paid to grantees, the Company or its Subsidiaries may make any arrangements that are consistent with the Plan as it may deem appropriate. Without limitation of the preceding sentence, the Company shall have the right to reduce the number of Shares otherwise required to be issued to a grantee (or other recipient) in an amount that would have a Fair Market Value on the date of such issuance equal to all such taxes as shall be required to be withheld by the Company or its Subsidiaries pursuant to any statute or other governmental regulation or ruling and paid to any U.S. federal, state or local, or non-U.S. taxing authority, or such other amount as may be permitted while still avoiding classification of the Award as a liability for financial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612140</wp:posOffset>
            </wp:positionV>
            <wp:extent cx="560387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46" w:name="page147"/>
    <w:bookmarkEnd w:id="146"/>
    <w:p>
      <w:pPr>
        <w:ind w:left="1020"/>
        <w:spacing w:after="0"/>
        <w:rPr>
          <w:sz w:val="20"/>
          <w:szCs w:val="20"/>
          <w:color w:val="auto"/>
        </w:rPr>
      </w:pPr>
      <w:r>
        <w:rPr>
          <w:rFonts w:ascii="Arial" w:cs="Arial" w:eastAsia="Arial" w:hAnsi="Arial"/>
          <w:sz w:val="14"/>
          <w:szCs w:val="14"/>
          <w:b w:val="1"/>
          <w:bCs w:val="1"/>
          <w:color w:val="40C1AC"/>
        </w:rPr>
        <w:t xml:space="preserve">SECTION 13. </w:t>
      </w:r>
      <w:r>
        <w:rPr>
          <w:rFonts w:ascii="Arial" w:cs="Arial" w:eastAsia="Arial" w:hAnsi="Arial"/>
          <w:sz w:val="14"/>
          <w:szCs w:val="14"/>
          <w:b w:val="1"/>
          <w:bCs w:val="1"/>
          <w:i w:val="1"/>
          <w:iCs w:val="1"/>
          <w:color w:val="40C1AC"/>
        </w:rPr>
        <w:t>SECTION 409A AWARDS</w:t>
      </w:r>
    </w:p>
    <w:p>
      <w:pPr>
        <w:spacing w:after="0" w:line="140" w:lineRule="exact"/>
        <w:rPr>
          <w:sz w:val="20"/>
          <w:szCs w:val="20"/>
          <w:color w:val="auto"/>
        </w:rPr>
      </w:pPr>
    </w:p>
    <w:p>
      <w:pPr>
        <w:ind w:left="1020" w:right="1059" w:firstLine="258"/>
        <w:spacing w:after="0" w:line="244" w:lineRule="auto"/>
        <w:rPr>
          <w:sz w:val="20"/>
          <w:szCs w:val="20"/>
          <w:color w:val="auto"/>
        </w:rPr>
      </w:pPr>
      <w:r>
        <w:rPr>
          <w:rFonts w:ascii="Arial" w:cs="Arial" w:eastAsia="Arial" w:hAnsi="Arial"/>
          <w:sz w:val="14"/>
          <w:szCs w:val="14"/>
          <w:color w:val="auto"/>
        </w:rPr>
        <w:t>To the extent that any Award is determined to constitute “nonqualified deferred compensation” within the meaning of Section 409A (a “</w:t>
      </w:r>
      <w:r>
        <w:rPr>
          <w:rFonts w:ascii="Arial" w:cs="Arial" w:eastAsia="Arial" w:hAnsi="Arial"/>
          <w:sz w:val="14"/>
          <w:szCs w:val="14"/>
          <w:i w:val="1"/>
          <w:iCs w:val="1"/>
          <w:color w:val="auto"/>
        </w:rPr>
        <w:t>409A Award</w:t>
      </w:r>
      <w:r>
        <w:rPr>
          <w:rFonts w:ascii="Arial" w:cs="Arial" w:eastAsia="Arial" w:hAnsi="Arial"/>
          <w:sz w:val="14"/>
          <w:szCs w:val="14"/>
          <w:color w:val="auto"/>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14"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40C1AC"/>
        </w:rPr>
        <w:t xml:space="preserve">SECTION 14. </w:t>
      </w:r>
      <w:r>
        <w:rPr>
          <w:rFonts w:ascii="Arial" w:cs="Arial" w:eastAsia="Arial" w:hAnsi="Arial"/>
          <w:sz w:val="14"/>
          <w:szCs w:val="14"/>
          <w:b w:val="1"/>
          <w:bCs w:val="1"/>
          <w:i w:val="1"/>
          <w:iCs w:val="1"/>
          <w:color w:val="40C1AC"/>
        </w:rPr>
        <w:t>TRANSFER, LEAVE OF ABSENCE, ETC.</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For purposes of the Plan, the following events shall not be deemed a termination of employment:</w:t>
      </w:r>
    </w:p>
    <w:p>
      <w:pPr>
        <w:spacing w:after="0" w:line="86" w:lineRule="exact"/>
        <w:rPr>
          <w:sz w:val="20"/>
          <w:szCs w:val="20"/>
          <w:color w:val="auto"/>
        </w:rPr>
      </w:pPr>
    </w:p>
    <w:p>
      <w:pPr>
        <w:ind w:left="1020" w:right="979" w:firstLine="267"/>
        <w:spacing w:after="0" w:line="282" w:lineRule="auto"/>
        <w:tabs>
          <w:tab w:leader="none" w:pos="1596" w:val="left"/>
        </w:tabs>
        <w:numPr>
          <w:ilvl w:val="0"/>
          <w:numId w:val="75"/>
        </w:numPr>
        <w:rPr>
          <w:rFonts w:ascii="Arial" w:cs="Arial" w:eastAsia="Arial" w:hAnsi="Arial"/>
          <w:sz w:val="14"/>
          <w:szCs w:val="14"/>
          <w:color w:val="auto"/>
        </w:rPr>
      </w:pPr>
      <w:r>
        <w:rPr>
          <w:rFonts w:ascii="Arial" w:cs="Arial" w:eastAsia="Arial" w:hAnsi="Arial"/>
          <w:sz w:val="14"/>
          <w:szCs w:val="14"/>
          <w:color w:val="auto"/>
        </w:rPr>
        <w:t>a transfer to the employment of the Company from a Subsidiary or from the Company to a Subsidiary, or from one Subsidiary to another;</w:t>
      </w:r>
    </w:p>
    <w:p>
      <w:pPr>
        <w:spacing w:after="0" w:line="29" w:lineRule="exact"/>
        <w:rPr>
          <w:rFonts w:ascii="Arial" w:cs="Arial" w:eastAsia="Arial" w:hAnsi="Arial"/>
          <w:sz w:val="14"/>
          <w:szCs w:val="14"/>
          <w:color w:val="auto"/>
        </w:rPr>
      </w:pPr>
    </w:p>
    <w:p>
      <w:pPr>
        <w:jc w:val="both"/>
        <w:ind w:left="1020" w:right="1099" w:firstLine="267"/>
        <w:spacing w:after="0" w:line="254" w:lineRule="auto"/>
        <w:tabs>
          <w:tab w:leader="none" w:pos="1596"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 approved leave of absence for military service or sickness, or for any other purpose approved by the Company or its Subsidiaries, as the case may be, if the employee’s right to re-employment is guaranteed either by a statute or by contract or under the policy pursuant to which the leave of absence was granted or if the Administrator otherwise so provides in writing; or</w:t>
      </w:r>
    </w:p>
    <w:p>
      <w:pPr>
        <w:spacing w:after="0" w:line="48" w:lineRule="exact"/>
        <w:rPr>
          <w:rFonts w:ascii="Arial" w:cs="Arial" w:eastAsia="Arial" w:hAnsi="Arial"/>
          <w:sz w:val="14"/>
          <w:szCs w:val="14"/>
          <w:color w:val="auto"/>
        </w:rPr>
      </w:pPr>
    </w:p>
    <w:p>
      <w:pPr>
        <w:ind w:left="1600" w:hanging="313"/>
        <w:spacing w:after="0"/>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transfer in status from one eligibility category under Section 4 hereof to another category.</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40C1AC"/>
        </w:rPr>
        <w:t xml:space="preserve">SECTION 15. </w:t>
      </w:r>
      <w:r>
        <w:rPr>
          <w:rFonts w:ascii="Arial" w:cs="Arial" w:eastAsia="Arial" w:hAnsi="Arial"/>
          <w:sz w:val="14"/>
          <w:szCs w:val="14"/>
          <w:b w:val="1"/>
          <w:bCs w:val="1"/>
          <w:i w:val="1"/>
          <w:iCs w:val="1"/>
          <w:color w:val="40C1AC"/>
        </w:rPr>
        <w:t>AMENDMENTS AND TERMINATION</w:t>
      </w:r>
    </w:p>
    <w:p>
      <w:pPr>
        <w:spacing w:after="0" w:line="107" w:lineRule="exact"/>
        <w:rPr>
          <w:sz w:val="20"/>
          <w:szCs w:val="20"/>
          <w:color w:val="auto"/>
        </w:rPr>
      </w:pPr>
    </w:p>
    <w:p>
      <w:pPr>
        <w:ind w:left="1020" w:right="899" w:firstLine="258"/>
        <w:spacing w:after="0" w:line="243" w:lineRule="auto"/>
        <w:rPr>
          <w:sz w:val="20"/>
          <w:szCs w:val="20"/>
          <w:color w:val="auto"/>
        </w:rPr>
      </w:pPr>
      <w:r>
        <w:rPr>
          <w:rFonts w:ascii="Arial" w:cs="Arial" w:eastAsia="Arial" w:hAnsi="Arial"/>
          <w:sz w:val="14"/>
          <w:szCs w:val="14"/>
          <w:color w:val="auto"/>
        </w:rPr>
        <w:t>The Board or the Administrator may, at any time, amend or discontinue the Plan and the Administrator may, at any time, amend or cancel any outstanding Award for the purpose of satisfying changes in law or for any other lawful purpose, but, except as otherwise provided in the applicable Award Certificate, no such action shall adversely affect rights under any outstanding Award without the holder’s consent. Except as provided in Section 3(c) or 3(d), without prior shareholder approval, in no event may the Administrator exercise its discretion to reduce the exercise price of outstanding Stock Options or Stock Appreciation Rights, or effect repricing through cancellation and re-grants or cancellation in exchange for cash or another Award. To the extent required under the rules of any securities exchange or market system on which the Shares are listed or any other applicable rules, or to the extent approval by shareholders is determined by the Administrator to be required by the Code to ensure that Incentive Stock Options granted under the Plan are qualified under Section 422 of the Code, Plan amendments shall be subject to approval by the shareholders of the Company entitled to vote at a meeting of shareholders. Nothing in this Section 15 shall limit the Administrator’s authority to take any action permitted pursuant to Section 3(d).</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40C1AC"/>
        </w:rPr>
        <w:t xml:space="preserve">SECTION 16. </w:t>
      </w:r>
      <w:r>
        <w:rPr>
          <w:rFonts w:ascii="Arial" w:cs="Arial" w:eastAsia="Arial" w:hAnsi="Arial"/>
          <w:sz w:val="14"/>
          <w:szCs w:val="14"/>
          <w:b w:val="1"/>
          <w:bCs w:val="1"/>
          <w:i w:val="1"/>
          <w:iCs w:val="1"/>
          <w:color w:val="40C1AC"/>
        </w:rPr>
        <w:t>STATUS OF PLAN</w:t>
      </w:r>
    </w:p>
    <w:p>
      <w:pPr>
        <w:spacing w:after="0" w:line="107" w:lineRule="exact"/>
        <w:rPr>
          <w:sz w:val="20"/>
          <w:szCs w:val="20"/>
          <w:color w:val="auto"/>
        </w:rPr>
      </w:pPr>
    </w:p>
    <w:p>
      <w:pPr>
        <w:ind w:left="1020" w:right="979" w:firstLine="258"/>
        <w:spacing w:after="0" w:line="247" w:lineRule="auto"/>
        <w:rPr>
          <w:sz w:val="20"/>
          <w:szCs w:val="20"/>
          <w:color w:val="auto"/>
        </w:rPr>
      </w:pPr>
      <w:r>
        <w:rPr>
          <w:rFonts w:ascii="Arial" w:cs="Arial" w:eastAsia="Arial" w:hAnsi="Arial"/>
          <w:sz w:val="14"/>
          <w:szCs w:val="14"/>
          <w:color w:val="auto"/>
        </w:rPr>
        <w:t>With respect to the portion of any Award that has not been exercised and any payments in cash, Shares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Shares or make payments with respect to Awards hereunder, provided that the existence of such trusts or other arrangements is consistent with the foregoing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610235</wp:posOffset>
            </wp:positionV>
            <wp:extent cx="560387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47" w:name="page148"/>
    <w:bookmarkEnd w:id="147"/>
    <w:p>
      <w:pPr>
        <w:ind w:left="1020"/>
        <w:spacing w:after="0"/>
        <w:rPr>
          <w:sz w:val="20"/>
          <w:szCs w:val="20"/>
          <w:color w:val="auto"/>
        </w:rPr>
      </w:pPr>
      <w:r>
        <w:rPr>
          <w:rFonts w:ascii="Arial" w:cs="Arial" w:eastAsia="Arial" w:hAnsi="Arial"/>
          <w:sz w:val="14"/>
          <w:szCs w:val="14"/>
          <w:b w:val="1"/>
          <w:bCs w:val="1"/>
          <w:color w:val="40C1AC"/>
        </w:rPr>
        <w:t>SECTION 17. GENERAL PROVISIONS</w:t>
      </w:r>
    </w:p>
    <w:p>
      <w:pPr>
        <w:spacing w:after="0" w:line="97" w:lineRule="exact"/>
        <w:rPr>
          <w:sz w:val="20"/>
          <w:szCs w:val="20"/>
          <w:color w:val="auto"/>
        </w:rPr>
      </w:pPr>
    </w:p>
    <w:p>
      <w:pPr>
        <w:jc w:val="both"/>
        <w:ind w:left="1020" w:right="1019" w:firstLine="267"/>
        <w:spacing w:after="0" w:line="261" w:lineRule="auto"/>
        <w:tabs>
          <w:tab w:leader="none" w:pos="1596"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No Distribution. </w:t>
      </w:r>
      <w:r>
        <w:rPr>
          <w:rFonts w:ascii="Arial" w:cs="Arial" w:eastAsia="Arial" w:hAnsi="Arial"/>
          <w:sz w:val="14"/>
          <w:szCs w:val="14"/>
          <w:color w:val="auto"/>
        </w:rPr>
        <w:t>The Administrator may require each person acquiring Shares pursuant to an Award</w:t>
      </w:r>
      <w:r>
        <w:rPr>
          <w:rFonts w:ascii="Arial" w:cs="Arial" w:eastAsia="Arial" w:hAnsi="Arial"/>
          <w:sz w:val="14"/>
          <w:szCs w:val="14"/>
          <w:i w:val="1"/>
          <w:iCs w:val="1"/>
          <w:color w:val="auto"/>
        </w:rPr>
        <w:t xml:space="preserve"> </w:t>
      </w:r>
      <w:r>
        <w:rPr>
          <w:rFonts w:ascii="Arial" w:cs="Arial" w:eastAsia="Arial" w:hAnsi="Arial"/>
          <w:sz w:val="14"/>
          <w:szCs w:val="14"/>
          <w:color w:val="auto"/>
        </w:rPr>
        <w:t>to represent to and agree with the Company in writing that such person is acquiring the Shares without a view to distribution thereof.</w:t>
      </w:r>
    </w:p>
    <w:p>
      <w:pPr>
        <w:spacing w:after="0" w:line="54" w:lineRule="exact"/>
        <w:rPr>
          <w:rFonts w:ascii="Arial" w:cs="Arial" w:eastAsia="Arial" w:hAnsi="Arial"/>
          <w:sz w:val="14"/>
          <w:szCs w:val="14"/>
          <w:color w:val="auto"/>
        </w:rPr>
      </w:pPr>
    </w:p>
    <w:p>
      <w:pPr>
        <w:ind w:left="1020" w:right="899" w:firstLine="267"/>
        <w:spacing w:after="0" w:line="242" w:lineRule="auto"/>
        <w:tabs>
          <w:tab w:leader="none" w:pos="1596"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Delivery of Share Certificates. </w:t>
      </w:r>
      <w:r>
        <w:rPr>
          <w:rFonts w:ascii="Arial" w:cs="Arial" w:eastAsia="Arial" w:hAnsi="Arial"/>
          <w:sz w:val="14"/>
          <w:szCs w:val="14"/>
          <w:color w:val="auto"/>
        </w:rPr>
        <w:t>Share certificates to grantees under the Plan shall be deemed</w:t>
      </w:r>
      <w:r>
        <w:rPr>
          <w:rFonts w:ascii="Arial" w:cs="Arial" w:eastAsia="Arial" w:hAnsi="Arial"/>
          <w:sz w:val="14"/>
          <w:szCs w:val="14"/>
          <w:i w:val="1"/>
          <w:iCs w:val="1"/>
          <w:color w:val="auto"/>
        </w:rPr>
        <w:t xml:space="preserve"> </w:t>
      </w:r>
      <w:r>
        <w:rPr>
          <w:rFonts w:ascii="Arial" w:cs="Arial" w:eastAsia="Arial" w:hAnsi="Arial"/>
          <w:sz w:val="14"/>
          <w:szCs w:val="14"/>
          <w:color w:val="auto"/>
        </w:rPr>
        <w:t>delivered for all purposes when the Company or a share transfer agent of the Company shall have mailed such certificates in the United States mail, addressed to the grantee, at the grantee’s last known address on file with the Company. Uncertificated Shares shall be deemed delivered for all purposes when the Company or a share transfer agent of the Company shall have given to the grantee by electronic mail (with proof of receipt) or by United States mail, addressed to the grantee, at the grantee’s last known address on file with the Company or any Subsidiary, notice of issuance and recorded the issuance in its records (which may include electronic “book entry” records). Notwithstanding anything herein to the contrary, the Company shall not be required to issue or deliver any certificates evidencing Shares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are listed, quoted or traded. All share certificates delivered pursuant to the Plan shall be subject to any stop-transfer orders and other restrictions as the Administrator deems necessary or advisable to comply with any U.S. federal, state or local or non-U.S. jurisdiction, securities or other laws, rules and quotation system on which the Shares are listed, quoted or traded. The Administrator may place legends on any share certificate to reference restrictions applicable to the Shares.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79" w:lineRule="exact"/>
        <w:rPr>
          <w:rFonts w:ascii="Arial" w:cs="Arial" w:eastAsia="Arial" w:hAnsi="Arial"/>
          <w:sz w:val="14"/>
          <w:szCs w:val="14"/>
          <w:color w:val="auto"/>
        </w:rPr>
      </w:pPr>
    </w:p>
    <w:p>
      <w:pPr>
        <w:ind w:left="1020" w:right="939" w:firstLine="267"/>
        <w:spacing w:after="0" w:line="250" w:lineRule="auto"/>
        <w:tabs>
          <w:tab w:leader="none" w:pos="1596"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Shareholder Rights. </w:t>
      </w:r>
      <w:r>
        <w:rPr>
          <w:rFonts w:ascii="Arial" w:cs="Arial" w:eastAsia="Arial" w:hAnsi="Arial"/>
          <w:sz w:val="14"/>
          <w:szCs w:val="14"/>
          <w:color w:val="auto"/>
        </w:rPr>
        <w:t>Until Shares are deemed delivered in accordance with Section 17(b), no right to</w:t>
      </w:r>
      <w:r>
        <w:rPr>
          <w:rFonts w:ascii="Arial" w:cs="Arial" w:eastAsia="Arial" w:hAnsi="Arial"/>
          <w:sz w:val="14"/>
          <w:szCs w:val="14"/>
          <w:i w:val="1"/>
          <w:iCs w:val="1"/>
          <w:color w:val="auto"/>
        </w:rPr>
        <w:t xml:space="preserve"> </w:t>
      </w:r>
      <w:r>
        <w:rPr>
          <w:rFonts w:ascii="Arial" w:cs="Arial" w:eastAsia="Arial" w:hAnsi="Arial"/>
          <w:sz w:val="14"/>
          <w:szCs w:val="14"/>
          <w:color w:val="auto"/>
        </w:rPr>
        <w:t>vote or receive dividends or any other rights of a shareholder will exist with respect to Shares to be issued in connection with an Award, notwithstanding the exercise of a Stock Option or Stock Appreciation Right or any other action by the grantee with respect to an Award; provided further that, to the extent the terms of any Award provide for the accrual of dividends, in no event shall any such dividends be paid until such Award has vested.</w:t>
      </w:r>
    </w:p>
    <w:p>
      <w:pPr>
        <w:spacing w:after="0" w:line="63" w:lineRule="exact"/>
        <w:rPr>
          <w:rFonts w:ascii="Arial" w:cs="Arial" w:eastAsia="Arial" w:hAnsi="Arial"/>
          <w:sz w:val="14"/>
          <w:szCs w:val="14"/>
          <w:color w:val="auto"/>
        </w:rPr>
      </w:pPr>
    </w:p>
    <w:p>
      <w:pPr>
        <w:ind w:left="1020" w:right="999" w:firstLine="267"/>
        <w:spacing w:after="0" w:line="250" w:lineRule="auto"/>
        <w:tabs>
          <w:tab w:leader="none" w:pos="1596"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Other Compensation Arrangements; No Employment Rights. </w:t>
      </w:r>
      <w:r>
        <w:rPr>
          <w:rFonts w:ascii="Arial" w:cs="Arial" w:eastAsia="Arial" w:hAnsi="Arial"/>
          <w:sz w:val="14"/>
          <w:szCs w:val="14"/>
          <w:color w:val="auto"/>
        </w:rPr>
        <w:t>Nothing contained in the Plan shall</w:t>
      </w:r>
      <w:r>
        <w:rPr>
          <w:rFonts w:ascii="Arial" w:cs="Arial" w:eastAsia="Arial" w:hAnsi="Arial"/>
          <w:sz w:val="14"/>
          <w:szCs w:val="14"/>
          <w:i w:val="1"/>
          <w:iCs w:val="1"/>
          <w:color w:val="auto"/>
        </w:rPr>
        <w:t xml:space="preserve"> </w:t>
      </w:r>
      <w:r>
        <w:rPr>
          <w:rFonts w:ascii="Arial" w:cs="Arial" w:eastAsia="Arial" w:hAnsi="Arial"/>
          <w:sz w:val="14"/>
          <w:szCs w:val="14"/>
          <w:color w:val="auto"/>
        </w:rPr>
        <w:t>prevent the Board from adopting other or additional compensation plans or arrangements, including trusts, and such arrangements may be either generally applicable or applicable only in specific cases. The adoption of the Plan and the grant of Awards do not confer upon any employee any right to continued employment with the Company or any Subsidiary.</w:t>
      </w:r>
    </w:p>
    <w:p>
      <w:pPr>
        <w:spacing w:after="0" w:line="63" w:lineRule="exact"/>
        <w:rPr>
          <w:rFonts w:ascii="Arial" w:cs="Arial" w:eastAsia="Arial" w:hAnsi="Arial"/>
          <w:sz w:val="14"/>
          <w:szCs w:val="14"/>
          <w:color w:val="auto"/>
        </w:rPr>
      </w:pPr>
    </w:p>
    <w:p>
      <w:pPr>
        <w:ind w:left="1020" w:right="999" w:firstLine="267"/>
        <w:spacing w:after="0" w:line="268" w:lineRule="auto"/>
        <w:tabs>
          <w:tab w:leader="none" w:pos="1596"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Trading Policy Restrictions. </w:t>
      </w:r>
      <w:r>
        <w:rPr>
          <w:rFonts w:ascii="Arial" w:cs="Arial" w:eastAsia="Arial" w:hAnsi="Arial"/>
          <w:sz w:val="14"/>
          <w:szCs w:val="14"/>
          <w:color w:val="auto"/>
        </w:rPr>
        <w:t>Option and Stock Appreciation Right exercises and other Awards under</w:t>
      </w:r>
      <w:r>
        <w:rPr>
          <w:rFonts w:ascii="Arial" w:cs="Arial" w:eastAsia="Arial" w:hAnsi="Arial"/>
          <w:sz w:val="14"/>
          <w:szCs w:val="14"/>
          <w:i w:val="1"/>
          <w:iCs w:val="1"/>
          <w:color w:val="auto"/>
        </w:rPr>
        <w:t xml:space="preserve"> </w:t>
      </w:r>
      <w:r>
        <w:rPr>
          <w:rFonts w:ascii="Arial" w:cs="Arial" w:eastAsia="Arial" w:hAnsi="Arial"/>
          <w:sz w:val="14"/>
          <w:szCs w:val="14"/>
          <w:color w:val="auto"/>
        </w:rPr>
        <w:t>the Plan shall be subject to the Company’s insider trading policies and procedures, as in effect from time to time.</w:t>
      </w:r>
    </w:p>
    <w:p>
      <w:pPr>
        <w:spacing w:after="0" w:line="231" w:lineRule="exact"/>
        <w:rPr>
          <w:rFonts w:ascii="Arial" w:cs="Arial" w:eastAsia="Arial" w:hAnsi="Arial"/>
          <w:sz w:val="14"/>
          <w:szCs w:val="14"/>
          <w:color w:val="auto"/>
        </w:rPr>
      </w:pPr>
    </w:p>
    <w:p>
      <w:pPr>
        <w:ind w:left="1020" w:right="899" w:firstLine="267"/>
        <w:spacing w:after="0" w:line="244" w:lineRule="auto"/>
        <w:tabs>
          <w:tab w:leader="none" w:pos="1596"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Forfeiture of Awards. </w:t>
      </w:r>
      <w:r>
        <w:rPr>
          <w:rFonts w:ascii="Arial" w:cs="Arial" w:eastAsia="Arial" w:hAnsi="Arial"/>
          <w:sz w:val="14"/>
          <w:szCs w:val="14"/>
          <w:color w:val="auto"/>
        </w:rPr>
        <w:t>All Awards granted under the Plan will be subject to recoupment in accordance</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following, as applicable: (i) the Clawback Policy of Alkermes plc; (ii) the Alkermes plc Incentive Compensation Recoupment Policy; (iii)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(iv) any other clawback policy that the Company adopts. In addition, the Administrator may impose such other clawback, recovery or recoupment provisions in an Award Certificate as the Administrator determines necessary or appropriate, including, but not limited to, a reacquisition right in respect of previously acquired Shares or other cash or property upon the occurrence of cause. No clawback, recovery or recoupment of compensation pursuant to any such policy or Award Certificate shall be deemed an event giving rise to a right to resign for “good reason” or “constructive termination” (or similar term) under any plan of or agreement with the Company or a Subsidiary.</w:t>
      </w:r>
    </w:p>
    <w:p>
      <w:pPr>
        <w:spacing w:after="0" w:line="229" w:lineRule="exact"/>
        <w:rPr>
          <w:rFonts w:ascii="Arial" w:cs="Arial" w:eastAsia="Arial" w:hAnsi="Arial"/>
          <w:sz w:val="14"/>
          <w:szCs w:val="14"/>
          <w:color w:val="auto"/>
        </w:rPr>
      </w:pPr>
    </w:p>
    <w:p>
      <w:pPr>
        <w:ind w:left="1020" w:right="979" w:firstLine="267"/>
        <w:spacing w:after="0" w:line="254" w:lineRule="auto"/>
        <w:tabs>
          <w:tab w:leader="none" w:pos="1596"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Section 82 and Section 1043 of the Companies Act. </w:t>
      </w:r>
      <w:r>
        <w:rPr>
          <w:rFonts w:ascii="Arial" w:cs="Arial" w:eastAsia="Arial" w:hAnsi="Arial"/>
          <w:sz w:val="14"/>
          <w:szCs w:val="14"/>
          <w:color w:val="auto"/>
        </w:rPr>
        <w:t>The Company and any Subsidiary incorporated</w:t>
      </w:r>
      <w:r>
        <w:rPr>
          <w:rFonts w:ascii="Arial" w:cs="Arial" w:eastAsia="Arial" w:hAnsi="Arial"/>
          <w:sz w:val="14"/>
          <w:szCs w:val="14"/>
          <w:i w:val="1"/>
          <w:iCs w:val="1"/>
          <w:color w:val="auto"/>
        </w:rPr>
        <w:t xml:space="preserve"> </w:t>
      </w:r>
      <w:r>
        <w:rPr>
          <w:rFonts w:ascii="Arial" w:cs="Arial" w:eastAsia="Arial" w:hAnsi="Arial"/>
          <w:sz w:val="14"/>
          <w:szCs w:val="14"/>
          <w:color w:val="auto"/>
        </w:rPr>
        <w:t>in Ireland may do all such things as are contemplated by the Plan except to the extent that they are prohibited by Section 82 and Section 1043 of the Companies Act. Nothing in this Section 17(g) shall prohibit anything which may be done as contemplated by the Plan by a Subsidiary which is incorporated outside of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607060</wp:posOffset>
            </wp:positionV>
            <wp:extent cx="560387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48" w:name="page149"/>
    <w:bookmarkEnd w:id="148"/>
    <w:p>
      <w:pPr>
        <w:ind w:left="1020"/>
        <w:spacing w:after="0"/>
        <w:rPr>
          <w:sz w:val="20"/>
          <w:szCs w:val="20"/>
          <w:color w:val="auto"/>
        </w:rPr>
      </w:pPr>
      <w:r>
        <w:rPr>
          <w:rFonts w:ascii="Arial" w:cs="Arial" w:eastAsia="Arial" w:hAnsi="Arial"/>
          <w:sz w:val="14"/>
          <w:szCs w:val="14"/>
          <w:b w:val="1"/>
          <w:bCs w:val="1"/>
          <w:color w:val="40C1AC"/>
        </w:rPr>
        <w:t xml:space="preserve">SECTION 18. </w:t>
      </w:r>
      <w:r>
        <w:rPr>
          <w:rFonts w:ascii="Arial" w:cs="Arial" w:eastAsia="Arial" w:hAnsi="Arial"/>
          <w:sz w:val="14"/>
          <w:szCs w:val="14"/>
          <w:b w:val="1"/>
          <w:bCs w:val="1"/>
          <w:i w:val="1"/>
          <w:iCs w:val="1"/>
          <w:color w:val="40C1AC"/>
        </w:rPr>
        <w:t>EFFECTIVE DATE OF PLAN</w:t>
      </w:r>
    </w:p>
    <w:p>
      <w:pPr>
        <w:spacing w:after="0" w:line="129" w:lineRule="exact"/>
        <w:rPr>
          <w:sz w:val="20"/>
          <w:szCs w:val="20"/>
          <w:color w:val="auto"/>
        </w:rPr>
      </w:pPr>
    </w:p>
    <w:p>
      <w:pPr>
        <w:jc w:val="both"/>
        <w:ind w:left="1020" w:right="919" w:firstLine="258"/>
        <w:spacing w:after="0" w:line="254" w:lineRule="auto"/>
        <w:rPr>
          <w:sz w:val="20"/>
          <w:szCs w:val="20"/>
          <w:color w:val="auto"/>
        </w:rPr>
      </w:pPr>
      <w:r>
        <w:rPr>
          <w:rFonts w:ascii="Arial" w:cs="Arial" w:eastAsia="Arial" w:hAnsi="Arial"/>
          <w:sz w:val="14"/>
          <w:szCs w:val="14"/>
          <w:color w:val="auto"/>
        </w:rPr>
        <w:t>The Plan was approved by the Board on March 29, 2018. The Plan became effective upon approval by the holders of a majority of the votes cast at the 2018 Annual General Meeting of Shareholders of the Company. No grants of Incentive Stock Options may be made hereunder after March 29, 2028, which is the tenth anniversary of the date that the Plan was approved by the Board.</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40C1AC"/>
        </w:rPr>
        <w:t xml:space="preserve">SECTION 19. </w:t>
      </w:r>
      <w:r>
        <w:rPr>
          <w:rFonts w:ascii="Arial" w:cs="Arial" w:eastAsia="Arial" w:hAnsi="Arial"/>
          <w:sz w:val="14"/>
          <w:szCs w:val="14"/>
          <w:b w:val="1"/>
          <w:bCs w:val="1"/>
          <w:i w:val="1"/>
          <w:iCs w:val="1"/>
          <w:color w:val="40C1AC"/>
        </w:rPr>
        <w:t>GOVERNING LAW</w:t>
      </w:r>
    </w:p>
    <w:p>
      <w:pPr>
        <w:spacing w:after="0" w:line="129" w:lineRule="exact"/>
        <w:rPr>
          <w:sz w:val="20"/>
          <w:szCs w:val="20"/>
          <w:color w:val="auto"/>
        </w:rPr>
      </w:pPr>
    </w:p>
    <w:p>
      <w:pPr>
        <w:ind w:left="1020" w:right="1039" w:firstLine="258"/>
        <w:spacing w:after="0" w:line="282" w:lineRule="auto"/>
        <w:rPr>
          <w:sz w:val="20"/>
          <w:szCs w:val="20"/>
          <w:color w:val="auto"/>
        </w:rPr>
      </w:pPr>
      <w:r>
        <w:rPr>
          <w:rFonts w:ascii="Arial" w:cs="Arial" w:eastAsia="Arial" w:hAnsi="Arial"/>
          <w:sz w:val="14"/>
          <w:szCs w:val="14"/>
          <w:color w:val="auto"/>
        </w:rPr>
        <w:t>The Plan and all Awards and actions taken hereunder shall be governed by, and construed in accordance with, the laws of the Commonwealth of Massachusetts, applied without regard to conflict of law principles.</w:t>
      </w:r>
    </w:p>
    <w:p>
      <w:pPr>
        <w:spacing w:after="0" w:line="8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40C1AC"/>
        </w:rPr>
        <w:t xml:space="preserve">SECTION 20. </w:t>
      </w:r>
      <w:r>
        <w:rPr>
          <w:rFonts w:ascii="Arial" w:cs="Arial" w:eastAsia="Arial" w:hAnsi="Arial"/>
          <w:sz w:val="14"/>
          <w:szCs w:val="14"/>
          <w:b w:val="1"/>
          <w:bCs w:val="1"/>
          <w:i w:val="1"/>
          <w:iCs w:val="1"/>
          <w:color w:val="40C1AC"/>
        </w:rPr>
        <w:t>DISPUTE RESOLUTION</w:t>
      </w:r>
    </w:p>
    <w:p>
      <w:pPr>
        <w:spacing w:after="0" w:line="129" w:lineRule="exact"/>
        <w:rPr>
          <w:sz w:val="20"/>
          <w:szCs w:val="20"/>
          <w:color w:val="auto"/>
        </w:rPr>
      </w:pPr>
    </w:p>
    <w:p>
      <w:pPr>
        <w:ind w:left="1020" w:right="1039" w:firstLine="258"/>
        <w:spacing w:after="0" w:line="269" w:lineRule="auto"/>
        <w:rPr>
          <w:sz w:val="20"/>
          <w:szCs w:val="20"/>
          <w:color w:val="auto"/>
        </w:rPr>
      </w:pPr>
      <w:r>
        <w:rPr>
          <w:rFonts w:ascii="Arial" w:cs="Arial" w:eastAsia="Arial" w:hAnsi="Arial"/>
          <w:sz w:val="14"/>
          <w:szCs w:val="14"/>
          <w:color w:val="auto"/>
        </w:rPr>
        <w:t>All disputes and differences arising out of the Plan or otherwise in connection herewith may be referred by the Company to arbitration pursuant to the procedures set forth in the applicable grant agreement of any grantee so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600710</wp:posOffset>
            </wp:positionV>
            <wp:extent cx="560387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49" w:name="page150"/>
    <w:bookmarkEnd w:id="149"/>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ALKERMES plc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29" w:lineRule="exact"/>
        <w:rPr>
          <w:sz w:val="20"/>
          <w:szCs w:val="20"/>
          <w:color w:val="auto"/>
        </w:rPr>
      </w:pPr>
    </w:p>
    <w:p>
      <w:pPr>
        <w:ind w:left="1160" w:right="1279"/>
        <w:spacing w:after="0" w:line="261" w:lineRule="auto"/>
        <w:rPr>
          <w:sz w:val="20"/>
          <w:szCs w:val="20"/>
          <w:color w:val="auto"/>
        </w:rPr>
      </w:pPr>
      <w:r>
        <w:rPr>
          <w:rFonts w:ascii="Times New Roman" w:cs="Times New Roman" w:eastAsia="Times New Roman" w:hAnsi="Times New Roman"/>
          <w:sz w:val="15"/>
          <w:szCs w:val="15"/>
          <w:color w:val="auto"/>
        </w:rPr>
        <w:t>In the normal course of business, officers, directors, employees (including contract employees) and independent contractors of Alkermes plc and its subsidiaries (the “Company”) may come into possession of material, nonpublic information about the Company, its business or other companies with which the Company interacts. This information is legally considered the property of the Company. If you are in possession of any such information in respect of the Company or one or more companies with which the Company interacts, you may not seek to benefit from it by transacting in any securities of the Company or such other companies, or passing on the information to others to enable them to benefit.</w:t>
      </w:r>
    </w:p>
    <w:p>
      <w:pPr>
        <w:spacing w:after="0" w:line="83" w:lineRule="exact"/>
        <w:rPr>
          <w:sz w:val="20"/>
          <w:szCs w:val="20"/>
          <w:color w:val="auto"/>
        </w:rPr>
      </w:pPr>
    </w:p>
    <w:p>
      <w:pPr>
        <w:ind w:left="1160" w:right="1339"/>
        <w:spacing w:after="0" w:line="267" w:lineRule="auto"/>
        <w:rPr>
          <w:sz w:val="20"/>
          <w:szCs w:val="20"/>
          <w:color w:val="auto"/>
        </w:rPr>
      </w:pPr>
      <w:r>
        <w:rPr>
          <w:rFonts w:ascii="Times New Roman" w:cs="Times New Roman" w:eastAsia="Times New Roman" w:hAnsi="Times New Roman"/>
          <w:sz w:val="16"/>
          <w:szCs w:val="16"/>
          <w:color w:val="auto"/>
        </w:rPr>
        <w:t>It is also the policy of the Company to transact in Company securities in compliance with all applicable securities laws and regulations.</w:t>
      </w:r>
    </w:p>
    <w:p>
      <w:pPr>
        <w:spacing w:after="0" w:line="74" w:lineRule="exact"/>
        <w:rPr>
          <w:sz w:val="20"/>
          <w:szCs w:val="20"/>
          <w:color w:val="auto"/>
        </w:rPr>
      </w:pPr>
    </w:p>
    <w:p>
      <w:pPr>
        <w:jc w:val="both"/>
        <w:ind w:left="1160" w:right="1419"/>
        <w:spacing w:after="0" w:line="252" w:lineRule="auto"/>
        <w:rPr>
          <w:sz w:val="20"/>
          <w:szCs w:val="20"/>
          <w:color w:val="auto"/>
        </w:rPr>
      </w:pPr>
      <w:r>
        <w:rPr>
          <w:rFonts w:ascii="Times New Roman" w:cs="Times New Roman" w:eastAsia="Times New Roman" w:hAnsi="Times New Roman"/>
          <w:sz w:val="16"/>
          <w:szCs w:val="16"/>
          <w:color w:val="auto"/>
        </w:rPr>
        <w:t>The misuse of material, nonpublic information is contrary to Company policy and U.S. securities laws and may lead to severe consequences. The purpose of this Insider Trading Policy (this “Policy”) is to inform you of your legal responsibilities in this area.</w:t>
      </w:r>
    </w:p>
    <w:p>
      <w:pPr>
        <w:spacing w:after="0" w:line="1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What is Insider Trading?</w:t>
      </w:r>
    </w:p>
    <w:p>
      <w:pPr>
        <w:spacing w:after="0" w:line="1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Insider trading, which entails transacting in a security with knowledge of material, nonpublic</w:t>
      </w:r>
    </w:p>
    <w:p>
      <w:pPr>
        <w:spacing w:after="0" w:line="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information about that security or the issuer of that security, is a crime that may be penalized by civil</w:t>
      </w:r>
    </w:p>
    <w:p>
      <w:pPr>
        <w:ind w:left="1160"/>
        <w:spacing w:after="0" w:line="238" w:lineRule="auto"/>
        <w:rPr>
          <w:sz w:val="20"/>
          <w:szCs w:val="20"/>
          <w:color w:val="auto"/>
        </w:rPr>
      </w:pPr>
      <w:r>
        <w:rPr>
          <w:rFonts w:ascii="Times New Roman" w:cs="Times New Roman" w:eastAsia="Times New Roman" w:hAnsi="Times New Roman"/>
          <w:sz w:val="16"/>
          <w:szCs w:val="16"/>
          <w:color w:val="auto"/>
        </w:rPr>
        <w:t>fines or reimbursement of amounts unduly received from such trading, and punitive payments of up to</w:t>
      </w:r>
    </w:p>
    <w:p>
      <w:pPr>
        <w:ind w:left="1160"/>
        <w:spacing w:after="0" w:line="238" w:lineRule="auto"/>
        <w:rPr>
          <w:sz w:val="20"/>
          <w:szCs w:val="20"/>
          <w:color w:val="auto"/>
        </w:rPr>
      </w:pPr>
      <w:r>
        <w:rPr>
          <w:rFonts w:ascii="Times New Roman" w:cs="Times New Roman" w:eastAsia="Times New Roman" w:hAnsi="Times New Roman"/>
          <w:sz w:val="16"/>
          <w:szCs w:val="16"/>
          <w:color w:val="auto"/>
        </w:rPr>
        <w:t>three times the profit gained or loss avoided by such trading, as well as criminal fines of up to</w:t>
      </w:r>
    </w:p>
    <w:p>
      <w:pPr>
        <w:ind w:left="1160"/>
        <w:spacing w:after="0" w:line="238" w:lineRule="auto"/>
        <w:rPr>
          <w:sz w:val="20"/>
          <w:szCs w:val="20"/>
          <w:color w:val="auto"/>
        </w:rPr>
      </w:pPr>
      <w:r>
        <w:rPr>
          <w:rFonts w:ascii="Times New Roman" w:cs="Times New Roman" w:eastAsia="Times New Roman" w:hAnsi="Times New Roman"/>
          <w:sz w:val="16"/>
          <w:szCs w:val="16"/>
          <w:color w:val="auto"/>
        </w:rPr>
        <w:t>$5,000,000 (USD) and up to 20 years in jail for individuals. Under some circumstances, individuals</w:t>
      </w:r>
    </w:p>
    <w:p>
      <w:pPr>
        <w:ind w:left="1160"/>
        <w:spacing w:after="0"/>
        <w:rPr>
          <w:sz w:val="20"/>
          <w:szCs w:val="20"/>
          <w:color w:val="auto"/>
        </w:rPr>
      </w:pPr>
      <w:r>
        <w:rPr>
          <w:rFonts w:ascii="Times New Roman" w:cs="Times New Roman" w:eastAsia="Times New Roman" w:hAnsi="Times New Roman"/>
          <w:sz w:val="16"/>
          <w:szCs w:val="16"/>
          <w:color w:val="auto"/>
        </w:rPr>
        <w:t>convicted of insider trading may be subjected to civil liability in private lawsuits.</w:t>
      </w:r>
    </w:p>
    <w:p>
      <w:pPr>
        <w:spacing w:after="0" w:line="99" w:lineRule="exact"/>
        <w:rPr>
          <w:sz w:val="20"/>
          <w:szCs w:val="20"/>
          <w:color w:val="auto"/>
        </w:rPr>
      </w:pPr>
    </w:p>
    <w:p>
      <w:pPr>
        <w:ind w:left="1160" w:right="1259"/>
        <w:spacing w:after="0" w:line="243" w:lineRule="auto"/>
        <w:rPr>
          <w:sz w:val="20"/>
          <w:szCs w:val="20"/>
          <w:color w:val="auto"/>
        </w:rPr>
      </w:pPr>
      <w:r>
        <w:rPr>
          <w:rFonts w:ascii="Times New Roman" w:cs="Times New Roman" w:eastAsia="Times New Roman" w:hAnsi="Times New Roman"/>
          <w:sz w:val="16"/>
          <w:szCs w:val="16"/>
          <w:color w:val="auto"/>
        </w:rPr>
        <w:t>In addition to these consequences to the person engaging in insider trading, employers and other controlling persons (including supervisory personnel) are at risk under U.S. federal law for the actions of their employees. Controlling persons may, among other things, face major criminal and/or civil penalties if they recklessly fail to take preventive steps to control insider trading. Even if the Company is not prosecuted, the fact that a director, officer, employee or contractor of the Company was under investigation or prosecuted for insider trading could severely damage the reputation of the Company.</w:t>
      </w:r>
    </w:p>
    <w:p>
      <w:pPr>
        <w:spacing w:after="0" w:line="96" w:lineRule="exact"/>
        <w:rPr>
          <w:sz w:val="20"/>
          <w:szCs w:val="20"/>
          <w:color w:val="auto"/>
        </w:rPr>
      </w:pPr>
    </w:p>
    <w:p>
      <w:pPr>
        <w:ind w:left="1160" w:right="1319"/>
        <w:spacing w:after="0" w:line="242" w:lineRule="auto"/>
        <w:rPr>
          <w:sz w:val="20"/>
          <w:szCs w:val="20"/>
          <w:color w:val="auto"/>
        </w:rPr>
      </w:pPr>
      <w:r>
        <w:rPr>
          <w:rFonts w:ascii="Times New Roman" w:cs="Times New Roman" w:eastAsia="Times New Roman" w:hAnsi="Times New Roman"/>
          <w:sz w:val="16"/>
          <w:szCs w:val="16"/>
          <w:color w:val="auto"/>
        </w:rPr>
        <w:t>Thus, it is important both to you and the Company to prevent the occurrence of insider trading violations. You should be aware that stock market surveillance techniques designed to identify potential insider trading transactions have become extremely sophisticated and are being improved all the time. Insider trading cases have been successfully prosecuted against employees based on their trading through foreign accounts, trading by their family members and friends, and trading only involving a small number of shares. The chance that federal authorities or exchange regulators will detect even small-level trading is significant.</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The Insider Trading Laws</w:t>
      </w:r>
    </w:p>
    <w:p>
      <w:pPr>
        <w:spacing w:after="0" w:line="119" w:lineRule="exact"/>
        <w:rPr>
          <w:sz w:val="20"/>
          <w:szCs w:val="20"/>
          <w:color w:val="auto"/>
        </w:rPr>
      </w:pPr>
    </w:p>
    <w:p>
      <w:pPr>
        <w:ind w:left="1160" w:right="1299"/>
        <w:spacing w:after="0" w:line="241" w:lineRule="auto"/>
        <w:rPr>
          <w:sz w:val="20"/>
          <w:szCs w:val="20"/>
          <w:color w:val="auto"/>
        </w:rPr>
      </w:pPr>
      <w:r>
        <w:rPr>
          <w:rFonts w:ascii="Times New Roman" w:cs="Times New Roman" w:eastAsia="Times New Roman" w:hAnsi="Times New Roman"/>
          <w:sz w:val="16"/>
          <w:szCs w:val="16"/>
          <w:color w:val="auto"/>
        </w:rPr>
        <w:t>As an officer, director, employee (including contract employee) or independent contractor of the Company, you may not seek to benefit personally by transacting in securities while in possession of material, nonpublic information. This rule applies to transacting, or your directing others to transact, in the Company’s securities (whether ordinary shares, preferred shares, convertible securities, stock options or any other derivative securities that provide the economic equivalent of ownership of any of the Company’s securities or an opportunity, direct or indirect, to benefit from any change in the value of the Company’s securities) and in the securities of other companies if you learn something in the course of your employment or other service relationship with the Company that might affect the value of any such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695960</wp:posOffset>
            </wp:positionV>
            <wp:extent cx="560387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50" w:name="page151"/>
    <w:bookmarkEnd w:id="150"/>
    <w:p>
      <w:pPr>
        <w:ind w:left="1160" w:right="1299"/>
        <w:spacing w:after="0" w:line="241" w:lineRule="auto"/>
        <w:rPr>
          <w:sz w:val="20"/>
          <w:szCs w:val="20"/>
          <w:color w:val="auto"/>
        </w:rPr>
      </w:pPr>
      <w:r>
        <w:rPr>
          <w:rFonts w:ascii="Times New Roman" w:cs="Times New Roman" w:eastAsia="Times New Roman" w:hAnsi="Times New Roman"/>
          <w:sz w:val="16"/>
          <w:szCs w:val="16"/>
          <w:color w:val="auto"/>
        </w:rPr>
        <w:t>For instance, if you learned that the Company was about to acquire ABC Corporation prior to a public announcement, it would almost certainly be an insider trading violation for you to transact in ABC Corporation's securities as well as the Company’s securities. If you learned something about XYZ Corporation which was not publicly known while you were working for us on a collaboration with XYZ Corporation, transacting in XYZ Corporation's securities might well be considered illegal, even if the information learned was not related to the collaboration. The insider trading rules apply to purchases, sales and gifts of securities. Sometimes material nonpublic information about the Company or another company with which the Company is working comes to your attention even though you are not directly involved in the project. You are nonetheless prohibited from transacting in the Company’s securities or the securities of such other company.</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What is “Material” Information?</w:t>
      </w:r>
    </w:p>
    <w:p>
      <w:pPr>
        <w:spacing w:after="0" w:line="162" w:lineRule="exact"/>
        <w:rPr>
          <w:sz w:val="20"/>
          <w:szCs w:val="20"/>
          <w:color w:val="auto"/>
        </w:rPr>
      </w:pPr>
    </w:p>
    <w:p>
      <w:pPr>
        <w:ind w:left="1160" w:right="1259"/>
        <w:spacing w:after="0" w:line="239" w:lineRule="auto"/>
        <w:rPr>
          <w:sz w:val="20"/>
          <w:szCs w:val="20"/>
          <w:color w:val="auto"/>
        </w:rPr>
      </w:pPr>
      <w:r>
        <w:rPr>
          <w:rFonts w:ascii="Times New Roman" w:cs="Times New Roman" w:eastAsia="Times New Roman" w:hAnsi="Times New Roman"/>
          <w:sz w:val="16"/>
          <w:szCs w:val="16"/>
          <w:color w:val="auto"/>
        </w:rPr>
        <w:t>“Material” information is information that a typical investor would likely consider significant. There is no fixed quantitative threshold amount for determining materiality; even very small quantitative changes can be qualitatively material if they would result in a movement in the price of the Company’s ordinary shares. If you learn something that leads you to want to buy, sell or gift securities, that information could be considered material. Both positive and negative information may be material. It is important to keep in mind that material information need not be definitive information; information that something is likely to happen, or even just that it may happen, can be considered material. Examples of information that could be potentially material include changes in Company management, threatened litigation, Company or product performance above or below issued financial guidance, the Company’s involvement in merger or licensing negotiations (even if the deal has not yet been agreed to), or the success of a feasibility or clinical study for a development compound. Keep in mind that the U.S. Securities and Exchange Commission (the “SEC”) takes the view that the mere fact that you are in possession of the material, nonpublic information is enough to bar you from trading. Therefore, trading while in possession of material, nonpublic information or tipping this information to others to trade, even if such trades were not based on such information, is violative of this Policy and the law. If you have questions as to whether information in your possession may be deemed “material”, you may seek guidance from the Chief Financial Officer or the Chief Legal Officer or their designees to assist in that determination. It is important, however, that you bear in mind that the ultimate responsibility for determining whether you are in possession of material, nonpublic information belongs to you, and that any advice or action on the part of the Company, the Chief Financial Officer and/or the Chief Legal Officer or their respective designees, or any other employee or director pursuant to this Policy (or otherwise) does not in any way constitute legal advice or insulate you from liability under applicable U.S. securities laws.</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What is “Nonpublic” Information?</w:t>
      </w:r>
    </w:p>
    <w:p>
      <w:pPr>
        <w:spacing w:after="0" w:line="162" w:lineRule="exact"/>
        <w:rPr>
          <w:sz w:val="20"/>
          <w:szCs w:val="20"/>
          <w:color w:val="auto"/>
        </w:rPr>
      </w:pPr>
    </w:p>
    <w:p>
      <w:pPr>
        <w:ind w:left="1160" w:right="1239"/>
        <w:spacing w:after="0" w:line="259" w:lineRule="auto"/>
        <w:rPr>
          <w:sz w:val="20"/>
          <w:szCs w:val="20"/>
          <w:color w:val="auto"/>
        </w:rPr>
      </w:pPr>
      <w:r>
        <w:rPr>
          <w:rFonts w:ascii="Times New Roman" w:cs="Times New Roman" w:eastAsia="Times New Roman" w:hAnsi="Times New Roman"/>
          <w:sz w:val="15"/>
          <w:szCs w:val="15"/>
          <w:color w:val="auto"/>
        </w:rPr>
        <w:t>“Nonpublic” information is any information that is not reasonably accessible to the investing public.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must also be adequate time for the market as a whole to absorb the information that has been disclosed. Once the Company releases information through public channels (for instance, in a press release or an SEC filing), it may take up to 48 hours for it to be considered broadly disseminated. For purposes of this Policy, information will be considered public after the close of trading on the second full trading day following the Company’s public release of the information.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537210</wp:posOffset>
            </wp:positionV>
            <wp:extent cx="560387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34" w:right="1440" w:bottom="1440" w:gutter="0" w:footer="0" w:header="0"/>
        </w:sectPr>
      </w:pPr>
    </w:p>
    <w:bookmarkStart w:id="151" w:name="page152"/>
    <w:bookmarkEnd w:id="151"/>
    <w:p>
      <w:pPr>
        <w:ind w:left="1160"/>
        <w:spacing w:after="0"/>
        <w:rPr>
          <w:sz w:val="20"/>
          <w:szCs w:val="20"/>
          <w:color w:val="auto"/>
        </w:rPr>
      </w:pPr>
      <w:r>
        <w:rPr>
          <w:rFonts w:ascii="Times New Roman" w:cs="Times New Roman" w:eastAsia="Times New Roman" w:hAnsi="Times New Roman"/>
          <w:sz w:val="16"/>
          <w:szCs w:val="16"/>
          <w:b w:val="1"/>
          <w:bCs w:val="1"/>
          <w:color w:val="auto"/>
        </w:rPr>
        <w:t>Policy</w:t>
      </w:r>
    </w:p>
    <w:p>
      <w:pPr>
        <w:spacing w:after="0" w:line="1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Prohibited Use of Material, Nonpublic Information</w:t>
      </w:r>
    </w:p>
    <w:p>
      <w:pPr>
        <w:spacing w:after="0" w:line="63" w:lineRule="exact"/>
        <w:rPr>
          <w:sz w:val="20"/>
          <w:szCs w:val="20"/>
          <w:color w:val="auto"/>
        </w:rPr>
      </w:pPr>
    </w:p>
    <w:p>
      <w:pPr>
        <w:ind w:left="1160" w:right="1279"/>
        <w:spacing w:after="0" w:line="257" w:lineRule="auto"/>
        <w:rPr>
          <w:sz w:val="20"/>
          <w:szCs w:val="20"/>
          <w:color w:val="auto"/>
        </w:rPr>
      </w:pPr>
      <w:r>
        <w:rPr>
          <w:rFonts w:ascii="Times New Roman" w:cs="Times New Roman" w:eastAsia="Times New Roman" w:hAnsi="Times New Roman"/>
          <w:sz w:val="15"/>
          <w:szCs w:val="15"/>
          <w:color w:val="auto"/>
        </w:rPr>
        <w:t>When you are in possession of material, nonpublic information about the Company, or about any other company if such information is gained in the course of your employment or other service relationship with us, or when you are in a “blackout period” (as described below), you are prohibited from engaging in any activity that would be considered unlawful trading or tipping under the U.S. securities laws, whether in the Company’s securities or the securities of another company. These prohibitions extend to your family members living in the same home as you, family members who do not live in the same home as you but whose transactions are directed by you or subject to your influence or control and to any investment fund, trust, retirement plan, partnership, corporation or other entity over which you have the ability to influence or direct investment decisions concerning securities, and continues whenever and for as long as you know or are in possession of material, nonpublic information or the blackout period is in place. You are responsible for ensuring compliance with this Policy by all such persons affiliated with you. The SEC and federal prosecutors may presume that trading by your family members (including those that do not live in the same home as you) and friends is based on information you supplied and may treat any such transactions as if you had traded. There is no exception for small transactions or transactions that may seem necessary or justifiable for personal financial emergency or hardship.</w:t>
      </w:r>
    </w:p>
    <w:p>
      <w:pPr>
        <w:spacing w:after="0" w:line="1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Tipping Information to Others</w:t>
      </w:r>
    </w:p>
    <w:p>
      <w:pPr>
        <w:spacing w:after="0" w:line="63" w:lineRule="exact"/>
        <w:rPr>
          <w:sz w:val="20"/>
          <w:szCs w:val="20"/>
          <w:color w:val="auto"/>
        </w:rPr>
      </w:pPr>
    </w:p>
    <w:p>
      <w:pPr>
        <w:ind w:left="1160" w:right="1179"/>
        <w:spacing w:after="0"/>
        <w:rPr>
          <w:sz w:val="20"/>
          <w:szCs w:val="20"/>
          <w:color w:val="auto"/>
        </w:rPr>
      </w:pPr>
      <w:r>
        <w:rPr>
          <w:rFonts w:ascii="Times New Roman" w:cs="Times New Roman" w:eastAsia="Times New Roman" w:hAnsi="Times New Roman"/>
          <w:sz w:val="16"/>
          <w:szCs w:val="16"/>
          <w:color w:val="auto"/>
        </w:rPr>
        <w:t>Besides your obligation to refrain from trading or having others trade on your behalf while you are in possession of material, nonpublic information, you are also prohibited from “tipping” others. The concept of unlawful tipping includes passing on material, nonpublic information to friends, family members or others under circumstances that suggest that you were trying to help them make a profit or avoid a loss or enjoy some other benefit. When tipping occurs, both the “tipper” and the “tippee” may be held liable, and this liability may extend to all those to whom the tippee gives information. Besides being considered a form of insider trading, tipping is also a serious breach of corporate confidentiality. You should be careful to avoid discussing confidential information in any place (for instance, at lunch, on public transportation, on a cell phone in a public place, in elevators, etc.) where such information may be overheard or intercepted by others. You should exercise care when discussing any material, nonpublic information with other members of the Company who do not have a “need to know” such information, even though they are also subject to this Policy, so as to reduce the possibility of leaks.</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Transacting in Company Securities</w:t>
      </w:r>
    </w:p>
    <w:p>
      <w:pPr>
        <w:spacing w:after="0" w:line="63" w:lineRule="exact"/>
        <w:rPr>
          <w:sz w:val="20"/>
          <w:szCs w:val="20"/>
          <w:color w:val="auto"/>
        </w:rPr>
      </w:pPr>
    </w:p>
    <w:p>
      <w:pPr>
        <w:ind w:left="1160" w:right="1179"/>
        <w:spacing w:after="0" w:line="242" w:lineRule="auto"/>
        <w:rPr>
          <w:sz w:val="20"/>
          <w:szCs w:val="20"/>
          <w:color w:val="auto"/>
        </w:rPr>
      </w:pPr>
      <w:r>
        <w:rPr>
          <w:rFonts w:ascii="Times New Roman" w:cs="Times New Roman" w:eastAsia="Times New Roman" w:hAnsi="Times New Roman"/>
          <w:sz w:val="16"/>
          <w:szCs w:val="16"/>
          <w:color w:val="auto"/>
        </w:rPr>
        <w:t>If you want to buy, sell, gift (which term, as used in this Policy, includes charitable donations) or otherwise transact in any Company securities, you must first determine if you are in possession of material, nonpublic information. If so, you may not buy, sell, gift or otherwise transact in, or provide such information to others to transact in, any Company securities, no matter what position you hold with the Company. This includes the exercise of stock options using cash from the sale of shares to pay the exercise price (also known as a “cashless exercise”), and bona fide gifts of Company securities. If you are not sure whether or not you are in possession of material, nonpublic information, you should not buy, sell, gift or otherwise transact in, or tip others to transact in, any Company securities.</w:t>
      </w:r>
    </w:p>
    <w:p>
      <w:pPr>
        <w:spacing w:after="0" w:line="137" w:lineRule="exact"/>
        <w:rPr>
          <w:sz w:val="20"/>
          <w:szCs w:val="20"/>
          <w:color w:val="auto"/>
        </w:rPr>
      </w:pPr>
    </w:p>
    <w:p>
      <w:pPr>
        <w:ind w:left="1160" w:right="1179"/>
        <w:spacing w:after="0" w:line="243" w:lineRule="auto"/>
        <w:rPr>
          <w:sz w:val="20"/>
          <w:szCs w:val="20"/>
          <w:color w:val="auto"/>
        </w:rPr>
      </w:pPr>
      <w:r>
        <w:rPr>
          <w:rFonts w:ascii="Times New Roman" w:cs="Times New Roman" w:eastAsia="Times New Roman" w:hAnsi="Times New Roman"/>
          <w:sz w:val="16"/>
          <w:szCs w:val="16"/>
          <w:color w:val="auto"/>
        </w:rPr>
        <w:t>From time to time, the Chief Financial Officer or Chief Legal Officer or their designees may determine that certain persons within the Company or everyone within the Company may not buy, sell, gift or otherwise transact in Company securities, also known as a “blackout period.” You will be notified when a blackout period is in place. A determination by the Chief Financial Officer or Chief Legal Officer or their designees that no purchases, sales or other transactions may be made is itself deemed to be material, nonpublic information that should not be discussed outside the Company.</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537210</wp:posOffset>
            </wp:positionV>
            <wp:extent cx="560387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2" w:name="page153"/>
    <w:bookmarkEnd w:id="152"/>
    <w:p>
      <w:pPr>
        <w:ind w:left="1160" w:right="1299"/>
        <w:spacing w:after="0" w:line="242" w:lineRule="auto"/>
        <w:rPr>
          <w:sz w:val="20"/>
          <w:szCs w:val="20"/>
          <w:color w:val="auto"/>
        </w:rPr>
      </w:pPr>
      <w:r>
        <w:rPr>
          <w:rFonts w:ascii="Times New Roman" w:cs="Times New Roman" w:eastAsia="Times New Roman" w:hAnsi="Times New Roman"/>
          <w:sz w:val="16"/>
          <w:szCs w:val="16"/>
          <w:color w:val="auto"/>
        </w:rPr>
        <w:t>Since financial information about the Company can significantly affect trading in the Company’s securities, all officers, directors, employees (including contract employees) and independent contractors are subject to a blackout period beginning at the end of the 15th day of the final month of each fiscal quarter, and ending after the close of trading on the second full trading day following the Company’s public release of its quarterly or annual financial results or other financial information (the “Quarterly Blackout Period”). You may not buy, sell, gift or otherwise transact in, or tip others to transact in, any Company securities or enter into a planned sales program for transactions in Company securities, during any Quarterly Blackout Period.</w:t>
      </w:r>
    </w:p>
    <w:p>
      <w:pPr>
        <w:spacing w:after="0" w:line="137" w:lineRule="exact"/>
        <w:rPr>
          <w:sz w:val="20"/>
          <w:szCs w:val="20"/>
          <w:color w:val="auto"/>
        </w:rPr>
      </w:pPr>
    </w:p>
    <w:p>
      <w:pPr>
        <w:ind w:left="1160" w:right="1239"/>
        <w:spacing w:after="0" w:line="252" w:lineRule="auto"/>
        <w:rPr>
          <w:sz w:val="20"/>
          <w:szCs w:val="20"/>
          <w:color w:val="auto"/>
        </w:rPr>
      </w:pPr>
      <w:r>
        <w:rPr>
          <w:rFonts w:ascii="Times New Roman" w:cs="Times New Roman" w:eastAsia="Times New Roman" w:hAnsi="Times New Roman"/>
          <w:sz w:val="16"/>
          <w:szCs w:val="16"/>
          <w:color w:val="auto"/>
        </w:rPr>
        <w:t>The Company may also issue material information to the public at other times, which may result in additional blackout periods outside of the Quarterly Blackout Periods. In such circumstances, you will be notified of the applicable blackout period.</w:t>
      </w:r>
    </w:p>
    <w:p>
      <w:pPr>
        <w:spacing w:after="0" w:line="129" w:lineRule="exact"/>
        <w:rPr>
          <w:sz w:val="20"/>
          <w:szCs w:val="20"/>
          <w:color w:val="auto"/>
        </w:rPr>
      </w:pPr>
    </w:p>
    <w:p>
      <w:pPr>
        <w:jc w:val="both"/>
        <w:ind w:left="1160" w:right="1219"/>
        <w:spacing w:after="0" w:line="252" w:lineRule="auto"/>
        <w:rPr>
          <w:sz w:val="20"/>
          <w:szCs w:val="20"/>
          <w:color w:val="auto"/>
        </w:rPr>
      </w:pPr>
      <w:r>
        <w:rPr>
          <w:rFonts w:ascii="Times New Roman" w:cs="Times New Roman" w:eastAsia="Times New Roman" w:hAnsi="Times New Roman"/>
          <w:sz w:val="16"/>
          <w:szCs w:val="16"/>
          <w:color w:val="auto"/>
        </w:rPr>
        <w:t>Please note that stock options issued by the Company have an expiration date. It is your responsibility to track the expiration date of any stock options which you have been granted and to plan accordingly if you wish to exercise such options, whether via a cashless exercise or otherwise.</w:t>
      </w:r>
    </w:p>
    <w:p>
      <w:pPr>
        <w:spacing w:after="0" w:line="1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Transacting in Securities of Other Companies</w:t>
      </w:r>
    </w:p>
    <w:p>
      <w:pPr>
        <w:spacing w:after="0" w:line="74" w:lineRule="exact"/>
        <w:rPr>
          <w:sz w:val="20"/>
          <w:szCs w:val="20"/>
          <w:color w:val="auto"/>
        </w:rPr>
      </w:pPr>
    </w:p>
    <w:p>
      <w:pPr>
        <w:ind w:left="1160" w:right="1159"/>
        <w:spacing w:after="0" w:line="242" w:lineRule="auto"/>
        <w:rPr>
          <w:sz w:val="20"/>
          <w:szCs w:val="20"/>
          <w:color w:val="auto"/>
        </w:rPr>
      </w:pPr>
      <w:r>
        <w:rPr>
          <w:rFonts w:ascii="Times New Roman" w:cs="Times New Roman" w:eastAsia="Times New Roman" w:hAnsi="Times New Roman"/>
          <w:sz w:val="16"/>
          <w:szCs w:val="16"/>
          <w:color w:val="auto"/>
        </w:rPr>
        <w:t>As previously discussed in this Policy, if you want to transact in any securities (including, without limitation, common or ordinary shares, preferred shares, convertible securities, or warrants) of a company that is a corporate partner, a collaborator or a possible acquisition target, or any other company about which you’ve received information in the course of your employment or other service relationship with us, you must first determine whether you are in possession of any nonpublic information related to such company and whether that information is material to that company. If you are not sure whether you are in possession of material, nonpublic information, you should not buy, sell, gift or otherwise transact in, or tip others to transact in, any securities of such other company.</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Post-Termination Transactions</w:t>
      </w:r>
    </w:p>
    <w:p>
      <w:pPr>
        <w:spacing w:after="0" w:line="63" w:lineRule="exact"/>
        <w:rPr>
          <w:sz w:val="20"/>
          <w:szCs w:val="20"/>
          <w:color w:val="auto"/>
        </w:rPr>
      </w:pPr>
    </w:p>
    <w:p>
      <w:pPr>
        <w:ind w:left="1160" w:right="1279"/>
        <w:spacing w:after="0" w:line="245" w:lineRule="auto"/>
        <w:rPr>
          <w:sz w:val="20"/>
          <w:szCs w:val="20"/>
          <w:color w:val="auto"/>
        </w:rPr>
      </w:pPr>
      <w:r>
        <w:rPr>
          <w:rFonts w:ascii="Times New Roman" w:cs="Times New Roman" w:eastAsia="Times New Roman" w:hAnsi="Times New Roman"/>
          <w:sz w:val="16"/>
          <w:szCs w:val="16"/>
          <w:color w:val="auto"/>
        </w:rPr>
        <w:t>This Policy continues to apply even after termination of your employment or other service relationship with the Company. If an individual is in possession of material, nonpublic information received in the course of their employment or other service relationship with us when their employment or other service relationship terminates, that individual may not trade in the securities of the company to which such information relates until that information has become public or is no longer material.</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Additional Prohibited Transactions</w:t>
      </w:r>
    </w:p>
    <w:p>
      <w:pPr>
        <w:spacing w:after="0" w:line="63" w:lineRule="exact"/>
        <w:rPr>
          <w:sz w:val="20"/>
          <w:szCs w:val="20"/>
          <w:color w:val="auto"/>
        </w:rPr>
      </w:pPr>
    </w:p>
    <w:p>
      <w:pPr>
        <w:ind w:left="1160" w:right="1159"/>
        <w:spacing w:after="0" w:line="263" w:lineRule="auto"/>
        <w:rPr>
          <w:sz w:val="20"/>
          <w:szCs w:val="20"/>
          <w:color w:val="auto"/>
        </w:rPr>
      </w:pPr>
      <w:r>
        <w:rPr>
          <w:rFonts w:ascii="Times New Roman" w:cs="Times New Roman" w:eastAsia="Times New Roman" w:hAnsi="Times New Roman"/>
          <w:sz w:val="15"/>
          <w:szCs w:val="15"/>
          <w:color w:val="auto"/>
        </w:rPr>
        <w:t>Officers, directors, employees (including contract employees) and independent contractors are prohibited from engaging in speculative transactions in the Company’s securities, including by way of the purchase or sale of “put” or “call” options or other derivative securities directly linked to the Company’s equity; short sales of the Company’s equity; the use of Company securities as a pledge or as collateral in a margin account; and trading in straddles, equity swaps, or other hedging transactions directly linked to Company securities, even if such persons do not possess material, nonpublic information.</w:t>
      </w:r>
    </w:p>
    <w:p>
      <w:pPr>
        <w:spacing w:after="0" w:line="1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Preclearance</w:t>
      </w:r>
    </w:p>
    <w:p>
      <w:pPr>
        <w:spacing w:after="0" w:line="63" w:lineRule="exact"/>
        <w:rPr>
          <w:sz w:val="20"/>
          <w:szCs w:val="20"/>
          <w:color w:val="auto"/>
        </w:rPr>
      </w:pPr>
    </w:p>
    <w:p>
      <w:pPr>
        <w:ind w:left="1160" w:right="1259"/>
        <w:spacing w:after="0" w:line="245" w:lineRule="auto"/>
        <w:rPr>
          <w:sz w:val="20"/>
          <w:szCs w:val="20"/>
          <w:color w:val="auto"/>
        </w:rPr>
      </w:pPr>
      <w:r>
        <w:rPr>
          <w:rFonts w:ascii="Times New Roman" w:cs="Times New Roman" w:eastAsia="Times New Roman" w:hAnsi="Times New Roman"/>
          <w:sz w:val="16"/>
          <w:szCs w:val="16"/>
          <w:color w:val="auto"/>
        </w:rPr>
        <w:t>To provide assistance in preventing inadvertent insider trading violations and avoiding the appearance of an improper transaction (which could result, for example, when an employee engages in a trade while unaware of a pending major Company development) and for purposes of compliance with the reporting and other disclosure requirements relating to insider transactions, the Company has implemented the following preclearance policy:</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537210</wp:posOffset>
            </wp:positionV>
            <wp:extent cx="560387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53" w:name="page154"/>
    <w:bookmarkEnd w:id="153"/>
    <w:p>
      <w:pPr>
        <w:ind w:left="1740" w:right="1299" w:hanging="257"/>
        <w:spacing w:after="0"/>
        <w:tabs>
          <w:tab w:leader="none" w:pos="17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the Alkermes plc board of directors, management committee and disclosure committee, “officers” of the Company (as such term is defined in Section 16a-1(f) of the Securities Exchange Act of 1934, as amended (the “Exchange Act”), and each such officer, a “Section 16 Reporting Officer”), Company employees in a position of vice president (or equivalent) or higher, Company employees in the finance, business development, alliance management, business planning, corporate affairs, investor relations, legal, and certain employees designated by management in the research and development, commercial and information technology organizations, must obtain preclearance from the Chief Financial Officer or Chief Legal Officer or their designees before they may transact in Company securities, which, for the avoidance of doubt, also includes gifting Company securities (whether directly or through a donor advised fund), even if no blackout period is in effect such that the “window” for trading in Company securities is then open and transactions in Company securities would otherwise be allowed under this Policy.</w:t>
      </w:r>
    </w:p>
    <w:p>
      <w:pPr>
        <w:spacing w:after="0" w:line="67" w:lineRule="exact"/>
        <w:rPr>
          <w:rFonts w:ascii="Times New Roman" w:cs="Times New Roman" w:eastAsia="Times New Roman" w:hAnsi="Times New Roman"/>
          <w:sz w:val="16"/>
          <w:szCs w:val="16"/>
          <w:color w:val="auto"/>
        </w:rPr>
      </w:pPr>
    </w:p>
    <w:p>
      <w:pPr>
        <w:ind w:left="1740" w:right="1279" w:hanging="257"/>
        <w:spacing w:after="0" w:line="247" w:lineRule="auto"/>
        <w:tabs>
          <w:tab w:leader="none" w:pos="17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from time to time, certain additional individuals may be exposed to material, nonpublic information because of their job or other relationship with the Company and shall be required to seek preclearance from the Chief Financial Officer or Chief Legal Officer or their designees before transacting in any Company securities.</w:t>
      </w:r>
    </w:p>
    <w:p>
      <w:pPr>
        <w:spacing w:after="0" w:line="58" w:lineRule="exact"/>
        <w:rPr>
          <w:rFonts w:ascii="Times New Roman" w:cs="Times New Roman" w:eastAsia="Times New Roman" w:hAnsi="Times New Roman"/>
          <w:sz w:val="16"/>
          <w:szCs w:val="16"/>
          <w:color w:val="auto"/>
        </w:rPr>
      </w:pPr>
    </w:p>
    <w:p>
      <w:pPr>
        <w:ind w:left="1740" w:right="1459" w:hanging="257"/>
        <w:spacing w:after="0" w:line="252" w:lineRule="auto"/>
        <w:tabs>
          <w:tab w:leader="none" w:pos="17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list of individuals requiring preclearance by the Chief Financial Officer or Chief Legal Officer or their designees will be periodically generated by the Company's Legal department and communicated to the employees on the list (the “Preclearance List”).</w:t>
      </w:r>
    </w:p>
    <w:p>
      <w:pPr>
        <w:spacing w:after="0" w:line="151" w:lineRule="exact"/>
        <w:rPr>
          <w:sz w:val="20"/>
          <w:szCs w:val="20"/>
          <w:color w:val="auto"/>
        </w:rPr>
      </w:pPr>
    </w:p>
    <w:p>
      <w:pPr>
        <w:ind w:left="1160" w:right="1299"/>
        <w:spacing w:after="0" w:line="247" w:lineRule="auto"/>
        <w:rPr>
          <w:sz w:val="20"/>
          <w:szCs w:val="20"/>
          <w:color w:val="auto"/>
        </w:rPr>
      </w:pPr>
      <w:r>
        <w:rPr>
          <w:rFonts w:ascii="Times New Roman" w:cs="Times New Roman" w:eastAsia="Times New Roman" w:hAnsi="Times New Roman"/>
          <w:sz w:val="16"/>
          <w:szCs w:val="16"/>
          <w:color w:val="auto"/>
        </w:rPr>
        <w:t>Be advised that preclearance from the Chief Financial Officer or Chief Legal Officer or their designees does not constitute legal advice, does not constitute confirmation that you do not possess material, nonpublic information and does not relieve you of your obligations under the U.S. securities laws; it is a safeguard that the Company has put in place to help protect you and the Company.</w:t>
      </w:r>
    </w:p>
    <w:p>
      <w:pPr>
        <w:spacing w:after="0" w:line="134" w:lineRule="exact"/>
        <w:rPr>
          <w:sz w:val="20"/>
          <w:szCs w:val="20"/>
          <w:color w:val="auto"/>
        </w:rPr>
      </w:pPr>
    </w:p>
    <w:p>
      <w:pPr>
        <w:ind w:left="1160" w:right="1299"/>
        <w:spacing w:after="0" w:line="247" w:lineRule="auto"/>
        <w:rPr>
          <w:sz w:val="20"/>
          <w:szCs w:val="20"/>
          <w:color w:val="auto"/>
        </w:rPr>
      </w:pPr>
      <w:r>
        <w:rPr>
          <w:rFonts w:ascii="Times New Roman" w:cs="Times New Roman" w:eastAsia="Times New Roman" w:hAnsi="Times New Roman"/>
          <w:sz w:val="16"/>
          <w:szCs w:val="16"/>
          <w:color w:val="auto"/>
        </w:rPr>
        <w:t>If you are an individual who requires preclearance and you are contemplating a transaction in the Company’s securities, you should contact the Company's Legal department at least two business days in advance by sending your preclearance request or any related inquiries to preclearancerequest@alkermes.com.</w:t>
      </w:r>
    </w:p>
    <w:p>
      <w:pPr>
        <w:spacing w:after="0" w:line="134" w:lineRule="exact"/>
        <w:rPr>
          <w:sz w:val="20"/>
          <w:szCs w:val="20"/>
          <w:color w:val="auto"/>
        </w:rPr>
      </w:pPr>
    </w:p>
    <w:p>
      <w:pPr>
        <w:ind w:left="1160" w:right="1319"/>
        <w:spacing w:after="0" w:line="260" w:lineRule="auto"/>
        <w:rPr>
          <w:sz w:val="20"/>
          <w:szCs w:val="20"/>
          <w:color w:val="auto"/>
        </w:rPr>
      </w:pPr>
      <w:r>
        <w:rPr>
          <w:rFonts w:ascii="Times New Roman" w:cs="Times New Roman" w:eastAsia="Times New Roman" w:hAnsi="Times New Roman"/>
          <w:sz w:val="15"/>
          <w:szCs w:val="15"/>
          <w:color w:val="auto"/>
        </w:rPr>
        <w:t>You are responsible for ensuring that you do not have material, nonpublic information about the Company, or about other companies if you learn something in the course of your employment or other service relationship with the Company that might affect the value of any such other company, before engaging in a transaction involving such company’s securities and that you comply with any and all other legal obligations. Therefore, before you make a request for preclearance, you should carefully consider whether you are aware of any material, nonpublic information and should describe fully any relevant circumstances in your preclearance request. The Chief Financial Officer or Chief Legal Officer or their designees are under no obligation to approve any trade request submitted for preclearance.</w:t>
      </w:r>
    </w:p>
    <w:p>
      <w:pPr>
        <w:spacing w:after="0" w:line="127" w:lineRule="exact"/>
        <w:rPr>
          <w:sz w:val="20"/>
          <w:szCs w:val="20"/>
          <w:color w:val="auto"/>
        </w:rPr>
      </w:pPr>
    </w:p>
    <w:p>
      <w:pPr>
        <w:ind w:left="1160" w:right="1279"/>
        <w:spacing w:after="0" w:line="245" w:lineRule="auto"/>
        <w:rPr>
          <w:sz w:val="20"/>
          <w:szCs w:val="20"/>
          <w:color w:val="auto"/>
        </w:rPr>
      </w:pPr>
      <w:r>
        <w:rPr>
          <w:rFonts w:ascii="Times New Roman" w:cs="Times New Roman" w:eastAsia="Times New Roman" w:hAnsi="Times New Roman"/>
          <w:sz w:val="16"/>
          <w:szCs w:val="16"/>
          <w:color w:val="auto"/>
        </w:rPr>
        <w:t>If you are precleared to trade, your transaction must be executed within 48 hours after receiving preclearance approval and, even if so precleared, may not be executed if you acquire material, nonpublic information after preclearance approval and before executing the trade. If the transaction does not take place during that permitted time, you must re-request preclearance for the proposed transaction through the same process.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537210</wp:posOffset>
            </wp:positionV>
            <wp:extent cx="560387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54" w:name="page155"/>
    <w:bookmarkEnd w:id="154"/>
    <w:p>
      <w:pPr>
        <w:ind w:left="1160"/>
        <w:spacing w:after="0"/>
        <w:rPr>
          <w:sz w:val="20"/>
          <w:szCs w:val="20"/>
          <w:color w:val="auto"/>
        </w:rPr>
      </w:pPr>
      <w:r>
        <w:rPr>
          <w:rFonts w:ascii="Times New Roman" w:cs="Times New Roman" w:eastAsia="Times New Roman" w:hAnsi="Times New Roman"/>
          <w:sz w:val="16"/>
          <w:szCs w:val="16"/>
          <w:b w:val="1"/>
          <w:bCs w:val="1"/>
          <w:color w:val="auto"/>
        </w:rPr>
        <w:t>Special Types of Permitted Transactions</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C ash Exercises of Stock Options</w:t>
      </w:r>
    </w:p>
    <w:p>
      <w:pPr>
        <w:spacing w:after="0" w:line="117" w:lineRule="exact"/>
        <w:rPr>
          <w:sz w:val="20"/>
          <w:szCs w:val="20"/>
          <w:color w:val="auto"/>
        </w:rPr>
      </w:pPr>
    </w:p>
    <w:p>
      <w:pPr>
        <w:ind w:left="1160" w:right="1319"/>
        <w:spacing w:after="0" w:line="259" w:lineRule="auto"/>
        <w:rPr>
          <w:sz w:val="20"/>
          <w:szCs w:val="20"/>
          <w:color w:val="auto"/>
        </w:rPr>
      </w:pPr>
      <w:r>
        <w:rPr>
          <w:rFonts w:ascii="Times New Roman" w:cs="Times New Roman" w:eastAsia="Times New Roman" w:hAnsi="Times New Roman"/>
          <w:sz w:val="15"/>
          <w:szCs w:val="15"/>
          <w:color w:val="auto"/>
        </w:rPr>
        <w:t>This Policy does not apply to an exercise of stock options when payment of the exercise price is made entirely in cash. However, this Policy does apply to any shares acquired through an option exercise made entirely in cash, and you may not sell any of those acquired shares for so long as you are in possession of material, nonpublic information. This Policy also applies to the use of Company shares to constitute part, or all, of the exercise price of a stock option (referred to as a “cashless exercise” of a stock option), or any other market sale for the purpose of generating the cash needed to pay the exercise price of a stock option. No matter how you exercise or otherwise acquire Company securities, during your employment or other service relationship with the Company, you may only sell Company securities, including those obtained through a stock option exercise, at the times outlined in this Policy.</w:t>
      </w:r>
    </w:p>
    <w:p>
      <w:pPr>
        <w:spacing w:after="0" w:line="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Restricted Stock Unit Awards (“RSUs”)</w:t>
      </w:r>
    </w:p>
    <w:p>
      <w:pPr>
        <w:spacing w:after="0" w:line="117" w:lineRule="exact"/>
        <w:rPr>
          <w:sz w:val="20"/>
          <w:szCs w:val="20"/>
          <w:color w:val="auto"/>
        </w:rPr>
      </w:pPr>
    </w:p>
    <w:p>
      <w:pPr>
        <w:ind w:left="1160" w:right="1599"/>
        <w:spacing w:after="0" w:line="267" w:lineRule="auto"/>
        <w:rPr>
          <w:sz w:val="20"/>
          <w:szCs w:val="20"/>
          <w:color w:val="auto"/>
        </w:rPr>
      </w:pPr>
      <w:r>
        <w:rPr>
          <w:rFonts w:ascii="Times New Roman" w:cs="Times New Roman" w:eastAsia="Times New Roman" w:hAnsi="Times New Roman"/>
          <w:sz w:val="16"/>
          <w:szCs w:val="16"/>
          <w:color w:val="auto"/>
        </w:rPr>
        <w:t>This Policy does not apply to the vesting of RSUs, or to the Company’s withholding of shares upon vesting of RSUs to satisfy tax withholding requirements.</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Planned Sales Programs under Rule 10b5-1</w:t>
      </w:r>
    </w:p>
    <w:p>
      <w:pPr>
        <w:spacing w:after="0" w:line="106" w:lineRule="exact"/>
        <w:rPr>
          <w:sz w:val="20"/>
          <w:szCs w:val="20"/>
          <w:color w:val="auto"/>
        </w:rPr>
      </w:pPr>
    </w:p>
    <w:p>
      <w:pPr>
        <w:jc w:val="both"/>
        <w:ind w:left="1160" w:right="1339"/>
        <w:spacing w:after="0" w:line="252" w:lineRule="auto"/>
        <w:rPr>
          <w:sz w:val="20"/>
          <w:szCs w:val="20"/>
          <w:color w:val="auto"/>
        </w:rPr>
      </w:pPr>
      <w:r>
        <w:rPr>
          <w:rFonts w:ascii="Times New Roman" w:cs="Times New Roman" w:eastAsia="Times New Roman" w:hAnsi="Times New Roman"/>
          <w:sz w:val="16"/>
          <w:szCs w:val="16"/>
          <w:color w:val="auto"/>
        </w:rPr>
        <w:t>Entry into a trading plan, arrangement or instruction that meets the requirements of Rule 10b5-1 of the Exchange Act (a “Rule 10b5-1 Plan” or a “Plan”) enables you to trade in Company securities outside of our open trading windows, even when in possession of material, nonpublic information.</w:t>
      </w:r>
    </w:p>
    <w:p>
      <w:pPr>
        <w:spacing w:after="0" w:line="86" w:lineRule="exact"/>
        <w:rPr>
          <w:sz w:val="20"/>
          <w:szCs w:val="20"/>
          <w:color w:val="auto"/>
        </w:rPr>
      </w:pPr>
    </w:p>
    <w:p>
      <w:pPr>
        <w:ind w:left="1160" w:right="1279"/>
        <w:spacing w:after="0" w:line="265" w:lineRule="auto"/>
        <w:rPr>
          <w:sz w:val="20"/>
          <w:szCs w:val="20"/>
          <w:color w:val="auto"/>
        </w:rPr>
      </w:pPr>
      <w:r>
        <w:rPr>
          <w:rFonts w:ascii="Times New Roman" w:cs="Times New Roman" w:eastAsia="Times New Roman" w:hAnsi="Times New Roman"/>
          <w:sz w:val="15"/>
          <w:szCs w:val="15"/>
          <w:color w:val="auto"/>
        </w:rPr>
        <w:t>If you are a member of the Alkermes plc board of directors, management committee or disclosure committee, a Section 16 Reporting Officer, or a member of one of the functions listed above that are subject to preclearance, the Company strongly encourages you to transact in the Company’s securities under a Rule 10b5-1 Plan. In addition, if you routinely have access to material, nonpublic information as part of your responsibilities with the Company, you may find a Rule 10b5-1 Plan to be useful as well.</w:t>
      </w:r>
    </w:p>
    <w:p>
      <w:pPr>
        <w:spacing w:after="0" w:line="79" w:lineRule="exact"/>
        <w:rPr>
          <w:sz w:val="20"/>
          <w:szCs w:val="20"/>
          <w:color w:val="auto"/>
        </w:rPr>
      </w:pPr>
    </w:p>
    <w:p>
      <w:pPr>
        <w:ind w:left="1160" w:right="1339"/>
        <w:spacing w:after="0" w:line="247" w:lineRule="auto"/>
        <w:rPr>
          <w:sz w:val="20"/>
          <w:szCs w:val="20"/>
          <w:color w:val="auto"/>
        </w:rPr>
      </w:pPr>
      <w:r>
        <w:rPr>
          <w:rFonts w:ascii="Times New Roman" w:cs="Times New Roman" w:eastAsia="Times New Roman" w:hAnsi="Times New Roman"/>
          <w:sz w:val="16"/>
          <w:szCs w:val="16"/>
          <w:color w:val="auto"/>
        </w:rPr>
        <w:t>Members of the Alkermes plc board of directors and Section 16 Reporting Officers should also be mindful of their respective share ownership and/or holding requirements under the Alkermes plc Amended and Restated Share Ownership and Holding Guidelines when considering establishing a Rule 10b5-1 Plan or any other transaction in the Company’s securities.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If you intend to trade pursuant to a Rule 10b5-1 Plan, such plan, arrangement or instruction must:</w:t>
      </w:r>
    </w:p>
    <w:p>
      <w:pPr>
        <w:spacing w:after="0" w:line="42" w:lineRule="exact"/>
        <w:rPr>
          <w:sz w:val="20"/>
          <w:szCs w:val="20"/>
          <w:color w:val="auto"/>
        </w:rPr>
      </w:pPr>
    </w:p>
    <w:p>
      <w:pPr>
        <w:ind w:left="1740" w:hanging="257"/>
        <w:spacing w:after="0"/>
        <w:tabs>
          <w:tab w:leader="none" w:pos="17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satisfy the requirements of Rule 10b5-1;</w:t>
      </w:r>
    </w:p>
    <w:p>
      <w:pPr>
        <w:spacing w:after="0" w:line="52" w:lineRule="exact"/>
        <w:rPr>
          <w:rFonts w:ascii="Times New Roman" w:cs="Times New Roman" w:eastAsia="Times New Roman" w:hAnsi="Times New Roman"/>
          <w:sz w:val="16"/>
          <w:szCs w:val="16"/>
          <w:color w:val="auto"/>
        </w:rPr>
      </w:pPr>
    </w:p>
    <w:p>
      <w:pPr>
        <w:ind w:left="1740" w:right="1259" w:hanging="257"/>
        <w:spacing w:after="0" w:line="247" w:lineRule="auto"/>
        <w:tabs>
          <w:tab w:leader="none" w:pos="17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documented in writing and include a written representation by you that you are not aware of any material nonpublic information concerning the Company and that you are adopting the Plan in good faith and not as part of a plan or scheme to evade the prohibitions of Section 10(b) and Rule 10b-5 of the Exchange Act;</w:t>
      </w:r>
    </w:p>
    <w:p>
      <w:pPr>
        <w:spacing w:after="0" w:line="15" w:lineRule="exact"/>
        <w:rPr>
          <w:rFonts w:ascii="Times New Roman" w:cs="Times New Roman" w:eastAsia="Times New Roman" w:hAnsi="Times New Roman"/>
          <w:sz w:val="16"/>
          <w:szCs w:val="16"/>
          <w:color w:val="auto"/>
        </w:rPr>
      </w:pPr>
    </w:p>
    <w:p>
      <w:pPr>
        <w:ind w:left="1740" w:right="1439" w:hanging="257"/>
        <w:spacing w:after="0" w:line="266" w:lineRule="auto"/>
        <w:tabs>
          <w:tab w:leader="none" w:pos="17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entered into during an open trading window (in accordance with this Policy) and at a time when you do not possess material, nonpublic information about the Company; and</w:t>
      </w:r>
    </w:p>
    <w:p>
      <w:pPr>
        <w:ind w:left="1740" w:hanging="257"/>
        <w:spacing w:after="0"/>
        <w:tabs>
          <w:tab w:leader="none" w:pos="17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pre-approved by the Chief Financial Officer or the Chief Legal Officer or their designees.</w:t>
      </w:r>
    </w:p>
    <w:p>
      <w:pPr>
        <w:spacing w:after="0" w:line="117" w:lineRule="exact"/>
        <w:rPr>
          <w:sz w:val="20"/>
          <w:szCs w:val="20"/>
          <w:color w:val="auto"/>
        </w:rPr>
      </w:pPr>
    </w:p>
    <w:p>
      <w:pPr>
        <w:ind w:left="1160" w:right="1359"/>
        <w:spacing w:after="0" w:line="263" w:lineRule="auto"/>
        <w:rPr>
          <w:sz w:val="20"/>
          <w:szCs w:val="20"/>
          <w:color w:val="auto"/>
        </w:rPr>
      </w:pPr>
      <w:r>
        <w:rPr>
          <w:rFonts w:ascii="Times New Roman" w:cs="Times New Roman" w:eastAsia="Times New Roman" w:hAnsi="Times New Roman"/>
          <w:sz w:val="15"/>
          <w:szCs w:val="15"/>
          <w:color w:val="auto"/>
        </w:rPr>
        <w:t>In order to satisfy Rule 10b5-1, all Rule 10b5-1 Plans are subject to a mandatory cooling off period (consisting of at least 30 days or more under certain circumstances for employees other than Section 16 Reporting Officers and at least 90 days or more under certain circumstances for Section 16 Reporting Officers and members of the Alkermes plc board of directors) prior to the date of the first planned sale or other transaction under such Plan. All Rule 10b5-1 Plans must also adhere to certain prescribed limitations on the number and nature of Plans that may be in effect at a given time (e.g., minimum</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537210</wp:posOffset>
            </wp:positionV>
            <wp:extent cx="560387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5" w:name="page156"/>
    <w:bookmarkEnd w:id="155"/>
    <w:p>
      <w:pPr>
        <w:ind w:left="1160" w:right="1439"/>
        <w:spacing w:after="0" w:line="301" w:lineRule="auto"/>
        <w:rPr>
          <w:sz w:val="20"/>
          <w:szCs w:val="20"/>
          <w:color w:val="auto"/>
        </w:rPr>
      </w:pPr>
      <w:r>
        <w:rPr>
          <w:rFonts w:ascii="Times New Roman" w:cs="Times New Roman" w:eastAsia="Times New Roman" w:hAnsi="Times New Roman"/>
          <w:sz w:val="15"/>
          <w:szCs w:val="15"/>
          <w:color w:val="auto"/>
        </w:rPr>
        <w:t>number of trades requirement, term limitations) and such other Plan parameters as the Chief Financial Officer or the Chief Legal Officer or their designees deem to be in the best interests of the Company.</w:t>
      </w:r>
    </w:p>
    <w:p>
      <w:pPr>
        <w:spacing w:after="0" w:line="51" w:lineRule="exact"/>
        <w:rPr>
          <w:sz w:val="20"/>
          <w:szCs w:val="20"/>
          <w:color w:val="auto"/>
        </w:rPr>
      </w:pPr>
    </w:p>
    <w:p>
      <w:pPr>
        <w:ind w:left="1160" w:right="1319"/>
        <w:spacing w:after="0" w:line="242" w:lineRule="auto"/>
        <w:rPr>
          <w:sz w:val="20"/>
          <w:szCs w:val="20"/>
          <w:color w:val="auto"/>
        </w:rPr>
      </w:pPr>
      <w:r>
        <w:rPr>
          <w:rFonts w:ascii="Times New Roman" w:cs="Times New Roman" w:eastAsia="Times New Roman" w:hAnsi="Times New Roman"/>
          <w:sz w:val="16"/>
          <w:szCs w:val="16"/>
          <w:color w:val="auto"/>
        </w:rPr>
        <w:t>Modifications to, or terminations of, Rule 10b5-1 Plans are highly discouraged and require the approval of the Chief Financial Officer or the Chief Legal Officer or their designees. If you are a director or a Section 16 Reporting Officer, the Company will be required to disclose any adoption, modification or termination of a 10b5-1 Plan by you and certain details relating to such Plan in its periodic reports filed with the SEC. Any questions in respect of a Rule 10b5-1 Plan, requests for approval of entry into, modification or termination of a Rule 10b5-1 Plan or the required disclosure relating to such Plans, should be submitted to preclearancerequest@alkermes.com.</w:t>
      </w:r>
    </w:p>
    <w:p>
      <w:pPr>
        <w:spacing w:after="0" w:line="97" w:lineRule="exact"/>
        <w:rPr>
          <w:sz w:val="20"/>
          <w:szCs w:val="20"/>
          <w:color w:val="auto"/>
        </w:rPr>
      </w:pPr>
    </w:p>
    <w:p>
      <w:pPr>
        <w:ind w:left="1160" w:right="1179"/>
        <w:spacing w:after="0" w:line="267" w:lineRule="auto"/>
        <w:rPr>
          <w:sz w:val="20"/>
          <w:szCs w:val="20"/>
          <w:color w:val="auto"/>
        </w:rPr>
      </w:pPr>
      <w:r>
        <w:rPr>
          <w:rFonts w:ascii="Times New Roman" w:cs="Times New Roman" w:eastAsia="Times New Roman" w:hAnsi="Times New Roman"/>
          <w:sz w:val="16"/>
          <w:szCs w:val="16"/>
          <w:color w:val="auto"/>
        </w:rPr>
        <w:t>Transactions effected pursuant to a pre-approved and executed Rule 10b5-1 Plan will not be subject to the Company’s blackout periods or other preclearance procedures.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Investing in Mutual Funds</w:t>
      </w:r>
    </w:p>
    <w:p>
      <w:pPr>
        <w:spacing w:after="0" w:line="63" w:lineRule="exact"/>
        <w:rPr>
          <w:sz w:val="20"/>
          <w:szCs w:val="20"/>
          <w:color w:val="auto"/>
        </w:rPr>
      </w:pPr>
    </w:p>
    <w:p>
      <w:pPr>
        <w:ind w:left="1160" w:right="1479"/>
        <w:spacing w:after="0" w:line="267" w:lineRule="auto"/>
        <w:rPr>
          <w:sz w:val="20"/>
          <w:szCs w:val="20"/>
          <w:color w:val="auto"/>
        </w:rPr>
      </w:pPr>
      <w:r>
        <w:rPr>
          <w:rFonts w:ascii="Times New Roman" w:cs="Times New Roman" w:eastAsia="Times New Roman" w:hAnsi="Times New Roman"/>
          <w:sz w:val="16"/>
          <w:szCs w:val="16"/>
          <w:color w:val="auto"/>
        </w:rPr>
        <w:t>You may invest in any mutual fund which invests in the Company’s securities or the securities of any company with which the Company has a relationship without regard to this Policy.</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Reports of purchases, sales and gifts for Board members and Section 16 Reporting Officers</w:t>
      </w:r>
    </w:p>
    <w:p>
      <w:pPr>
        <w:spacing w:after="0" w:line="119" w:lineRule="exact"/>
        <w:rPr>
          <w:sz w:val="20"/>
          <w:szCs w:val="20"/>
          <w:color w:val="auto"/>
        </w:rPr>
      </w:pPr>
    </w:p>
    <w:p>
      <w:pPr>
        <w:ind w:left="1160" w:right="1279"/>
        <w:spacing w:after="0" w:line="241" w:lineRule="auto"/>
        <w:rPr>
          <w:sz w:val="20"/>
          <w:szCs w:val="20"/>
          <w:color w:val="auto"/>
        </w:rPr>
      </w:pPr>
      <w:r>
        <w:rPr>
          <w:rFonts w:ascii="Times New Roman" w:cs="Times New Roman" w:eastAsia="Times New Roman" w:hAnsi="Times New Roman"/>
          <w:sz w:val="16"/>
          <w:szCs w:val="16"/>
          <w:color w:val="auto"/>
        </w:rPr>
        <w:t>If you are a member of the Alkermes plc board of directors or a Section 16 Reporting Officer, keep in mind the various restrictions on securities transactions imposed under Section 16 of the Exchange Act and the corresponding reporting requirements. You must immediately report to the Chief Financial Officer or the Chief Legal Officer or their designees all transactions made in the Company’s securities by you, any family member, and any trusts or entities that you control, including gifts and cash exercises of stock options. The Company requires same-day reporting to it of any such transaction due to SEC requirements that certain insider reports be filed with the SEC by the second day after the date on which a reportable transaction occurs. In addition, you must comply with the preclearance procedures set forth above in respect of any such transactions.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Disclosure of Confidential Information</w:t>
      </w:r>
    </w:p>
    <w:p>
      <w:pPr>
        <w:spacing w:after="0" w:line="119" w:lineRule="exact"/>
        <w:rPr>
          <w:sz w:val="20"/>
          <w:szCs w:val="20"/>
          <w:color w:val="auto"/>
        </w:rPr>
      </w:pPr>
    </w:p>
    <w:p>
      <w:pPr>
        <w:ind w:left="1160" w:right="1299"/>
        <w:spacing w:after="0" w:line="263" w:lineRule="auto"/>
        <w:rPr>
          <w:sz w:val="20"/>
          <w:szCs w:val="20"/>
          <w:color w:val="auto"/>
        </w:rPr>
      </w:pPr>
      <w:r>
        <w:rPr>
          <w:rFonts w:ascii="Times New Roman" w:cs="Times New Roman" w:eastAsia="Times New Roman" w:hAnsi="Times New Roman"/>
          <w:sz w:val="15"/>
          <w:szCs w:val="15"/>
          <w:color w:val="auto"/>
        </w:rPr>
        <w:t>The confidentiality of all material, nonpublic information that you learn while working at the Company (whether or not such information is about the Company) must be strictly maintained within the Company. Only certain executive officers and certain members of the Corporate Affairs and Investor Relations departments are authorized to disclose material, nonpublic information about the Company to the public, members of the investment community (including analysts), or to shareholders, unless one of these executive officers expressly authorizes disclosure by another employee in advance.</w:t>
      </w:r>
    </w:p>
    <w:p>
      <w:pPr>
        <w:spacing w:after="0" w:line="79" w:lineRule="exact"/>
        <w:rPr>
          <w:sz w:val="20"/>
          <w:szCs w:val="20"/>
          <w:color w:val="auto"/>
        </w:rPr>
      </w:pPr>
    </w:p>
    <w:p>
      <w:pPr>
        <w:ind w:left="1160" w:right="1299"/>
        <w:spacing w:after="0" w:line="241" w:lineRule="auto"/>
        <w:rPr>
          <w:sz w:val="20"/>
          <w:szCs w:val="20"/>
          <w:color w:val="auto"/>
        </w:rPr>
      </w:pPr>
      <w:r>
        <w:rPr>
          <w:rFonts w:ascii="Times New Roman" w:cs="Times New Roman" w:eastAsia="Times New Roman" w:hAnsi="Times New Roman"/>
          <w:sz w:val="16"/>
          <w:szCs w:val="16"/>
          <w:color w:val="auto"/>
        </w:rPr>
        <w:t>In addition, with advances in electronic communications and the corresponding increased use of the Internet, email communications, social networking sites, video sharing websites, electronic bulletin boards, chat rooms and blogs, electronic discussions about companies and their business prospects (collectively, “Electronic and Social Media”) have become common. Inappropriate communications disseminated on the Internet may pose an inherently greater risk due to the size of the audience they can reach. It is important for Company employees who choose to participate in Electronic and Social Media to understand what is recommended, expected and required when discussing Company-related topics. In this context, you are prohibited from sharing any nonpublic information about the Company and from discussing revenues, future plans, prospects, products or the share price of the Company in any comments, responses, or postings on any Electronic and Social Media and are subject in all respects to the Company’s social media policy, available on the Company’s internal intranet.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537210</wp:posOffset>
            </wp:positionV>
            <wp:extent cx="560387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56" w:name="page157"/>
    <w:bookmarkEnd w:id="156"/>
    <w:p>
      <w:pPr>
        <w:ind w:left="1160" w:right="1259"/>
        <w:spacing w:after="0" w:line="241" w:lineRule="auto"/>
        <w:rPr>
          <w:sz w:val="20"/>
          <w:szCs w:val="20"/>
          <w:color w:val="auto"/>
        </w:rPr>
      </w:pPr>
      <w:r>
        <w:rPr>
          <w:rFonts w:ascii="Times New Roman" w:cs="Times New Roman" w:eastAsia="Times New Roman" w:hAnsi="Times New Roman"/>
          <w:sz w:val="16"/>
          <w:szCs w:val="16"/>
          <w:color w:val="auto"/>
        </w:rPr>
        <w:t>You should not, under any circumstances, recommend or express opinions as to the Company’s securities or comment on rumors or predictions about the Company, regardless of whether the rumor is false and whether you think your recommendation, opinion or comment is being made on an anonymous basis (for example, in any Electronic and Social Media). If you are ever asked a direct question about the Company or any prevailing rumor about the Company, you should respond that it is Company policy not to comment on such matters and that any questions should be directed to the Company’s Investor Relations department or Chief Financial Officer or their designees. This Policy operates in addition to any other Company policies relating to safeguarding the confidentiality of the Company’s internal, proprietary information.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Reporting of Violations</w:t>
      </w:r>
    </w:p>
    <w:p>
      <w:pPr>
        <w:spacing w:after="0" w:line="119" w:lineRule="exact"/>
        <w:rPr>
          <w:sz w:val="20"/>
          <w:szCs w:val="20"/>
          <w:color w:val="auto"/>
        </w:rPr>
      </w:pPr>
    </w:p>
    <w:p>
      <w:pPr>
        <w:jc w:val="both"/>
        <w:ind w:left="1160" w:right="1259"/>
        <w:spacing w:after="0" w:line="245" w:lineRule="auto"/>
        <w:rPr>
          <w:sz w:val="20"/>
          <w:szCs w:val="20"/>
          <w:color w:val="auto"/>
        </w:rPr>
      </w:pPr>
      <w:r>
        <w:rPr>
          <w:rFonts w:ascii="Times New Roman" w:cs="Times New Roman" w:eastAsia="Times New Roman" w:hAnsi="Times New Roman"/>
          <w:sz w:val="16"/>
          <w:szCs w:val="16"/>
          <w:color w:val="auto"/>
        </w:rPr>
        <w:t xml:space="preserve">If you violate this Policy or any U.S. federal or state laws governing insider trading, or know of any such violation by any director, officer, employee, or independent contractor of the Company, you must report the violation immediately to your supervisor, or to the Chief Financial Officer or the Chief Legal Officer of the Company or their designees. </w:t>
      </w:r>
      <w:r>
        <w:rPr>
          <w:rFonts w:ascii="Times New Roman" w:cs="Times New Roman" w:eastAsia="Times New Roman" w:hAnsi="Times New Roman"/>
          <w:sz w:val="16"/>
          <w:szCs w:val="16"/>
          <w:b w:val="1"/>
          <w:bCs w:val="1"/>
          <w:color w:val="auto"/>
        </w:rPr>
        <w:t>Persons violating this Policy will be subject to disciplinary action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by the Company, up to and including termination.</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Modifications</w:t>
      </w:r>
    </w:p>
    <w:p>
      <w:pPr>
        <w:spacing w:after="0" w:line="119" w:lineRule="exact"/>
        <w:rPr>
          <w:sz w:val="20"/>
          <w:szCs w:val="20"/>
          <w:color w:val="auto"/>
        </w:rPr>
      </w:pPr>
    </w:p>
    <w:p>
      <w:pPr>
        <w:ind w:left="1160" w:right="1259"/>
        <w:spacing w:after="0" w:line="252" w:lineRule="auto"/>
        <w:rPr>
          <w:sz w:val="20"/>
          <w:szCs w:val="20"/>
          <w:color w:val="auto"/>
        </w:rPr>
      </w:pPr>
      <w:r>
        <w:rPr>
          <w:rFonts w:ascii="Times New Roman" w:cs="Times New Roman" w:eastAsia="Times New Roman" w:hAnsi="Times New Roman"/>
          <w:sz w:val="16"/>
          <w:szCs w:val="16"/>
          <w:color w:val="auto"/>
        </w:rPr>
        <w:t>The Company may at any time change this Policy or adopt such other policies or procedures which it considers appropriate to carry out the purposes of this Policy. A current copy of this Policy is maintained on the Corporate Governance section of the Investors tab of the Company’s website.</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Questions</w:t>
      </w:r>
    </w:p>
    <w:p>
      <w:pPr>
        <w:spacing w:after="0" w:line="119" w:lineRule="exact"/>
        <w:rPr>
          <w:sz w:val="20"/>
          <w:szCs w:val="20"/>
          <w:color w:val="auto"/>
        </w:rPr>
      </w:pPr>
    </w:p>
    <w:p>
      <w:pPr>
        <w:ind w:left="1160" w:right="1599"/>
        <w:spacing w:after="0" w:line="252" w:lineRule="auto"/>
        <w:rPr>
          <w:sz w:val="20"/>
          <w:szCs w:val="20"/>
          <w:color w:val="auto"/>
        </w:rPr>
      </w:pPr>
      <w:r>
        <w:rPr>
          <w:rFonts w:ascii="Times New Roman" w:cs="Times New Roman" w:eastAsia="Times New Roman" w:hAnsi="Times New Roman"/>
          <w:sz w:val="16"/>
          <w:szCs w:val="16"/>
          <w:color w:val="auto"/>
        </w:rPr>
        <w:t>You are encouraged to ask questions and seek any follow-up information that you may require with respect to the matters set forth in this Policy. Please direct all questions to preclearancerequest@alkermes.com.</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 * *</w:t>
      </w:r>
    </w:p>
    <w:p>
      <w:pPr>
        <w:spacing w:after="0" w:line="181" w:lineRule="exact"/>
        <w:rPr>
          <w:sz w:val="20"/>
          <w:szCs w:val="20"/>
          <w:color w:val="auto"/>
        </w:rPr>
      </w:pPr>
    </w:p>
    <w:p>
      <w:pPr>
        <w:ind w:left="1160" w:right="1359"/>
        <w:spacing w:after="0" w:line="267" w:lineRule="auto"/>
        <w:rPr>
          <w:sz w:val="20"/>
          <w:szCs w:val="20"/>
          <w:color w:val="auto"/>
        </w:rPr>
      </w:pPr>
      <w:r>
        <w:rPr>
          <w:rFonts w:ascii="Times New Roman" w:cs="Times New Roman" w:eastAsia="Times New Roman" w:hAnsi="Times New Roman"/>
          <w:sz w:val="16"/>
          <w:szCs w:val="16"/>
          <w:color w:val="auto"/>
        </w:rPr>
        <w:t>Your failure to observe this Policy could lead to significant legal and other consequences, including the potential termination of your employment or other service relationship with the Company.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537210</wp:posOffset>
            </wp:positionV>
            <wp:extent cx="560387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57" w:name="page158"/>
    <w:bookmarkEnd w:id="157"/>
    <w:tbl>
      <w:tblPr>
        <w:tblLayout w:type="fixed"/>
        <w:tblInd w:w="120" w:type="dxa"/>
        <w:tblCellMar>
          <w:top w:w="0" w:type="dxa"/>
          <w:left w:w="0" w:type="dxa"/>
          <w:bottom w:w="0" w:type="dxa"/>
          <w:right w:w="0" w:type="dxa"/>
        </w:tblCellMar>
      </w:tblPr>
      <w:tr>
        <w:trPr>
          <w:trHeight w:val="188"/>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Exhibit 21.1</w:t>
            </w:r>
          </w:p>
        </w:tc>
      </w:tr>
      <w:tr>
        <w:trPr>
          <w:trHeight w:val="344"/>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5"/>
        </w:trPr>
        <w:tc>
          <w:tcPr>
            <w:tcW w:w="90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spacing w:after="0"/>
              <w:rPr>
                <w:sz w:val="24"/>
                <w:szCs w:val="24"/>
                <w:color w:val="auto"/>
              </w:rPr>
            </w:pPr>
          </w:p>
        </w:tc>
        <w:tc>
          <w:tcPr>
            <w:tcW w:w="252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Jurisdiction</w:t>
            </w:r>
          </w:p>
        </w:tc>
      </w:tr>
      <w:tr>
        <w:trPr>
          <w:trHeight w:val="163"/>
        </w:trPr>
        <w:tc>
          <w:tcPr>
            <w:tcW w:w="9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Alkermes Ireland Holdings Limited</w:t>
            </w:r>
          </w:p>
        </w:tc>
        <w:tc>
          <w:tcPr>
            <w:tcW w:w="180" w:type="dxa"/>
            <w:vAlign w:val="bottom"/>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Alkermes Pharma Ireland Limited</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Daravita Pharma Ireland Limited</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Alkermes Finance Ireland (No 3) Limited</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Alkermes Science Four Limited</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Alkermes Science Five Limited</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Alkermes, Inc.</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Pennsylvania</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Alkermes US Holdings, Inc.</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Rodin Therapeutics, Inc.</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Alkermes Finance LLC</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Avadel Pharmaceuticals plc</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Flamel Ireland Limited</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Avadel Finance Ireland Designated Activity Company</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Avadel US Holdings, LLC</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Avadel Management, LLC</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Avadel CNS Pharmaceuticals, LLC</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Avadel France Holding SAS</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France</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Avadel Research SAS</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France</w:t>
            </w:r>
          </w:p>
        </w:tc>
        <w:tc>
          <w:tcPr>
            <w:tcW w:w="98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Avadel Investment Company Limited</w:t>
            </w:r>
          </w:p>
        </w:tc>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Cayman Islands</w:t>
            </w:r>
          </w:p>
        </w:tc>
        <w:tc>
          <w:tcPr>
            <w:tcW w:w="980" w:type="dxa"/>
            <w:vAlign w:val="bottom"/>
          </w:tcPr>
          <w:p>
            <w:pPr>
              <w:spacing w:after="0"/>
              <w:rPr>
                <w:sz w:val="14"/>
                <w:szCs w:val="14"/>
                <w:color w:val="auto"/>
              </w:rPr>
            </w:pPr>
          </w:p>
        </w:tc>
      </w:tr>
      <w:tr>
        <w:trPr>
          <w:trHeight w:val="186"/>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Avadel Finance Cayman Limited</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Cayman Islands</w:t>
            </w:r>
          </w:p>
        </w:tc>
        <w:tc>
          <w:tcPr>
            <w:tcW w:w="980" w:type="dxa"/>
            <w:vAlign w:val="bottom"/>
          </w:tcPr>
          <w:p>
            <w:pPr>
              <w:spacing w:after="0"/>
              <w:rPr>
                <w:sz w:val="16"/>
                <w:szCs w:val="16"/>
                <w:color w:val="auto"/>
              </w:rPr>
            </w:pPr>
          </w:p>
        </w:tc>
      </w:tr>
      <w:tr>
        <w:trPr>
          <w:trHeight w:val="1158"/>
        </w:trPr>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158" w:name="page159"/>
    <w:bookmarkEnd w:id="158"/>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53" w:lineRule="exact"/>
        <w:rPr>
          <w:sz w:val="20"/>
          <w:szCs w:val="20"/>
          <w:color w:val="auto"/>
        </w:rPr>
      </w:pPr>
    </w:p>
    <w:p>
      <w:pPr>
        <w:ind w:left="1020" w:right="1119" w:firstLine="516"/>
        <w:spacing w:after="0" w:line="189" w:lineRule="exact"/>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 (Nos. 333-179545, 333-184621, 333-200777, 333-214952, 333-226359, 333-232831, 333-240170, 333-258229, 333-266350, 333-273456, 333-280984 and 333-289037) of Alkermes plc of our report dated February 25, 2026 relating to the financial statements and the effectiveness of internal control over financial reporting, which appears in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956310</wp:posOffset>
            </wp:positionV>
            <wp:extent cx="560387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159" w:name="page160"/>
    <w:bookmarkEnd w:id="159"/>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Richard F. Pops, certify that:</w:t>
      </w:r>
    </w:p>
    <w:p>
      <w:pPr>
        <w:spacing w:after="0" w:line="183" w:lineRule="exact"/>
        <w:rPr>
          <w:sz w:val="20"/>
          <w:szCs w:val="20"/>
          <w:color w:val="auto"/>
        </w:rPr>
      </w:pPr>
    </w:p>
    <w:p>
      <w:pPr>
        <w:ind w:left="1240" w:hanging="344"/>
        <w:spacing w:after="0"/>
        <w:tabs>
          <w:tab w:leader="none" w:pos="12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Alkermes plc;</w:t>
      </w:r>
    </w:p>
    <w:p>
      <w:pPr>
        <w:spacing w:after="0" w:line="182" w:lineRule="exact"/>
        <w:rPr>
          <w:rFonts w:ascii="Times New Roman" w:cs="Times New Roman" w:eastAsia="Times New Roman" w:hAnsi="Times New Roman"/>
          <w:sz w:val="14"/>
          <w:szCs w:val="14"/>
          <w:color w:val="auto"/>
        </w:rPr>
      </w:pPr>
    </w:p>
    <w:p>
      <w:pPr>
        <w:ind w:left="1240" w:right="739" w:hanging="344"/>
        <w:spacing w:after="0" w:line="274" w:lineRule="auto"/>
        <w:tabs>
          <w:tab w:leader="none" w:pos="12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240" w:right="759" w:hanging="344"/>
        <w:spacing w:after="0" w:line="274" w:lineRule="auto"/>
        <w:tabs>
          <w:tab w:leader="none" w:pos="12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240" w:right="899" w:hanging="344"/>
        <w:spacing w:after="0" w:line="274" w:lineRule="auto"/>
        <w:tabs>
          <w:tab w:leader="none" w:pos="12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3"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660" w:right="659" w:hanging="249"/>
        <w:spacing w:after="0" w:line="268" w:lineRule="auto"/>
        <w:tabs>
          <w:tab w:leader="none" w:pos="16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1240" w:right="699" w:hanging="344"/>
        <w:spacing w:after="0" w:line="274" w:lineRule="auto"/>
        <w:tabs>
          <w:tab w:leader="none" w:pos="12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660" w:right="859" w:hanging="249"/>
        <w:spacing w:after="0" w:line="274" w:lineRule="auto"/>
        <w:tabs>
          <w:tab w:leader="none" w:pos="16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4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   February 25, 2026</w:t>
            </w: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Richard F. Pops</w:t>
            </w:r>
          </w:p>
        </w:tc>
      </w:tr>
      <w:tr>
        <w:trPr>
          <w:trHeight w:val="177"/>
        </w:trPr>
        <w:tc>
          <w:tcPr>
            <w:tcW w:w="4420" w:type="dxa"/>
            <w:vAlign w:val="bottom"/>
          </w:tcPr>
          <w:p>
            <w:pPr>
              <w:spacing w:after="0"/>
              <w:rPr>
                <w:sz w:val="15"/>
                <w:szCs w:val="15"/>
                <w:color w:val="auto"/>
              </w:rPr>
            </w:pPr>
          </w:p>
        </w:tc>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Richard F. Pops</w:t>
            </w:r>
          </w:p>
        </w:tc>
        <w:tc>
          <w:tcPr>
            <w:tcW w:w="520" w:type="dxa"/>
            <w:vAlign w:val="bottom"/>
          </w:tcPr>
          <w:p>
            <w:pPr>
              <w:spacing w:after="0"/>
              <w:rPr>
                <w:sz w:val="15"/>
                <w:szCs w:val="15"/>
                <w:color w:val="auto"/>
              </w:rPr>
            </w:pPr>
          </w:p>
        </w:tc>
      </w:tr>
      <w:tr>
        <w:trPr>
          <w:trHeight w:val="315"/>
        </w:trPr>
        <w:tc>
          <w:tcPr>
            <w:tcW w:w="442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6"/>
        </w:trPr>
        <w:tc>
          <w:tcPr>
            <w:tcW w:w="44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776"/>
        </w:trPr>
        <w:tc>
          <w:tcPr>
            <w:tcW w:w="44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60" w:name="page161"/>
    <w:bookmarkEnd w:id="16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Joshua Reed, certify that:</w:t>
      </w:r>
    </w:p>
    <w:p>
      <w:pPr>
        <w:spacing w:after="0" w:line="183" w:lineRule="exact"/>
        <w:rPr>
          <w:sz w:val="20"/>
          <w:szCs w:val="20"/>
          <w:color w:val="auto"/>
        </w:rPr>
      </w:pPr>
    </w:p>
    <w:p>
      <w:pPr>
        <w:ind w:left="1160" w:hanging="264"/>
        <w:spacing w:after="0"/>
        <w:tabs>
          <w:tab w:leader="none" w:pos="1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Alkermes plc;</w:t>
      </w:r>
    </w:p>
    <w:p>
      <w:pPr>
        <w:spacing w:after="0" w:line="182"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160" w:right="999" w:hanging="264"/>
        <w:spacing w:after="0" w:line="274" w:lineRule="auto"/>
        <w:tabs>
          <w:tab w:leader="none" w:pos="1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3"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660" w:right="659" w:hanging="249"/>
        <w:spacing w:after="0" w:line="268" w:lineRule="auto"/>
        <w:tabs>
          <w:tab w:leader="none" w:pos="16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1160" w:right="799" w:hanging="264"/>
        <w:spacing w:after="0" w:line="274" w:lineRule="auto"/>
        <w:tabs>
          <w:tab w:leader="none" w:pos="1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660" w:right="859" w:hanging="249"/>
        <w:spacing w:after="0" w:line="274" w:lineRule="auto"/>
        <w:tabs>
          <w:tab w:leader="none" w:pos="16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4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   February 25, 2026</w:t>
            </w: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Joshua Reed</w:t>
            </w:r>
          </w:p>
        </w:tc>
      </w:tr>
      <w:tr>
        <w:trPr>
          <w:trHeight w:val="177"/>
        </w:trPr>
        <w:tc>
          <w:tcPr>
            <w:tcW w:w="4400" w:type="dxa"/>
            <w:vAlign w:val="bottom"/>
          </w:tcPr>
          <w:p>
            <w:pPr>
              <w:spacing w:after="0"/>
              <w:rPr>
                <w:sz w:val="15"/>
                <w:szCs w:val="15"/>
                <w:color w:val="auto"/>
              </w:rPr>
            </w:pP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Joshua Reed</w:t>
            </w:r>
          </w:p>
        </w:tc>
        <w:tc>
          <w:tcPr>
            <w:tcW w:w="520" w:type="dxa"/>
            <w:vAlign w:val="bottom"/>
          </w:tcPr>
          <w:p>
            <w:pPr>
              <w:spacing w:after="0"/>
              <w:rPr>
                <w:sz w:val="15"/>
                <w:szCs w:val="15"/>
                <w:color w:val="auto"/>
              </w:rPr>
            </w:pPr>
          </w:p>
        </w:tc>
      </w:tr>
      <w:tr>
        <w:trPr>
          <w:trHeight w:val="315"/>
        </w:trPr>
        <w:tc>
          <w:tcPr>
            <w:tcW w:w="44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r>
      <w:tr>
        <w:trPr>
          <w:trHeight w:val="186"/>
        </w:trPr>
        <w:tc>
          <w:tcPr>
            <w:tcW w:w="440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776"/>
        </w:trPr>
        <w:tc>
          <w:tcPr>
            <w:tcW w:w="44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161" w:name="page162"/>
    <w:bookmarkEnd w:id="161"/>
    <w:p>
      <w:pPr>
        <w:ind w:left="764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In connection with the Annual Report on Form 10-K of Alkermes plc (the "Company") for the period ended December 31, 2025 as filed with the Securities and Exchange Commission on the date hereof (the "Report"), we, Richard F. Pops, Chairman and Chief Executive Officer of the Company, and Joshua Reed, Senior Vice President, Chief Financial Officer of the Company, certify, pursuant to 18 U.S.C. Section 1350, as adopted pursuant to Section 906 of the Sarbanes-Oxley Act of 2002, that to our knowledge:</w:t>
      </w:r>
    </w:p>
    <w:p>
      <w:pPr>
        <w:spacing w:after="0" w:line="54" w:lineRule="exact"/>
        <w:rPr>
          <w:sz w:val="20"/>
          <w:szCs w:val="20"/>
          <w:color w:val="auto"/>
        </w:rPr>
      </w:pPr>
    </w:p>
    <w:p>
      <w:pPr>
        <w:ind w:left="1160" w:right="1159" w:hanging="264"/>
        <w:spacing w:after="0" w:line="292" w:lineRule="auto"/>
        <w:tabs>
          <w:tab w:leader="none" w:pos="1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37"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2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w:t>
            </w:r>
          </w:p>
        </w:tc>
        <w:tc>
          <w:tcPr>
            <w:tcW w:w="3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25, 2026</w:t>
            </w: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Richard F. Pops</w:t>
            </w:r>
          </w:p>
        </w:tc>
      </w:tr>
      <w:tr>
        <w:trPr>
          <w:trHeight w:val="177"/>
        </w:trPr>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Richard F. Pops</w:t>
            </w:r>
          </w:p>
        </w:tc>
        <w:tc>
          <w:tcPr>
            <w:tcW w:w="520" w:type="dxa"/>
            <w:vAlign w:val="bottom"/>
          </w:tcPr>
          <w:p>
            <w:pPr>
              <w:spacing w:after="0"/>
              <w:rPr>
                <w:sz w:val="15"/>
                <w:szCs w:val="15"/>
                <w:color w:val="auto"/>
              </w:rPr>
            </w:pPr>
          </w:p>
        </w:tc>
      </w:tr>
      <w:tr>
        <w:trPr>
          <w:trHeight w:val="315"/>
        </w:trPr>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6"/>
        </w:trPr>
        <w:tc>
          <w:tcPr>
            <w:tcW w:w="1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515"/>
        </w:trPr>
        <w:tc>
          <w:tcPr>
            <w:tcW w:w="12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w:t>
            </w:r>
          </w:p>
        </w:tc>
        <w:tc>
          <w:tcPr>
            <w:tcW w:w="3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25, 2026</w:t>
            </w: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Joshua Reed</w:t>
            </w:r>
          </w:p>
        </w:tc>
      </w:tr>
      <w:tr>
        <w:trPr>
          <w:trHeight w:val="177"/>
        </w:trPr>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Joshua Reed</w:t>
            </w:r>
          </w:p>
        </w:tc>
        <w:tc>
          <w:tcPr>
            <w:tcW w:w="520" w:type="dxa"/>
            <w:vAlign w:val="bottom"/>
          </w:tcPr>
          <w:p>
            <w:pPr>
              <w:spacing w:after="0"/>
              <w:rPr>
                <w:sz w:val="15"/>
                <w:szCs w:val="15"/>
                <w:color w:val="auto"/>
              </w:rPr>
            </w:pPr>
          </w:p>
        </w:tc>
      </w:tr>
      <w:tr>
        <w:trPr>
          <w:trHeight w:val="315"/>
        </w:trPr>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r>
      <w:tr>
        <w:trPr>
          <w:trHeight w:val="186"/>
        </w:trPr>
        <w:tc>
          <w:tcPr>
            <w:tcW w:w="1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1119"/>
        </w:trPr>
        <w:tc>
          <w:tcPr>
            <w:tcW w:w="12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62" w:name="page163"/>
    <w:bookmarkEnd w:id="1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lowerRoman"/>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2"/>
    </w:lvl>
  </w:abstractNum>
  <w:abstractNum w:abstractNumId="24">
    <w:nsid w:val="70C6A529"/>
    <w:multiLevelType w:val="hybridMultilevel"/>
    <w:lvl w:ilvl="0">
      <w:lvlJc w:val="left"/>
      <w:lvlText w:val="\endash "/>
      <w:numFmt w:val="bullet"/>
      <w:start w:val="1"/>
    </w:lvl>
  </w:abstractNum>
  <w:abstractNum w:abstractNumId="25">
    <w:nsid w:val="520EEDD1"/>
    <w:multiLevelType w:val="hybridMultilevel"/>
    <w:lvl w:ilvl="0">
      <w:lvlJc w:val="left"/>
      <w:lvlText w:val="%1"/>
      <w:numFmt w:val="decimal"/>
      <w:start w:val="104"/>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3"/>
    </w:lvl>
  </w:abstractNum>
  <w:abstractNum w:abstractNumId="41">
    <w:nsid w:val="3F6AB60F"/>
    <w:multiLevelType w:val="hybridMultilevel"/>
    <w:lvl w:ilvl="0">
      <w:lvlJc w:val="left"/>
      <w:lvlText w:val="%1."/>
      <w:numFmt w:val="decimal"/>
      <w:start w:val="14"/>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8"/>
    </w:lvl>
  </w:abstractNum>
  <w:abstractNum w:abstractNumId="47">
    <w:nsid w:val="5FF87E05"/>
    <w:multiLevelType w:val="hybridMultilevel"/>
    <w:lvl w:ilvl="0">
      <w:lvlJc w:val="left"/>
      <w:lvlText w:val="%1"/>
      <w:numFmt w:val="decimal"/>
      <w:start w:val="1"/>
    </w:lvl>
    <w:lvl w:ilvl="1">
      <w:lvlJc w:val="left"/>
      <w:lvlText w:val="(%2)"/>
      <w:numFmt w:val="decimal"/>
      <w:start w:val="1"/>
    </w:lvl>
  </w:abstractNum>
  <w:abstractNum w:abstractNumId="48">
    <w:nsid w:val="2F305DEF"/>
    <w:multiLevelType w:val="hybridMultilevel"/>
    <w:lvl w:ilvl="0">
      <w:lvlJc w:val="left"/>
      <w:lvlText w:val="%1."/>
      <w:numFmt w:val="decimal"/>
      <w:start w:val="19"/>
    </w:lvl>
    <w:lvl w:ilvl="1">
      <w:lvlJc w:val="left"/>
      <w:lvlText w:val="%2"/>
      <w:numFmt w:val="decimal"/>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5"/>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lowerLetter"/>
      <w:start w:val="6"/>
    </w:lvl>
  </w:abstractNum>
  <w:abstractNum w:abstractNumId="55">
    <w:nsid w:val="100F8FCA"/>
    <w:multiLevelType w:val="hybridMultilevel"/>
    <w:lvl w:ilvl="0">
      <w:lvlJc w:val="left"/>
      <w:lvlText w:val="%1)"/>
      <w:numFmt w:val="lowerLetter"/>
      <w:start w:val="1"/>
    </w:lvl>
    <w:lvl w:ilvl="1">
      <w:lvlJc w:val="left"/>
      <w:lvlText w:val="%2."/>
      <w:numFmt w:val="decimal"/>
      <w:start w:val="1"/>
    </w:lvl>
  </w:abstractNum>
  <w:abstractNum w:abstractNumId="56">
    <w:nsid w:val="6590700B"/>
    <w:multiLevelType w:val="hybridMultilevel"/>
    <w:lvl w:ilvl="0">
      <w:lvlJc w:val="left"/>
      <w:lvlText w:val="(%1)"/>
      <w:numFmt w:val="lowerLetter"/>
      <w:start w:val="1"/>
    </w:lvl>
    <w:lvl w:ilvl="1">
      <w:lvlJc w:val="left"/>
      <w:lvlText w:val="(%2)"/>
      <w:numFmt w:val="lowerRoman"/>
      <w:start w:val="1"/>
    </w:lvl>
  </w:abstractNum>
  <w:abstractNum w:abstractNumId="57">
    <w:nsid w:val="15014ACB"/>
    <w:multiLevelType w:val="hybridMultilevel"/>
    <w:lvl w:ilvl="0">
      <w:lvlJc w:val="left"/>
      <w:lvlText w:val="(%1)"/>
      <w:numFmt w:val="lowerRoman"/>
      <w:start w:val="5"/>
    </w:lvl>
  </w:abstractNum>
  <w:abstractNum w:abstractNumId="58">
    <w:nsid w:val="5F5E7FD0"/>
    <w:multiLevelType w:val="hybridMultilevel"/>
    <w:lvl w:ilvl="0">
      <w:lvlJc w:val="left"/>
      <w:lvlText w:val="(%1)"/>
      <w:numFmt w:val="lowerLetter"/>
      <w:start w:val="3"/>
    </w:lvl>
  </w:abstractNum>
  <w:abstractNum w:abstractNumId="59">
    <w:nsid w:val="98A3148"/>
    <w:multiLevelType w:val="hybridMultilevel"/>
    <w:lvl w:ilvl="0">
      <w:lvlJc w:val="left"/>
      <w:lvlText w:val="(%1)"/>
      <w:numFmt w:val="lowerLetter"/>
      <w:start w:val="7"/>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4"/>
    </w:lvl>
    <w:lvl w:ilvl="1">
      <w:lvlJc w:val="left"/>
      <w:lvlText w:val="(%2)"/>
      <w:numFmt w:val="lowerRoman"/>
      <w:start w:val="1"/>
    </w:lvl>
  </w:abstractNum>
  <w:abstractNum w:abstractNumId="62">
    <w:nsid w:val="42C296BD"/>
    <w:multiLevelType w:val="hybridMultilevel"/>
    <w:lvl w:ilvl="0">
      <w:lvlJc w:val="left"/>
      <w:lvlText w:val="%1"/>
      <w:numFmt w:val="lowerLetter"/>
      <w:start w:val="1"/>
    </w:lvl>
    <w:lvl w:ilvl="1">
      <w:lvlJc w:val="left"/>
      <w:lvlText w:val="(%2)"/>
      <w:numFmt w:val="lowerRoman"/>
      <w:start w:val="4"/>
    </w:lvl>
  </w:abstractNum>
  <w:abstractNum w:abstractNumId="63">
    <w:nsid w:val="168E121F"/>
    <w:multiLevelType w:val="hybridMultilevel"/>
    <w:lvl w:ilvl="0">
      <w:lvlJc w:val="left"/>
      <w:lvlText w:val="(%1)"/>
      <w:numFmt w:val="lowerLetter"/>
      <w:start w:val="5"/>
    </w:lvl>
    <w:lvl w:ilvl="1">
      <w:lvlJc w:val="left"/>
      <w:lvlText w:val="%2"/>
      <w:numFmt w:val="lowerRoman"/>
      <w:start w:val="1"/>
    </w:lvl>
  </w:abstractNum>
  <w:abstractNum w:abstractNumId="64">
    <w:nsid w:val="1EBA5D23"/>
    <w:multiLevelType w:val="hybridMultilevel"/>
    <w:lvl w:ilvl="0">
      <w:lvlJc w:val="left"/>
      <w:lvlText w:val="(%1)"/>
      <w:numFmt w:val="lowerLetter"/>
      <w:start w:val="1"/>
    </w:lvl>
    <w:lvl w:ilvl="1">
      <w:lvlJc w:val="left"/>
      <w:lvlText w:val="(%2)"/>
      <w:numFmt w:val="lowerRoman"/>
      <w:start w:val="1"/>
    </w:lvl>
  </w:abstractNum>
  <w:abstractNum w:abstractNumId="65">
    <w:nsid w:val="661E3F1E"/>
    <w:multiLevelType w:val="hybridMultilevel"/>
    <w:lvl w:ilvl="0">
      <w:lvlJc w:val="left"/>
      <w:lvlText w:val="(%1)"/>
      <w:numFmt w:val="lowerRoman"/>
      <w:start w:val="3"/>
    </w:lvl>
    <w:lvl w:ilvl="1">
      <w:lvlJc w:val="left"/>
      <w:lvlText w:val="(%2)"/>
      <w:numFmt w:val="upperLetter"/>
      <w:start w:val="1"/>
    </w:lvl>
  </w:abstractNum>
  <w:abstractNum w:abstractNumId="66">
    <w:nsid w:val="5DC79EA8"/>
    <w:multiLevelType w:val="hybridMultilevel"/>
    <w:lvl w:ilvl="0">
      <w:lvlJc w:val="left"/>
      <w:lvlText w:val="(%1)"/>
      <w:numFmt w:val="lowerRoman"/>
      <w:start w:val="5"/>
    </w:lvl>
  </w:abstractNum>
  <w:abstractNum w:abstractNumId="67">
    <w:nsid w:val="540A471C"/>
    <w:multiLevelType w:val="hybridMultilevel"/>
    <w:lvl w:ilvl="0">
      <w:lvlJc w:val="left"/>
      <w:lvlText w:val="(%1)"/>
      <w:numFmt w:val="lowerRoman"/>
      <w:start w:val="6"/>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20" Type="http://schemas.openxmlformats.org/officeDocument/2006/relationships/image" Target="media/image278.png"/><Relationship Id="rId321"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24"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4" Type="http://schemas.openxmlformats.org/officeDocument/2006/relationships/image" Target="media/image289.png"/><Relationship Id="rId335"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1" Type="http://schemas.openxmlformats.org/officeDocument/2006/relationships/image" Target="media/image294.png"/><Relationship Id="rId342" Type="http://schemas.openxmlformats.org/officeDocument/2006/relationships/image" Target="media/image295.png"/><Relationship Id="rId343" Type="http://schemas.openxmlformats.org/officeDocument/2006/relationships/image" Target="media/image296.png"/><Relationship Id="rId344"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9" Type="http://schemas.openxmlformats.org/officeDocument/2006/relationships/image" Target="media/image300.png"/><Relationship Id="rId350" Type="http://schemas.openxmlformats.org/officeDocument/2006/relationships/image" Target="media/image301.png"/><Relationship Id="rId351"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2" Type="http://schemas.openxmlformats.org/officeDocument/2006/relationships/image" Target="media/image309.png"/><Relationship Id="rId363" Type="http://schemas.openxmlformats.org/officeDocument/2006/relationships/image" Target="media/image310.png"/><Relationship Id="rId364" Type="http://schemas.openxmlformats.org/officeDocument/2006/relationships/image" Target="media/image311.png"/><Relationship Id="rId366" Type="http://schemas.openxmlformats.org/officeDocument/2006/relationships/image" Target="media/image312.png"/><Relationship Id="rId367" Type="http://schemas.openxmlformats.org/officeDocument/2006/relationships/image" Target="media/image313.png"/><Relationship Id="rId368"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5" Type="http://schemas.openxmlformats.org/officeDocument/2006/relationships/image" Target="media/image327.png"/><Relationship Id="rId386" Type="http://schemas.openxmlformats.org/officeDocument/2006/relationships/image" Target="media/image328.png"/><Relationship Id="rId387" Type="http://schemas.openxmlformats.org/officeDocument/2006/relationships/image" Target="media/image329.png"/><Relationship Id="rId389" Type="http://schemas.openxmlformats.org/officeDocument/2006/relationships/image" Target="media/image330.png"/><Relationship Id="rId390" Type="http://schemas.openxmlformats.org/officeDocument/2006/relationships/image" Target="media/image331.png"/><Relationship Id="rId391" Type="http://schemas.openxmlformats.org/officeDocument/2006/relationships/image" Target="media/image332.png"/><Relationship Id="rId393" Type="http://schemas.openxmlformats.org/officeDocument/2006/relationships/image" Target="media/image333.png"/><Relationship Id="rId394" Type="http://schemas.openxmlformats.org/officeDocument/2006/relationships/image" Target="media/image334.png"/><Relationship Id="rId395" Type="http://schemas.openxmlformats.org/officeDocument/2006/relationships/image" Target="media/image335.png"/><Relationship Id="rId397" Type="http://schemas.openxmlformats.org/officeDocument/2006/relationships/image" Target="media/image336.png"/><Relationship Id="rId398" Type="http://schemas.openxmlformats.org/officeDocument/2006/relationships/image" Target="media/image337.png"/><Relationship Id="rId399" Type="http://schemas.openxmlformats.org/officeDocument/2006/relationships/image" Target="media/image338.png"/><Relationship Id="rId401" Type="http://schemas.openxmlformats.org/officeDocument/2006/relationships/image" Target="media/image339.png"/><Relationship Id="rId402" Type="http://schemas.openxmlformats.org/officeDocument/2006/relationships/image" Target="media/image340.png"/><Relationship Id="rId403" Type="http://schemas.openxmlformats.org/officeDocument/2006/relationships/image" Target="media/image341.png"/><Relationship Id="rId405" Type="http://schemas.openxmlformats.org/officeDocument/2006/relationships/image" Target="media/image342.png"/><Relationship Id="rId406" Type="http://schemas.openxmlformats.org/officeDocument/2006/relationships/image" Target="media/image343.png"/><Relationship Id="rId408" Type="http://schemas.openxmlformats.org/officeDocument/2006/relationships/image" Target="media/image344.png"/><Relationship Id="rId409" Type="http://schemas.openxmlformats.org/officeDocument/2006/relationships/image" Target="media/image345.png"/><Relationship Id="rId410" Type="http://schemas.openxmlformats.org/officeDocument/2006/relationships/image" Target="media/image346.png"/><Relationship Id="rId412" Type="http://schemas.openxmlformats.org/officeDocument/2006/relationships/image" Target="media/image347.png"/><Relationship Id="rId413" Type="http://schemas.openxmlformats.org/officeDocument/2006/relationships/image" Target="media/image348.png"/><Relationship Id="rId414" Type="http://schemas.openxmlformats.org/officeDocument/2006/relationships/image" Target="media/image349.png"/><Relationship Id="rId416" Type="http://schemas.openxmlformats.org/officeDocument/2006/relationships/image" Target="media/image350.png"/><Relationship Id="rId417" Type="http://schemas.openxmlformats.org/officeDocument/2006/relationships/image" Target="media/image351.png"/><Relationship Id="rId418" Type="http://schemas.openxmlformats.org/officeDocument/2006/relationships/image" Target="media/image352.png"/><Relationship Id="rId420" Type="http://schemas.openxmlformats.org/officeDocument/2006/relationships/image" Target="media/image353.png"/><Relationship Id="rId421" Type="http://schemas.openxmlformats.org/officeDocument/2006/relationships/image" Target="media/image354.png"/><Relationship Id="rId422" Type="http://schemas.openxmlformats.org/officeDocument/2006/relationships/image" Target="media/image355.png"/><Relationship Id="rId424" Type="http://schemas.openxmlformats.org/officeDocument/2006/relationships/image" Target="media/image356.png"/><Relationship Id="rId425" Type="http://schemas.openxmlformats.org/officeDocument/2006/relationships/image" Target="media/image357.png"/><Relationship Id="rId426" Type="http://schemas.openxmlformats.org/officeDocument/2006/relationships/image" Target="media/image358.png"/><Relationship Id="rId427" Type="http://schemas.openxmlformats.org/officeDocument/2006/relationships/image" Target="media/image359.png"/><Relationship Id="rId428" Type="http://schemas.openxmlformats.org/officeDocument/2006/relationships/image" Target="media/image360.png"/><Relationship Id="rId430" Type="http://schemas.openxmlformats.org/officeDocument/2006/relationships/image" Target="media/image361.png"/><Relationship Id="rId431" Type="http://schemas.openxmlformats.org/officeDocument/2006/relationships/image" Target="media/image362.png"/><Relationship Id="rId432" Type="http://schemas.openxmlformats.org/officeDocument/2006/relationships/image" Target="media/image363.png"/><Relationship Id="rId434" Type="http://schemas.openxmlformats.org/officeDocument/2006/relationships/image" Target="media/image364.png"/><Relationship Id="rId435" Type="http://schemas.openxmlformats.org/officeDocument/2006/relationships/image" Target="media/image365.png"/><Relationship Id="rId436" Type="http://schemas.openxmlformats.org/officeDocument/2006/relationships/image" Target="media/image366.png"/><Relationship Id="rId438" Type="http://schemas.openxmlformats.org/officeDocument/2006/relationships/image" Target="media/image367.png"/><Relationship Id="rId439" Type="http://schemas.openxmlformats.org/officeDocument/2006/relationships/image" Target="media/image368.png"/><Relationship Id="rId440" Type="http://schemas.openxmlformats.org/officeDocument/2006/relationships/image" Target="media/image369.png"/><Relationship Id="rId442" Type="http://schemas.openxmlformats.org/officeDocument/2006/relationships/image" Target="media/image370.png"/><Relationship Id="rId443" Type="http://schemas.openxmlformats.org/officeDocument/2006/relationships/image" Target="media/image371.png"/><Relationship Id="rId444" Type="http://schemas.openxmlformats.org/officeDocument/2006/relationships/image" Target="media/image372.png"/><Relationship Id="rId445" Type="http://schemas.openxmlformats.org/officeDocument/2006/relationships/image" Target="media/image373.png"/><Relationship Id="rId446" Type="http://schemas.openxmlformats.org/officeDocument/2006/relationships/image" Target="media/image374.png"/><Relationship Id="rId459" Type="http://schemas.openxmlformats.org/officeDocument/2006/relationships/image" Target="media/image375.png"/><Relationship Id="rId460" Type="http://schemas.openxmlformats.org/officeDocument/2006/relationships/image" Target="media/image376.png"/><Relationship Id="rId462" Type="http://schemas.openxmlformats.org/officeDocument/2006/relationships/image" Target="media/image377.png"/><Relationship Id="rId463" Type="http://schemas.openxmlformats.org/officeDocument/2006/relationships/image" Target="media/image378.png"/><Relationship Id="rId464" Type="http://schemas.openxmlformats.org/officeDocument/2006/relationships/image" Target="media/image379.png"/><Relationship Id="rId465" Type="http://schemas.openxmlformats.org/officeDocument/2006/relationships/image" Target="media/image380.png"/><Relationship Id="rId466" Type="http://schemas.openxmlformats.org/officeDocument/2006/relationships/image" Target="media/image381.png"/><Relationship Id="rId467" Type="http://schemas.openxmlformats.org/officeDocument/2006/relationships/image" Target="media/image382.png"/><Relationship Id="rId468" Type="http://schemas.openxmlformats.org/officeDocument/2006/relationships/image" Target="media/image383.png"/><Relationship Id="rId469" Type="http://schemas.openxmlformats.org/officeDocument/2006/relationships/image" Target="media/image384.png"/><Relationship Id="rId470" Type="http://schemas.openxmlformats.org/officeDocument/2006/relationships/image" Target="media/image385.png"/><Relationship Id="rId471" Type="http://schemas.openxmlformats.org/officeDocument/2006/relationships/image" Target="media/image386.png"/><Relationship Id="rId472" Type="http://schemas.openxmlformats.org/officeDocument/2006/relationships/image" Target="media/image387.png"/><Relationship Id="rId473" Type="http://schemas.openxmlformats.org/officeDocument/2006/relationships/image" Target="media/image388.png"/><Relationship Id="rId474" Type="http://schemas.openxmlformats.org/officeDocument/2006/relationships/image" Target="media/image389.png"/><Relationship Id="rId475" Type="http://schemas.openxmlformats.org/officeDocument/2006/relationships/image" Target="media/image390.png"/><Relationship Id="rId476" Type="http://schemas.openxmlformats.org/officeDocument/2006/relationships/image" Target="media/image391.png"/><Relationship Id="rId477" Type="http://schemas.openxmlformats.org/officeDocument/2006/relationships/image" Target="media/image392.png"/><Relationship Id="rId478" Type="http://schemas.openxmlformats.org/officeDocument/2006/relationships/image" Target="media/image393.png"/><Relationship Id="rId479" Type="http://schemas.openxmlformats.org/officeDocument/2006/relationships/image" Target="media/image394.png"/><Relationship Id="rId480" Type="http://schemas.openxmlformats.org/officeDocument/2006/relationships/image" Target="media/image395.png"/><Relationship Id="rId481" Type="http://schemas.openxmlformats.org/officeDocument/2006/relationships/image" Target="media/image396.png"/><Relationship Id="rId482" Type="http://schemas.openxmlformats.org/officeDocument/2006/relationships/image" Target="media/image397.png"/><Relationship Id="rId483" Type="http://schemas.openxmlformats.org/officeDocument/2006/relationships/image" Target="media/image398.png"/><Relationship Id="rId484" Type="http://schemas.openxmlformats.org/officeDocument/2006/relationships/image" Target="media/image399.png"/><Relationship Id="rId485" Type="http://schemas.openxmlformats.org/officeDocument/2006/relationships/image" Target="media/image400.png"/><Relationship Id="rId486" Type="http://schemas.openxmlformats.org/officeDocument/2006/relationships/image" Target="media/image401.png"/><Relationship Id="rId487" Type="http://schemas.openxmlformats.org/officeDocument/2006/relationships/image" Target="media/image402.png"/><Relationship Id="rId488" Type="http://schemas.openxmlformats.org/officeDocument/2006/relationships/image" Target="media/image403.png"/><Relationship Id="rId489" Type="http://schemas.openxmlformats.org/officeDocument/2006/relationships/image" Target="media/image404.png"/><Relationship Id="rId490" Type="http://schemas.openxmlformats.org/officeDocument/2006/relationships/image" Target="media/image405.png"/><Relationship Id="rId491" Type="http://schemas.openxmlformats.org/officeDocument/2006/relationships/image" Target="media/image406.png"/><Relationship Id="rId492" Type="http://schemas.openxmlformats.org/officeDocument/2006/relationships/image" Target="media/image407.png"/><Relationship Id="rId493" Type="http://schemas.openxmlformats.org/officeDocument/2006/relationships/image" Target="media/image408.png"/><Relationship Id="rId494" Type="http://schemas.openxmlformats.org/officeDocument/2006/relationships/image" Target="media/image409.png"/><Relationship Id="rId495" Type="http://schemas.openxmlformats.org/officeDocument/2006/relationships/image" Target="media/image410.png"/><Relationship Id="rId496" Type="http://schemas.openxmlformats.org/officeDocument/2006/relationships/image" Target="media/image411.png"/><Relationship Id="rId497" Type="http://schemas.openxmlformats.org/officeDocument/2006/relationships/image" Target="media/image412.png"/><Relationship Id="rId498" Type="http://schemas.openxmlformats.org/officeDocument/2006/relationships/image" Target="media/image413.png"/><Relationship Id="rId499" Type="http://schemas.openxmlformats.org/officeDocument/2006/relationships/image" Target="media/image414.png"/><Relationship Id="rId500" Type="http://schemas.openxmlformats.org/officeDocument/2006/relationships/image" Target="media/image415.png"/><Relationship Id="rId501" Type="http://schemas.openxmlformats.org/officeDocument/2006/relationships/image" Target="media/image416.png"/><Relationship Id="rId502" Type="http://schemas.openxmlformats.org/officeDocument/2006/relationships/image" Target="media/image417.png"/><Relationship Id="rId503" Type="http://schemas.openxmlformats.org/officeDocument/2006/relationships/image" Target="media/image418.png"/><Relationship Id="rId504" Type="http://schemas.openxmlformats.org/officeDocument/2006/relationships/image" Target="media/image419.png"/><Relationship Id="rId505" Type="http://schemas.openxmlformats.org/officeDocument/2006/relationships/image" Target="media/image420.png"/><Relationship Id="rId506" Type="http://schemas.openxmlformats.org/officeDocument/2006/relationships/image" Target="media/image421.png"/><Relationship Id="rId507" Type="http://schemas.openxmlformats.org/officeDocument/2006/relationships/image" Target="media/image422.png"/><Relationship Id="rId508" Type="http://schemas.openxmlformats.org/officeDocument/2006/relationships/image" Target="media/image423.png"/><Relationship Id="rId509" Type="http://schemas.openxmlformats.org/officeDocument/2006/relationships/image" Target="media/image424.png"/><Relationship Id="rId510" Type="http://schemas.openxmlformats.org/officeDocument/2006/relationships/image" Target="media/image425.png"/><Relationship Id="rId511" Type="http://schemas.openxmlformats.org/officeDocument/2006/relationships/image" Target="media/image426.png"/><Relationship Id="rId512" Type="http://schemas.openxmlformats.org/officeDocument/2006/relationships/image" Target="media/image427.png"/><Relationship Id="rId513" Type="http://schemas.openxmlformats.org/officeDocument/2006/relationships/image" Target="media/image428.png"/><Relationship Id="rId514" Type="http://schemas.openxmlformats.org/officeDocument/2006/relationships/image" Target="media/image429.png"/><Relationship Id="rId515" Type="http://schemas.openxmlformats.org/officeDocument/2006/relationships/image" Target="media/image430.png"/><Relationship Id="rId516" Type="http://schemas.openxmlformats.org/officeDocument/2006/relationships/image" Target="media/image431.png"/><Relationship Id="rId517" Type="http://schemas.openxmlformats.org/officeDocument/2006/relationships/image" Target="media/image432.png"/><Relationship Id="rId518" Type="http://schemas.openxmlformats.org/officeDocument/2006/relationships/image" Target="media/image433.png"/><Relationship Id="rId519" Type="http://schemas.openxmlformats.org/officeDocument/2006/relationships/image" Target="media/image434.png"/><Relationship Id="rId520" Type="http://schemas.openxmlformats.org/officeDocument/2006/relationships/image" Target="media/image435.png"/><Relationship Id="rId521" Type="http://schemas.openxmlformats.org/officeDocument/2006/relationships/image" Target="media/image436.png"/><Relationship Id="rId522" Type="http://schemas.openxmlformats.org/officeDocument/2006/relationships/image" Target="media/image437.png"/><Relationship Id="rId523" Type="http://schemas.openxmlformats.org/officeDocument/2006/relationships/image" Target="media/image438.png"/><Relationship Id="rId524" Type="http://schemas.openxmlformats.org/officeDocument/2006/relationships/image" Target="media/image439.png"/><Relationship Id="rId525" Type="http://schemas.openxmlformats.org/officeDocument/2006/relationships/image" Target="media/image440.png"/><Relationship Id="rId526" Type="http://schemas.openxmlformats.org/officeDocument/2006/relationships/image" Target="media/image441.png"/><Relationship Id="rId527" Type="http://schemas.openxmlformats.org/officeDocument/2006/relationships/image" Target="media/image442.png"/><Relationship Id="rId528" Type="http://schemas.openxmlformats.org/officeDocument/2006/relationships/image" Target="media/image443.png"/><Relationship Id="rId529" Type="http://schemas.openxmlformats.org/officeDocument/2006/relationships/image" Target="media/image444.png"/><Relationship Id="rId530" Type="http://schemas.openxmlformats.org/officeDocument/2006/relationships/image" Target="media/image445.png"/><Relationship Id="rId531" Type="http://schemas.openxmlformats.org/officeDocument/2006/relationships/image" Target="media/image446.png"/><Relationship Id="rId532" Type="http://schemas.openxmlformats.org/officeDocument/2006/relationships/image" Target="media/image447.png"/><Relationship Id="rId533" Type="http://schemas.openxmlformats.org/officeDocument/2006/relationships/image" Target="media/image448.png"/><Relationship Id="rId534" Type="http://schemas.openxmlformats.org/officeDocument/2006/relationships/image" Target="media/image449.png"/><Relationship Id="rId535" Type="http://schemas.openxmlformats.org/officeDocument/2006/relationships/image" Target="media/image450.png"/><Relationship Id="rId536" Type="http://schemas.openxmlformats.org/officeDocument/2006/relationships/image" Target="media/image451.png"/><Relationship Id="rId537" Type="http://schemas.openxmlformats.org/officeDocument/2006/relationships/image" Target="media/image452.png"/><Relationship Id="rId538" Type="http://schemas.openxmlformats.org/officeDocument/2006/relationships/image" Target="media/image453.png"/><Relationship Id="rId539" Type="http://schemas.openxmlformats.org/officeDocument/2006/relationships/image" Target="media/image454.png"/><Relationship Id="rId540" Type="http://schemas.openxmlformats.org/officeDocument/2006/relationships/image" Target="media/image455.png"/><Relationship Id="rId541" Type="http://schemas.openxmlformats.org/officeDocument/2006/relationships/image" Target="media/image456.png"/><Relationship Id="rId542" Type="http://schemas.openxmlformats.org/officeDocument/2006/relationships/image" Target="media/image457.png"/><Relationship Id="rId543" Type="http://schemas.openxmlformats.org/officeDocument/2006/relationships/image" Target="media/image458.png"/><Relationship Id="rId544" Type="http://schemas.openxmlformats.org/officeDocument/2006/relationships/image" Target="media/image459.png"/><Relationship Id="rId545" Type="http://schemas.openxmlformats.org/officeDocument/2006/relationships/image" Target="media/image460.png"/><Relationship Id="rId546" Type="http://schemas.openxmlformats.org/officeDocument/2006/relationships/image" Target="media/image461.png"/><Relationship Id="rId547" Type="http://schemas.openxmlformats.org/officeDocument/2006/relationships/image" Target="media/image462.png"/><Relationship Id="rId548" Type="http://schemas.openxmlformats.org/officeDocument/2006/relationships/image" Target="media/image463.png"/><Relationship Id="rId549" Type="http://schemas.openxmlformats.org/officeDocument/2006/relationships/image" Target="media/image464.png"/><Relationship Id="rId550" Type="http://schemas.openxmlformats.org/officeDocument/2006/relationships/image" Target="media/image465.png"/><Relationship Id="rId551" Type="http://schemas.openxmlformats.org/officeDocument/2006/relationships/image" Target="media/image466.png"/><Relationship Id="rId552" Type="http://schemas.openxmlformats.org/officeDocument/2006/relationships/image" Target="media/image467.png"/><Relationship Id="rId553" Type="http://schemas.openxmlformats.org/officeDocument/2006/relationships/image" Target="media/image468.png"/><Relationship Id="rId554" Type="http://schemas.openxmlformats.org/officeDocument/2006/relationships/image" Target="media/image469.png"/><Relationship Id="rId555" Type="http://schemas.openxmlformats.org/officeDocument/2006/relationships/image" Target="media/image470.png"/><Relationship Id="rId556" Type="http://schemas.openxmlformats.org/officeDocument/2006/relationships/image" Target="media/image471.png"/><Relationship Id="rId557" Type="http://schemas.openxmlformats.org/officeDocument/2006/relationships/image" Target="media/image472.png"/><Relationship Id="rId558" Type="http://schemas.openxmlformats.org/officeDocument/2006/relationships/image" Target="media/image473.png"/><Relationship Id="rId559" Type="http://schemas.openxmlformats.org/officeDocument/2006/relationships/image" Target="media/image474.png"/><Relationship Id="rId560" Type="http://schemas.openxmlformats.org/officeDocument/2006/relationships/image" Target="media/image475.png"/><Relationship Id="rId561" Type="http://schemas.openxmlformats.org/officeDocument/2006/relationships/image" Target="media/image476.png"/><Relationship Id="rId562" Type="http://schemas.openxmlformats.org/officeDocument/2006/relationships/image" Target="media/image477.png"/><Relationship Id="rId563" Type="http://schemas.openxmlformats.org/officeDocument/2006/relationships/image" Target="media/image478.png"/><Relationship Id="rId564" Type="http://schemas.openxmlformats.org/officeDocument/2006/relationships/image" Target="media/image479.png"/><Relationship Id="rId565" Type="http://schemas.openxmlformats.org/officeDocument/2006/relationships/image" Target="media/image480.png"/><Relationship Id="rId566" Type="http://schemas.openxmlformats.org/officeDocument/2006/relationships/image" Target="media/image481.png"/><Relationship Id="rId567" Type="http://schemas.openxmlformats.org/officeDocument/2006/relationships/image" Target="media/image482.png"/><Relationship Id="rId568" Type="http://schemas.openxmlformats.org/officeDocument/2006/relationships/image" Target="media/image483.png"/><Relationship Id="rId569" Type="http://schemas.openxmlformats.org/officeDocument/2006/relationships/image" Target="media/image484.png"/><Relationship Id="rId570" Type="http://schemas.openxmlformats.org/officeDocument/2006/relationships/image" Target="media/image485.png"/><Relationship Id="rId571" Type="http://schemas.openxmlformats.org/officeDocument/2006/relationships/image" Target="media/image486.png"/><Relationship Id="rId572" Type="http://schemas.openxmlformats.org/officeDocument/2006/relationships/image" Target="media/image487.png"/><Relationship Id="rId573" Type="http://schemas.openxmlformats.org/officeDocument/2006/relationships/image" Target="media/image488.png"/><Relationship Id="rId574" Type="http://schemas.openxmlformats.org/officeDocument/2006/relationships/image" Target="media/image489.png"/><Relationship Id="rId575" Type="http://schemas.openxmlformats.org/officeDocument/2006/relationships/image" Target="media/image490.png"/><Relationship Id="rId576" Type="http://schemas.openxmlformats.org/officeDocument/2006/relationships/image" Target="media/image491.png"/><Relationship Id="rId577" Type="http://schemas.openxmlformats.org/officeDocument/2006/relationships/image" Target="media/image492.png"/><Relationship Id="rId578" Type="http://schemas.openxmlformats.org/officeDocument/2006/relationships/image" Target="media/image493.png"/><Relationship Id="rId579" Type="http://schemas.openxmlformats.org/officeDocument/2006/relationships/image" Target="media/image494.png"/><Relationship Id="rId580" Type="http://schemas.openxmlformats.org/officeDocument/2006/relationships/image" Target="media/image495.png"/><Relationship Id="rId581" Type="http://schemas.openxmlformats.org/officeDocument/2006/relationships/image" Target="media/image496.png"/><Relationship Id="rId582" Type="http://schemas.openxmlformats.org/officeDocument/2006/relationships/image" Target="media/image497.png"/><Relationship Id="rId583" Type="http://schemas.openxmlformats.org/officeDocument/2006/relationships/image" Target="media/image498.png"/><Relationship Id="rId584" Type="http://schemas.openxmlformats.org/officeDocument/2006/relationships/image" Target="media/image499.png"/><Relationship Id="rId585" Type="http://schemas.openxmlformats.org/officeDocument/2006/relationships/image" Target="media/image500.png"/><Relationship Id="rId586" Type="http://schemas.openxmlformats.org/officeDocument/2006/relationships/image" Target="media/image501.png"/><Relationship Id="rId587" Type="http://schemas.openxmlformats.org/officeDocument/2006/relationships/image" Target="media/image502.png"/><Relationship Id="rId588" Type="http://schemas.openxmlformats.org/officeDocument/2006/relationships/image" Target="media/image503.png"/><Relationship Id="rId589" Type="http://schemas.openxmlformats.org/officeDocument/2006/relationships/image" Target="media/image504.png"/><Relationship Id="rId590" Type="http://schemas.openxmlformats.org/officeDocument/2006/relationships/image" Target="media/image505.png"/><Relationship Id="rId591" Type="http://schemas.openxmlformats.org/officeDocument/2006/relationships/image" Target="media/image506.png"/><Relationship Id="rId592" Type="http://schemas.openxmlformats.org/officeDocument/2006/relationships/image" Target="media/image507.png"/><Relationship Id="rId593" Type="http://schemas.openxmlformats.org/officeDocument/2006/relationships/image" Target="media/image508.png"/><Relationship Id="rId594" Type="http://schemas.openxmlformats.org/officeDocument/2006/relationships/image" Target="media/image509.png"/><Relationship Id="rId595" Type="http://schemas.openxmlformats.org/officeDocument/2006/relationships/image" Target="media/image510.png"/><Relationship Id="rId596" Type="http://schemas.openxmlformats.org/officeDocument/2006/relationships/image" Target="media/image511.png"/><Relationship Id="rId597" Type="http://schemas.openxmlformats.org/officeDocument/2006/relationships/image" Target="media/image512.png"/><Relationship Id="rId598" Type="http://schemas.openxmlformats.org/officeDocument/2006/relationships/image" Target="media/image513.png"/><Relationship Id="rId599" Type="http://schemas.openxmlformats.org/officeDocument/2006/relationships/image" Target="media/image514.png"/><Relationship Id="rId600" Type="http://schemas.openxmlformats.org/officeDocument/2006/relationships/image" Target="media/image515.png"/><Relationship Id="rId601" Type="http://schemas.openxmlformats.org/officeDocument/2006/relationships/image" Target="media/image516.png"/><Relationship Id="rId602" Type="http://schemas.openxmlformats.org/officeDocument/2006/relationships/image" Target="media/image517.png"/><Relationship Id="rId603" Type="http://schemas.openxmlformats.org/officeDocument/2006/relationships/image" Target="media/image518.png"/><Relationship Id="rId604" Type="http://schemas.openxmlformats.org/officeDocument/2006/relationships/image" Target="media/image519.png"/><Relationship Id="rId605" Type="http://schemas.openxmlformats.org/officeDocument/2006/relationships/image" Target="media/image520.png"/><Relationship Id="rId606" Type="http://schemas.openxmlformats.org/officeDocument/2006/relationships/image" Target="media/image521.png"/><Relationship Id="rId607" Type="http://schemas.openxmlformats.org/officeDocument/2006/relationships/image" Target="media/image522.png"/><Relationship Id="rId608" Type="http://schemas.openxmlformats.org/officeDocument/2006/relationships/image" Target="media/image523.png"/><Relationship Id="rId609" Type="http://schemas.openxmlformats.org/officeDocument/2006/relationships/image" Target="media/image524.png"/><Relationship Id="rId610" Type="http://schemas.openxmlformats.org/officeDocument/2006/relationships/image" Target="media/image525.png"/><Relationship Id="rId611" Type="http://schemas.openxmlformats.org/officeDocument/2006/relationships/image" Target="media/image526.png"/><Relationship Id="rId612" Type="http://schemas.openxmlformats.org/officeDocument/2006/relationships/image" Target="media/image527.png"/><Relationship Id="rId613" Type="http://schemas.openxmlformats.org/officeDocument/2006/relationships/image" Target="media/image528.png"/><Relationship Id="rId614" Type="http://schemas.openxmlformats.org/officeDocument/2006/relationships/image" Target="media/image529.png"/><Relationship Id="rId615" Type="http://schemas.openxmlformats.org/officeDocument/2006/relationships/image" Target="media/image530.png"/><Relationship Id="rId616" Type="http://schemas.openxmlformats.org/officeDocument/2006/relationships/image" Target="media/image531.png"/><Relationship Id="rId617" Type="http://schemas.openxmlformats.org/officeDocument/2006/relationships/image" Target="media/image532.png"/><Relationship Id="rId618" Type="http://schemas.openxmlformats.org/officeDocument/2006/relationships/image" Target="media/image533.png"/><Relationship Id="rId619" Type="http://schemas.openxmlformats.org/officeDocument/2006/relationships/image" Target="media/image534.png"/><Relationship Id="rId620" Type="http://schemas.openxmlformats.org/officeDocument/2006/relationships/image" Target="media/image535.png"/><Relationship Id="rId621" Type="http://schemas.openxmlformats.org/officeDocument/2006/relationships/image" Target="media/image536.png"/><Relationship Id="rId622" Type="http://schemas.openxmlformats.org/officeDocument/2006/relationships/image" Target="media/image537.png"/><Relationship Id="rId623" Type="http://schemas.openxmlformats.org/officeDocument/2006/relationships/image" Target="media/image538.png"/><Relationship Id="rId624" Type="http://schemas.openxmlformats.org/officeDocument/2006/relationships/image" Target="media/image539.png"/><Relationship Id="rId625" Type="http://schemas.openxmlformats.org/officeDocument/2006/relationships/image" Target="media/image540.png"/><Relationship Id="rId626" Type="http://schemas.openxmlformats.org/officeDocument/2006/relationships/image" Target="media/image541.png"/><Relationship Id="rId627" Type="http://schemas.openxmlformats.org/officeDocument/2006/relationships/image" Target="media/image542.png"/><Relationship Id="rId628" Type="http://schemas.openxmlformats.org/officeDocument/2006/relationships/image" Target="media/image543.png"/><Relationship Id="rId629" Type="http://schemas.openxmlformats.org/officeDocument/2006/relationships/image" Target="media/image544.png"/><Relationship Id="rId630" Type="http://schemas.openxmlformats.org/officeDocument/2006/relationships/image" Target="media/image545.png"/><Relationship Id="rId631" Type="http://schemas.openxmlformats.org/officeDocument/2006/relationships/image" Target="media/image546.png"/><Relationship Id="rId632" Type="http://schemas.openxmlformats.org/officeDocument/2006/relationships/image" Target="media/image547.png"/><Relationship Id="rId633" Type="http://schemas.openxmlformats.org/officeDocument/2006/relationships/image" Target="media/image548.png"/><Relationship Id="rId634" Type="http://schemas.openxmlformats.org/officeDocument/2006/relationships/image" Target="media/image549.png"/><Relationship Id="rId635" Type="http://schemas.openxmlformats.org/officeDocument/2006/relationships/image" Target="media/image550.png"/><Relationship Id="rId636" Type="http://schemas.openxmlformats.org/officeDocument/2006/relationships/image" Target="media/image551.png"/><Relationship Id="rId637" Type="http://schemas.openxmlformats.org/officeDocument/2006/relationships/image" Target="media/image552.png"/><Relationship Id="rId638" Type="http://schemas.openxmlformats.org/officeDocument/2006/relationships/image" Target="media/image553.png"/><Relationship Id="rId639" Type="http://schemas.openxmlformats.org/officeDocument/2006/relationships/image" Target="media/image554.png"/><Relationship Id="rId640" Type="http://schemas.openxmlformats.org/officeDocument/2006/relationships/image" Target="media/image555.png"/><Relationship Id="rId641" Type="http://schemas.openxmlformats.org/officeDocument/2006/relationships/image" Target="media/image556.png"/><Relationship Id="rId642" Type="http://schemas.openxmlformats.org/officeDocument/2006/relationships/image" Target="media/image557.png"/><Relationship Id="rId643" Type="http://schemas.openxmlformats.org/officeDocument/2006/relationships/image" Target="media/image558.png"/><Relationship Id="rId644" Type="http://schemas.openxmlformats.org/officeDocument/2006/relationships/image" Target="media/image559.png"/><Relationship Id="rId645" Type="http://schemas.openxmlformats.org/officeDocument/2006/relationships/image" Target="media/image560.png"/><Relationship Id="rId646" Type="http://schemas.openxmlformats.org/officeDocument/2006/relationships/image" Target="media/image561.png"/><Relationship Id="rId647" Type="http://schemas.openxmlformats.org/officeDocument/2006/relationships/image" Target="media/image562.png"/><Relationship Id="rId648" Type="http://schemas.openxmlformats.org/officeDocument/2006/relationships/image" Target="media/image563.png"/><Relationship Id="rId649" Type="http://schemas.openxmlformats.org/officeDocument/2006/relationships/image" Target="media/image564.png"/><Relationship Id="rId650" Type="http://schemas.openxmlformats.org/officeDocument/2006/relationships/image" Target="media/image565.png"/><Relationship Id="rId651" Type="http://schemas.openxmlformats.org/officeDocument/2006/relationships/image" Target="media/image566.png"/><Relationship Id="rId652" Type="http://schemas.openxmlformats.org/officeDocument/2006/relationships/image" Target="media/image567.png"/><Relationship Id="rId653" Type="http://schemas.openxmlformats.org/officeDocument/2006/relationships/image" Target="media/image568.png"/><Relationship Id="rId654" Type="http://schemas.openxmlformats.org/officeDocument/2006/relationships/image" Target="media/image569.png"/><Relationship Id="rId655" Type="http://schemas.openxmlformats.org/officeDocument/2006/relationships/image" Target="media/image570.png"/><Relationship Id="rId656" Type="http://schemas.openxmlformats.org/officeDocument/2006/relationships/image" Target="media/image571.png"/><Relationship Id="rId657" Type="http://schemas.openxmlformats.org/officeDocument/2006/relationships/image" Target="media/image572.png"/><Relationship Id="rId658" Type="http://schemas.openxmlformats.org/officeDocument/2006/relationships/image" Target="media/image573.png"/><Relationship Id="rId659" Type="http://schemas.openxmlformats.org/officeDocument/2006/relationships/image" Target="media/image574.png"/><Relationship Id="rId660" Type="http://schemas.openxmlformats.org/officeDocument/2006/relationships/image" Target="media/image575.png"/><Relationship Id="rId661" Type="http://schemas.openxmlformats.org/officeDocument/2006/relationships/image" Target="media/image576.png"/><Relationship Id="rId662" Type="http://schemas.openxmlformats.org/officeDocument/2006/relationships/image" Target="media/image577.png"/><Relationship Id="rId663" Type="http://schemas.openxmlformats.org/officeDocument/2006/relationships/image" Target="media/image578.png"/><Relationship Id="rId664" Type="http://schemas.openxmlformats.org/officeDocument/2006/relationships/image" Target="media/image579.png"/><Relationship Id="rId665" Type="http://schemas.openxmlformats.org/officeDocument/2006/relationships/image" Target="media/image580.png"/><Relationship Id="rId666" Type="http://schemas.openxmlformats.org/officeDocument/2006/relationships/image" Target="media/image581.png"/><Relationship Id="rId667" Type="http://schemas.openxmlformats.org/officeDocument/2006/relationships/image" Target="media/image582.png"/><Relationship Id="rId668" Type="http://schemas.openxmlformats.org/officeDocument/2006/relationships/image" Target="media/image583.png"/><Relationship Id="rId669" Type="http://schemas.openxmlformats.org/officeDocument/2006/relationships/image" Target="media/image584.png"/><Relationship Id="rId670" Type="http://schemas.openxmlformats.org/officeDocument/2006/relationships/image" Target="media/image585.png"/><Relationship Id="rId671" Type="http://schemas.openxmlformats.org/officeDocument/2006/relationships/image" Target="media/image586.png"/><Relationship Id="rId672" Type="http://schemas.openxmlformats.org/officeDocument/2006/relationships/image" Target="media/image587.png"/><Relationship Id="rId673" Type="http://schemas.openxmlformats.org/officeDocument/2006/relationships/image" Target="media/image588.png"/><Relationship Id="rId674" Type="http://schemas.openxmlformats.org/officeDocument/2006/relationships/image" Target="media/image589.png"/><Relationship Id="rId675" Type="http://schemas.openxmlformats.org/officeDocument/2006/relationships/image" Target="media/image590.png"/><Relationship Id="rId676" Type="http://schemas.openxmlformats.org/officeDocument/2006/relationships/image" Target="media/image591.png"/><Relationship Id="rId677" Type="http://schemas.openxmlformats.org/officeDocument/2006/relationships/image" Target="media/image592.png"/><Relationship Id="rId678" Type="http://schemas.openxmlformats.org/officeDocument/2006/relationships/image" Target="media/image593.png"/><Relationship Id="rId679" Type="http://schemas.openxmlformats.org/officeDocument/2006/relationships/image" Target="media/image594.png"/><Relationship Id="rId680" Type="http://schemas.openxmlformats.org/officeDocument/2006/relationships/image" Target="media/image595.png"/><Relationship Id="rId681" Type="http://schemas.openxmlformats.org/officeDocument/2006/relationships/image" Target="media/image596.png"/><Relationship Id="rId682" Type="http://schemas.openxmlformats.org/officeDocument/2006/relationships/image" Target="media/image597.png"/><Relationship Id="rId683" Type="http://schemas.openxmlformats.org/officeDocument/2006/relationships/image" Target="media/image598.png"/><Relationship Id="rId684" Type="http://schemas.openxmlformats.org/officeDocument/2006/relationships/image" Target="media/image599.png"/><Relationship Id="rId685" Type="http://schemas.openxmlformats.org/officeDocument/2006/relationships/image" Target="media/image600.png"/><Relationship Id="rId686" Type="http://schemas.openxmlformats.org/officeDocument/2006/relationships/image" Target="media/image601.png"/><Relationship Id="rId687" Type="http://schemas.openxmlformats.org/officeDocument/2006/relationships/image" Target="media/image602.png"/><Relationship Id="rId688" Type="http://schemas.openxmlformats.org/officeDocument/2006/relationships/image" Target="media/image603.png"/><Relationship Id="rId689" Type="http://schemas.openxmlformats.org/officeDocument/2006/relationships/image" Target="media/image604.png"/><Relationship Id="rId690" Type="http://schemas.openxmlformats.org/officeDocument/2006/relationships/image" Target="media/image605.png"/><Relationship Id="rId691" Type="http://schemas.openxmlformats.org/officeDocument/2006/relationships/image" Target="media/image606.png"/><Relationship Id="rId692" Type="http://schemas.openxmlformats.org/officeDocument/2006/relationships/image" Target="media/image607.png"/><Relationship Id="rId693" Type="http://schemas.openxmlformats.org/officeDocument/2006/relationships/image" Target="media/image608.png"/><Relationship Id="rId694" Type="http://schemas.openxmlformats.org/officeDocument/2006/relationships/image" Target="media/image609.png"/><Relationship Id="rId695" Type="http://schemas.openxmlformats.org/officeDocument/2006/relationships/image" Target="media/image610.png"/><Relationship Id="rId696" Type="http://schemas.openxmlformats.org/officeDocument/2006/relationships/image" Target="media/image611.png"/><Relationship Id="rId697" Type="http://schemas.openxmlformats.org/officeDocument/2006/relationships/image" Target="media/image612.png"/><Relationship Id="rId698" Type="http://schemas.openxmlformats.org/officeDocument/2006/relationships/image" Target="media/image613.png"/><Relationship Id="rId699" Type="http://schemas.openxmlformats.org/officeDocument/2006/relationships/image" Target="media/image614.png"/><Relationship Id="rId700" Type="http://schemas.openxmlformats.org/officeDocument/2006/relationships/image" Target="media/image615.png"/><Relationship Id="rId701" Type="http://schemas.openxmlformats.org/officeDocument/2006/relationships/image" Target="media/image616.png"/><Relationship Id="rId702" Type="http://schemas.openxmlformats.org/officeDocument/2006/relationships/image" Target="media/image617.png"/><Relationship Id="rId703" Type="http://schemas.openxmlformats.org/officeDocument/2006/relationships/image" Target="media/image618.png"/><Relationship Id="rId704" Type="http://schemas.openxmlformats.org/officeDocument/2006/relationships/image" Target="media/image619.png"/><Relationship Id="rId705" Type="http://schemas.openxmlformats.org/officeDocument/2006/relationships/image" Target="media/image620.png"/><Relationship Id="rId706" Type="http://schemas.openxmlformats.org/officeDocument/2006/relationships/image" Target="media/image621.png"/><Relationship Id="rId707" Type="http://schemas.openxmlformats.org/officeDocument/2006/relationships/image" Target="media/image622.png"/><Relationship Id="rId708" Type="http://schemas.openxmlformats.org/officeDocument/2006/relationships/image" Target="media/image623.png"/><Relationship Id="rId709" Type="http://schemas.openxmlformats.org/officeDocument/2006/relationships/image" Target="media/image624.png"/><Relationship Id="rId710" Type="http://schemas.openxmlformats.org/officeDocument/2006/relationships/image" Target="media/image625.png"/><Relationship Id="rId711" Type="http://schemas.openxmlformats.org/officeDocument/2006/relationships/image" Target="media/image626.png"/><Relationship Id="rId712" Type="http://schemas.openxmlformats.org/officeDocument/2006/relationships/image" Target="media/image627.png"/><Relationship Id="rId713" Type="http://schemas.openxmlformats.org/officeDocument/2006/relationships/image" Target="media/image628.png"/><Relationship Id="rId714" Type="http://schemas.openxmlformats.org/officeDocument/2006/relationships/image" Target="media/image629.png"/><Relationship Id="rId715" Type="http://schemas.openxmlformats.org/officeDocument/2006/relationships/image" Target="media/image630.png"/><Relationship Id="rId716" Type="http://schemas.openxmlformats.org/officeDocument/2006/relationships/image" Target="media/image631.png"/><Relationship Id="rId717" Type="http://schemas.openxmlformats.org/officeDocument/2006/relationships/image" Target="media/image632.png"/><Relationship Id="rId718" Type="http://schemas.openxmlformats.org/officeDocument/2006/relationships/image" Target="media/image633.png"/><Relationship Id="rId719" Type="http://schemas.openxmlformats.org/officeDocument/2006/relationships/image" Target="media/image634.png"/><Relationship Id="rId720" Type="http://schemas.openxmlformats.org/officeDocument/2006/relationships/image" Target="media/image635.png"/><Relationship Id="rId721" Type="http://schemas.openxmlformats.org/officeDocument/2006/relationships/image" Target="media/image636.png"/><Relationship Id="rId722" Type="http://schemas.openxmlformats.org/officeDocument/2006/relationships/image" Target="media/image637.png"/><Relationship Id="rId723" Type="http://schemas.openxmlformats.org/officeDocument/2006/relationships/image" Target="media/image638.png"/><Relationship Id="rId724" Type="http://schemas.openxmlformats.org/officeDocument/2006/relationships/image" Target="media/image639.png"/><Relationship Id="rId725" Type="http://schemas.openxmlformats.org/officeDocument/2006/relationships/image" Target="media/image640.png"/><Relationship Id="rId726" Type="http://schemas.openxmlformats.org/officeDocument/2006/relationships/image" Target="media/image641.png"/><Relationship Id="rId727" Type="http://schemas.openxmlformats.org/officeDocument/2006/relationships/image" Target="media/image642.png"/><Relationship Id="rId728" Type="http://schemas.openxmlformats.org/officeDocument/2006/relationships/image" Target="media/image643.png"/><Relationship Id="rId729" Type="http://schemas.openxmlformats.org/officeDocument/2006/relationships/image" Target="media/image644.png"/><Relationship Id="rId730" Type="http://schemas.openxmlformats.org/officeDocument/2006/relationships/image" Target="media/image645.png"/><Relationship Id="rId731" Type="http://schemas.openxmlformats.org/officeDocument/2006/relationships/image" Target="media/image646.png"/><Relationship Id="rId732" Type="http://schemas.openxmlformats.org/officeDocument/2006/relationships/image" Target="media/image647.png"/><Relationship Id="rId733" Type="http://schemas.openxmlformats.org/officeDocument/2006/relationships/image" Target="media/image648.png"/><Relationship Id="rId734" Type="http://schemas.openxmlformats.org/officeDocument/2006/relationships/image" Target="media/image649.png"/><Relationship Id="rId735" Type="http://schemas.openxmlformats.org/officeDocument/2006/relationships/image" Target="media/image650.png"/><Relationship Id="rId736" Type="http://schemas.openxmlformats.org/officeDocument/2006/relationships/image" Target="media/image651.png"/><Relationship Id="rId737" Type="http://schemas.openxmlformats.org/officeDocument/2006/relationships/image" Target="media/image652.png"/><Relationship Id="rId738" Type="http://schemas.openxmlformats.org/officeDocument/2006/relationships/image" Target="media/image653.png"/><Relationship Id="rId739" Type="http://schemas.openxmlformats.org/officeDocument/2006/relationships/image" Target="media/image654.png"/><Relationship Id="rId740" Type="http://schemas.openxmlformats.org/officeDocument/2006/relationships/image" Target="media/image655.png"/><Relationship Id="rId741" Type="http://schemas.openxmlformats.org/officeDocument/2006/relationships/image" Target="media/image656.png"/><Relationship Id="rId742" Type="http://schemas.openxmlformats.org/officeDocument/2006/relationships/image" Target="media/image657.png"/><Relationship Id="rId743" Type="http://schemas.openxmlformats.org/officeDocument/2006/relationships/image" Target="media/image658.png"/><Relationship Id="rId744" Type="http://schemas.openxmlformats.org/officeDocument/2006/relationships/image" Target="media/image659.png"/><Relationship Id="rId745" Type="http://schemas.openxmlformats.org/officeDocument/2006/relationships/image" Target="media/image660.png"/><Relationship Id="rId746" Type="http://schemas.openxmlformats.org/officeDocument/2006/relationships/image" Target="media/image661.png"/><Relationship Id="rId747" Type="http://schemas.openxmlformats.org/officeDocument/2006/relationships/image" Target="media/image662.png"/><Relationship Id="rId748" Type="http://schemas.openxmlformats.org/officeDocument/2006/relationships/image" Target="media/image663.png"/><Relationship Id="rId749" Type="http://schemas.openxmlformats.org/officeDocument/2006/relationships/image" Target="media/image664.png"/><Relationship Id="rId750" Type="http://schemas.openxmlformats.org/officeDocument/2006/relationships/image" Target="media/image665.png"/><Relationship Id="rId751" Type="http://schemas.openxmlformats.org/officeDocument/2006/relationships/image" Target="media/image666.png"/><Relationship Id="rId752" Type="http://schemas.openxmlformats.org/officeDocument/2006/relationships/image" Target="media/image667.png"/><Relationship Id="rId753" Type="http://schemas.openxmlformats.org/officeDocument/2006/relationships/image" Target="media/image668.png"/><Relationship Id="rId754" Type="http://schemas.openxmlformats.org/officeDocument/2006/relationships/image" Target="media/image669.png"/><Relationship Id="rId755" Type="http://schemas.openxmlformats.org/officeDocument/2006/relationships/image" Target="media/image670.png"/><Relationship Id="rId756" Type="http://schemas.openxmlformats.org/officeDocument/2006/relationships/image" Target="media/image671.png"/><Relationship Id="rId757" Type="http://schemas.openxmlformats.org/officeDocument/2006/relationships/image" Target="media/image672.png"/><Relationship Id="rId758" Type="http://schemas.openxmlformats.org/officeDocument/2006/relationships/image" Target="media/image673.png"/><Relationship Id="rId759" Type="http://schemas.openxmlformats.org/officeDocument/2006/relationships/image" Target="media/image674.png"/><Relationship Id="rId760" Type="http://schemas.openxmlformats.org/officeDocument/2006/relationships/image" Target="media/image675.png"/><Relationship Id="rId761" Type="http://schemas.openxmlformats.org/officeDocument/2006/relationships/image" Target="media/image676.png"/><Relationship Id="rId762" Type="http://schemas.openxmlformats.org/officeDocument/2006/relationships/image" Target="media/image677.png"/><Relationship Id="rId763" Type="http://schemas.openxmlformats.org/officeDocument/2006/relationships/image" Target="media/image678.png"/><Relationship Id="rId764" Type="http://schemas.openxmlformats.org/officeDocument/2006/relationships/image" Target="media/image679.png"/><Relationship Id="rId765" Type="http://schemas.openxmlformats.org/officeDocument/2006/relationships/image" Target="media/image680.png"/><Relationship Id="rId766" Type="http://schemas.openxmlformats.org/officeDocument/2006/relationships/image" Target="media/image681.png"/><Relationship Id="rId767" Type="http://schemas.openxmlformats.org/officeDocument/2006/relationships/image" Target="media/image682.png"/><Relationship Id="rId768" Type="http://schemas.openxmlformats.org/officeDocument/2006/relationships/image" Target="media/image683.png"/><Relationship Id="rId769" Type="http://schemas.openxmlformats.org/officeDocument/2006/relationships/image" Target="media/image684.png"/><Relationship Id="rId770" Type="http://schemas.openxmlformats.org/officeDocument/2006/relationships/image" Target="media/image685.png"/><Relationship Id="rId771" Type="http://schemas.openxmlformats.org/officeDocument/2006/relationships/image" Target="media/image686.png"/><Relationship Id="rId772" Type="http://schemas.openxmlformats.org/officeDocument/2006/relationships/image" Target="media/image687.png"/><Relationship Id="rId773" Type="http://schemas.openxmlformats.org/officeDocument/2006/relationships/image" Target="media/image688.png"/><Relationship Id="rId774" Type="http://schemas.openxmlformats.org/officeDocument/2006/relationships/image" Target="media/image689.png"/><Relationship Id="rId775" Type="http://schemas.openxmlformats.org/officeDocument/2006/relationships/image" Target="media/image690.png"/><Relationship Id="rId776" Type="http://schemas.openxmlformats.org/officeDocument/2006/relationships/image" Target="media/image691.png"/><Relationship Id="rId777" Type="http://schemas.openxmlformats.org/officeDocument/2006/relationships/image" Target="media/image692.png"/><Relationship Id="rId778" Type="http://schemas.openxmlformats.org/officeDocument/2006/relationships/image" Target="media/image693.png"/><Relationship Id="rId779" Type="http://schemas.openxmlformats.org/officeDocument/2006/relationships/image" Target="media/image694.png"/><Relationship Id="rId780" Type="http://schemas.openxmlformats.org/officeDocument/2006/relationships/image" Target="media/image695.png"/><Relationship Id="rId781" Type="http://schemas.openxmlformats.org/officeDocument/2006/relationships/image" Target="media/image696.png"/><Relationship Id="rId782" Type="http://schemas.openxmlformats.org/officeDocument/2006/relationships/image" Target="media/image697.png"/><Relationship Id="rId783" Type="http://schemas.openxmlformats.org/officeDocument/2006/relationships/image" Target="media/image698.png"/><Relationship Id="rId784" Type="http://schemas.openxmlformats.org/officeDocument/2006/relationships/image" Target="media/image699.png"/><Relationship Id="rId785" Type="http://schemas.openxmlformats.org/officeDocument/2006/relationships/image" Target="media/image700.png"/><Relationship Id="rId786" Type="http://schemas.openxmlformats.org/officeDocument/2006/relationships/image" Target="media/image701.png"/><Relationship Id="rId787" Type="http://schemas.openxmlformats.org/officeDocument/2006/relationships/image" Target="media/image702.png"/><Relationship Id="rId788" Type="http://schemas.openxmlformats.org/officeDocument/2006/relationships/image" Target="media/image703.png"/><Relationship Id="rId789" Type="http://schemas.openxmlformats.org/officeDocument/2006/relationships/image" Target="media/image704.png"/><Relationship Id="rId790" Type="http://schemas.openxmlformats.org/officeDocument/2006/relationships/image" Target="media/image705.png"/><Relationship Id="rId791" Type="http://schemas.openxmlformats.org/officeDocument/2006/relationships/image" Target="media/image706.png"/><Relationship Id="rId792" Type="http://schemas.openxmlformats.org/officeDocument/2006/relationships/image" Target="media/image707.png"/><Relationship Id="rId793" Type="http://schemas.openxmlformats.org/officeDocument/2006/relationships/image" Target="media/image708.png"/><Relationship Id="rId794" Type="http://schemas.openxmlformats.org/officeDocument/2006/relationships/image" Target="media/image709.png"/><Relationship Id="rId795" Type="http://schemas.openxmlformats.org/officeDocument/2006/relationships/image" Target="media/image710.png"/><Relationship Id="rId796" Type="http://schemas.openxmlformats.org/officeDocument/2006/relationships/image" Target="media/image711.png"/><Relationship Id="rId797" Type="http://schemas.openxmlformats.org/officeDocument/2006/relationships/image" Target="media/image712.png"/><Relationship Id="rId798" Type="http://schemas.openxmlformats.org/officeDocument/2006/relationships/image" Target="media/image713.png"/><Relationship Id="rId799" Type="http://schemas.openxmlformats.org/officeDocument/2006/relationships/image" Target="media/image714.png"/><Relationship Id="rId800" Type="http://schemas.openxmlformats.org/officeDocument/2006/relationships/image" Target="media/image715.png"/><Relationship Id="rId801" Type="http://schemas.openxmlformats.org/officeDocument/2006/relationships/image" Target="media/image716.png"/><Relationship Id="rId802" Type="http://schemas.openxmlformats.org/officeDocument/2006/relationships/image" Target="media/image717.png"/><Relationship Id="rId803" Type="http://schemas.openxmlformats.org/officeDocument/2006/relationships/image" Target="media/image718.png"/><Relationship Id="rId804" Type="http://schemas.openxmlformats.org/officeDocument/2006/relationships/image" Target="media/image719.png"/><Relationship Id="rId805" Type="http://schemas.openxmlformats.org/officeDocument/2006/relationships/image" Target="media/image720.png"/><Relationship Id="rId806" Type="http://schemas.openxmlformats.org/officeDocument/2006/relationships/image" Target="media/image721.png"/><Relationship Id="rId807" Type="http://schemas.openxmlformats.org/officeDocument/2006/relationships/image" Target="media/image722.png"/><Relationship Id="rId808" Type="http://schemas.openxmlformats.org/officeDocument/2006/relationships/image" Target="media/image723.png"/><Relationship Id="rId809" Type="http://schemas.openxmlformats.org/officeDocument/2006/relationships/image" Target="media/image724.png"/><Relationship Id="rId810" Type="http://schemas.openxmlformats.org/officeDocument/2006/relationships/image" Target="media/image725.png"/><Relationship Id="rId811" Type="http://schemas.openxmlformats.org/officeDocument/2006/relationships/image" Target="media/image726.png"/><Relationship Id="rId812" Type="http://schemas.openxmlformats.org/officeDocument/2006/relationships/image" Target="media/image727.png"/><Relationship Id="rId813" Type="http://schemas.openxmlformats.org/officeDocument/2006/relationships/image" Target="media/image728.png"/><Relationship Id="rId814" Type="http://schemas.openxmlformats.org/officeDocument/2006/relationships/image" Target="media/image729.png"/><Relationship Id="rId815" Type="http://schemas.openxmlformats.org/officeDocument/2006/relationships/image" Target="media/image730.png"/><Relationship Id="rId816" Type="http://schemas.openxmlformats.org/officeDocument/2006/relationships/image" Target="media/image731.png"/><Relationship Id="rId817" Type="http://schemas.openxmlformats.org/officeDocument/2006/relationships/image" Target="media/image732.png"/><Relationship Id="rId818" Type="http://schemas.openxmlformats.org/officeDocument/2006/relationships/image" Target="media/image733.png"/><Relationship Id="rId819" Type="http://schemas.openxmlformats.org/officeDocument/2006/relationships/image" Target="media/image734.png"/><Relationship Id="rId820" Type="http://schemas.openxmlformats.org/officeDocument/2006/relationships/image" Target="media/image735.png"/><Relationship Id="rId821" Type="http://schemas.openxmlformats.org/officeDocument/2006/relationships/image" Target="media/image736.png"/><Relationship Id="rId822" Type="http://schemas.openxmlformats.org/officeDocument/2006/relationships/image" Target="media/image737.png"/><Relationship Id="rId823" Type="http://schemas.openxmlformats.org/officeDocument/2006/relationships/image" Target="media/image738.png"/><Relationship Id="rId824" Type="http://schemas.openxmlformats.org/officeDocument/2006/relationships/image" Target="media/image739.png"/><Relationship Id="rId825" Type="http://schemas.openxmlformats.org/officeDocument/2006/relationships/image" Target="media/image740.png"/><Relationship Id="rId826" Type="http://schemas.openxmlformats.org/officeDocument/2006/relationships/image" Target="media/image741.png"/><Relationship Id="rId827" Type="http://schemas.openxmlformats.org/officeDocument/2006/relationships/image" Target="media/image742.png"/><Relationship Id="rId828" Type="http://schemas.openxmlformats.org/officeDocument/2006/relationships/image" Target="media/image743.png"/><Relationship Id="rId829" Type="http://schemas.openxmlformats.org/officeDocument/2006/relationships/image" Target="media/image744.png"/><Relationship Id="rId830" Type="http://schemas.openxmlformats.org/officeDocument/2006/relationships/image" Target="media/image745.png"/><Relationship Id="rId831" Type="http://schemas.openxmlformats.org/officeDocument/2006/relationships/image" Target="media/image746.png"/><Relationship Id="rId832" Type="http://schemas.openxmlformats.org/officeDocument/2006/relationships/image" Target="media/image747.png"/><Relationship Id="rId833" Type="http://schemas.openxmlformats.org/officeDocument/2006/relationships/image" Target="media/image748.png"/><Relationship Id="rId834" Type="http://schemas.openxmlformats.org/officeDocument/2006/relationships/image" Target="media/image749.png"/><Relationship Id="rId835" Type="http://schemas.openxmlformats.org/officeDocument/2006/relationships/image" Target="media/image750.png"/><Relationship Id="rId836" Type="http://schemas.openxmlformats.org/officeDocument/2006/relationships/image" Target="media/image751.png"/><Relationship Id="rId837" Type="http://schemas.openxmlformats.org/officeDocument/2006/relationships/image" Target="media/image752.png"/><Relationship Id="rId838" Type="http://schemas.openxmlformats.org/officeDocument/2006/relationships/image" Target="media/image753.png"/><Relationship Id="rId839" Type="http://schemas.openxmlformats.org/officeDocument/2006/relationships/image" Target="media/image754.png"/><Relationship Id="rId840" Type="http://schemas.openxmlformats.org/officeDocument/2006/relationships/image" Target="media/image755.png"/><Relationship Id="rId841" Type="http://schemas.openxmlformats.org/officeDocument/2006/relationships/image" Target="media/image756.png"/><Relationship Id="rId842" Type="http://schemas.openxmlformats.org/officeDocument/2006/relationships/image" Target="media/image757.png"/><Relationship Id="rId843" Type="http://schemas.openxmlformats.org/officeDocument/2006/relationships/image" Target="media/image758.png"/><Relationship Id="rId844" Type="http://schemas.openxmlformats.org/officeDocument/2006/relationships/image" Target="media/image759.png"/><Relationship Id="rId845" Type="http://schemas.openxmlformats.org/officeDocument/2006/relationships/image" Target="media/image760.png"/><Relationship Id="rId846" Type="http://schemas.openxmlformats.org/officeDocument/2006/relationships/image" Target="media/image761.png"/><Relationship Id="rId847" Type="http://schemas.openxmlformats.org/officeDocument/2006/relationships/image" Target="media/image762.png"/><Relationship Id="rId848" Type="http://schemas.openxmlformats.org/officeDocument/2006/relationships/image" Target="media/image763.png"/><Relationship Id="rId849" Type="http://schemas.openxmlformats.org/officeDocument/2006/relationships/image" Target="media/image764.png"/><Relationship Id="rId850" Type="http://schemas.openxmlformats.org/officeDocument/2006/relationships/image" Target="media/image765.png"/><Relationship Id="rId851" Type="http://schemas.openxmlformats.org/officeDocument/2006/relationships/image" Target="media/image766.png"/><Relationship Id="rId852" Type="http://schemas.openxmlformats.org/officeDocument/2006/relationships/image" Target="media/image767.png"/><Relationship Id="rId853" Type="http://schemas.openxmlformats.org/officeDocument/2006/relationships/image" Target="media/image768.png"/><Relationship Id="rId854" Type="http://schemas.openxmlformats.org/officeDocument/2006/relationships/image" Target="media/image769.png"/><Relationship Id="rId855" Type="http://schemas.openxmlformats.org/officeDocument/2006/relationships/image" Target="media/image770.png"/><Relationship Id="rId856" Type="http://schemas.openxmlformats.org/officeDocument/2006/relationships/image" Target="media/image771.png"/><Relationship Id="rId857" Type="http://schemas.openxmlformats.org/officeDocument/2006/relationships/image" Target="media/image772.png"/><Relationship Id="rId858" Type="http://schemas.openxmlformats.org/officeDocument/2006/relationships/image" Target="media/image773.png"/><Relationship Id="rId859" Type="http://schemas.openxmlformats.org/officeDocument/2006/relationships/image" Target="media/image774.png"/><Relationship Id="rId860" Type="http://schemas.openxmlformats.org/officeDocument/2006/relationships/image" Target="media/image775.png"/><Relationship Id="rId861" Type="http://schemas.openxmlformats.org/officeDocument/2006/relationships/image" Target="media/image776.png"/><Relationship Id="rId862" Type="http://schemas.openxmlformats.org/officeDocument/2006/relationships/image" Target="media/image777.png"/><Relationship Id="rId863" Type="http://schemas.openxmlformats.org/officeDocument/2006/relationships/image" Target="media/image778.png"/><Relationship Id="rId864" Type="http://schemas.openxmlformats.org/officeDocument/2006/relationships/image" Target="media/image779.png"/><Relationship Id="rId865" Type="http://schemas.openxmlformats.org/officeDocument/2006/relationships/image" Target="media/image780.png"/><Relationship Id="rId866" Type="http://schemas.openxmlformats.org/officeDocument/2006/relationships/image" Target="media/image781.png"/><Relationship Id="rId867" Type="http://schemas.openxmlformats.org/officeDocument/2006/relationships/image" Target="media/image782.png"/><Relationship Id="rId868" Type="http://schemas.openxmlformats.org/officeDocument/2006/relationships/image" Target="media/image783.png"/><Relationship Id="rId869" Type="http://schemas.openxmlformats.org/officeDocument/2006/relationships/image" Target="media/image784.png"/><Relationship Id="rId870" Type="http://schemas.openxmlformats.org/officeDocument/2006/relationships/image" Target="media/image785.png"/><Relationship Id="rId871" Type="http://schemas.openxmlformats.org/officeDocument/2006/relationships/image" Target="media/image786.png"/><Relationship Id="rId872" Type="http://schemas.openxmlformats.org/officeDocument/2006/relationships/image" Target="media/image787.png"/><Relationship Id="rId873" Type="http://schemas.openxmlformats.org/officeDocument/2006/relationships/image" Target="media/image788.png"/><Relationship Id="rId874" Type="http://schemas.openxmlformats.org/officeDocument/2006/relationships/image" Target="media/image789.png"/><Relationship Id="rId875" Type="http://schemas.openxmlformats.org/officeDocument/2006/relationships/image" Target="media/image790.png"/><Relationship Id="rId876" Type="http://schemas.openxmlformats.org/officeDocument/2006/relationships/image" Target="media/image791.png"/><Relationship Id="rId877" Type="http://schemas.openxmlformats.org/officeDocument/2006/relationships/image" Target="media/image792.png"/><Relationship Id="rId878" Type="http://schemas.openxmlformats.org/officeDocument/2006/relationships/image" Target="media/image793.png"/><Relationship Id="rId280" Type="http://schemas.openxmlformats.org/officeDocument/2006/relationships/hyperlink" Target="https://www.sec.gov/Archives/edgar/data/1520262/000095017023064005/alks-ex2_1.htm" TargetMode="External"/><Relationship Id="rId281" Type="http://schemas.openxmlformats.org/officeDocument/2006/relationships/hyperlink" Target="https://www.sec.gov/Archives/edgar/data/1520262/000119312525245852/d946576dex21.htm" TargetMode="External"/><Relationship Id="rId282" Type="http://schemas.openxmlformats.org/officeDocument/2006/relationships/hyperlink" Target="https://www.sec.gov/Archives/edgar/data/1520262/000119312525286909/d858713dex21.htm" TargetMode="External"/><Relationship Id="rId283" Type="http://schemas.openxmlformats.org/officeDocument/2006/relationships/hyperlink" Target="https://www.sec.gov/Archives/edgar/data/1520262/000119312525245852/d946576dex22.htm" TargetMode="External"/><Relationship Id="rId284" Type="http://schemas.openxmlformats.org/officeDocument/2006/relationships/hyperlink" Target="https://www.sec.gov/Archives/edgar/data/1520262/000095017024051397/alks-ex3_1.htm" TargetMode="External"/><Relationship Id="rId285" Type="http://schemas.openxmlformats.org/officeDocument/2006/relationships/hyperlink" Target="https://www.sec.gov/Archives/edgar/data/1520262/000152026218000026/alks-20180331ex104855afa.htm" TargetMode="External"/><Relationship Id="rId286" Type="http://schemas.openxmlformats.org/officeDocument/2006/relationships/hyperlink" Target="https://www.sec.gov/Archives/edgar/data/1520262/000152026218000038/alks-20180630ex102c03ab9.htm" TargetMode="External"/><Relationship Id="rId287" Type="http://schemas.openxmlformats.org/officeDocument/2006/relationships/hyperlink" Target="https://www.sec.gov/Archives/edgar/data/1520262/000156459019025999/alks-ex102_67.htm" TargetMode="External"/><Relationship Id="rId288" Type="http://schemas.openxmlformats.org/officeDocument/2006/relationships/hyperlink" Target="https://www.sec.gov/Archives/edgar/data/1520262/000155837016003498/alks-20151231ex102ea95da.htm" TargetMode="External"/><Relationship Id="rId289" Type="http://schemas.openxmlformats.org/officeDocument/2006/relationships/hyperlink" Target="https://www.sec.gov/Archives/edgar/data/874663/000095013505000505/b53401akexv10w5.txt" TargetMode="External"/><Relationship Id="rId292" Type="http://schemas.openxmlformats.org/officeDocument/2006/relationships/hyperlink" Target="https://www.sec.gov/Archives/edgar/data/1520262/000110465912072948/a12-19035_1ex10d3.htm" TargetMode="External"/><Relationship Id="rId293" Type="http://schemas.openxmlformats.org/officeDocument/2006/relationships/hyperlink" Target="https://www.sec.gov/Archives/edgar/data/1520262/000155837016003498/alks-20151231ex1035af797.htm" TargetMode="External"/><Relationship Id="rId294" Type="http://schemas.openxmlformats.org/officeDocument/2006/relationships/hyperlink" Target="https://www.sec.gov/Archives/edgar/data/1520262/000155837016003498/alks-20151231ex1045e92da.htm" TargetMode="External"/><Relationship Id="rId295" Type="http://schemas.openxmlformats.org/officeDocument/2006/relationships/hyperlink" Target="https://www.sec.gov/Archives/edgar/data/874663/000095013505000505/b53401akexv10w4.txt" TargetMode="External"/><Relationship Id="rId296" Type="http://schemas.openxmlformats.org/officeDocument/2006/relationships/hyperlink" Target="https://www.sec.gov/Archives/edgar/data/1520262/000155837016003498/alks-20151231ex10427bbc9.htm" TargetMode="External"/><Relationship Id="rId297" Type="http://schemas.openxmlformats.org/officeDocument/2006/relationships/hyperlink" Target="https://www.sec.gov/Archives/edgar/data/1520262/000155837016003498/alks-20151231ex1043ad014.htm" TargetMode="External"/><Relationship Id="rId298" Type="http://schemas.openxmlformats.org/officeDocument/2006/relationships/hyperlink" Target="https://www.sec.gov/Archives/edgar/data/1520262/000155837015001259/alks-20150630ex106455ec4.htm" TargetMode="External"/><Relationship Id="rId299" Type="http://schemas.openxmlformats.org/officeDocument/2006/relationships/hyperlink" Target="https://www.sec.gov/Archives/edgar/data/874663/000095013505000505/b53401akexv10w9.txt" TargetMode="External"/><Relationship Id="rId300" Type="http://schemas.openxmlformats.org/officeDocument/2006/relationships/hyperlink" Target="https://www.sec.gov/Archives/edgar/data/1520262/000156459018024699/alks-ex1011_41.htm" TargetMode="External"/><Relationship Id="rId301" Type="http://schemas.openxmlformats.org/officeDocument/2006/relationships/hyperlink" Target="https://www.sec.gov/Archives/edgar/data/874663/000095013505000505/b53401akexv10w6.txt" TargetMode="External"/><Relationship Id="rId302" Type="http://schemas.openxmlformats.org/officeDocument/2006/relationships/hyperlink" Target="https://www.sec.gov/Archives/edgar/data/874663/000095013505000505/b53401akexv10w7.txt" TargetMode="External"/><Relationship Id="rId306" Type="http://schemas.openxmlformats.org/officeDocument/2006/relationships/hyperlink" Target="https://www.sec.gov/Archives/edgar/data/1520262/000156459023006240/alks-ex101_78.htm" TargetMode="External"/><Relationship Id="rId307" Type="http://schemas.openxmlformats.org/officeDocument/2006/relationships/hyperlink" Target="https://www.sec.gov/Archives/edgar/data/1520262/000104746913006422/a2215335zex-10_24.htm" TargetMode="External"/><Relationship Id="rId308" Type="http://schemas.openxmlformats.org/officeDocument/2006/relationships/hyperlink" Target="https://www.sec.gov/Archives/edgar/data/1520262/000156459023006240/alks-ex102_77.htm" TargetMode="External"/><Relationship Id="rId309" Type="http://schemas.openxmlformats.org/officeDocument/2006/relationships/hyperlink" Target="https://www.sec.gov/Archives/edgar/data/1520262/000152026218000016/alks-20171231ex10103cf86.htm" TargetMode="External"/><Relationship Id="rId310" Type="http://schemas.openxmlformats.org/officeDocument/2006/relationships/hyperlink" Target="https://www.sec.gov/Archives/edgar/data/1520262/000156459018024699/alks-ex1012_100.htm" TargetMode="External"/><Relationship Id="rId311" Type="http://schemas.openxmlformats.org/officeDocument/2006/relationships/hyperlink" Target="https://www.sec.gov/Archives/edgar/data/1520262/000156459019012913/alks-ex101_85.htm" TargetMode="External"/><Relationship Id="rId312" Type="http://schemas.openxmlformats.org/officeDocument/2006/relationships/hyperlink" Target="https://www.sec.gov/Archives/edgar/data/1520262/000156459020004489/alks-ex10103_188.htm" TargetMode="External"/><Relationship Id="rId313" Type="http://schemas.openxmlformats.org/officeDocument/2006/relationships/hyperlink" Target="https://www.sec.gov/Archives/edgar/data/1520262/000095017022021003/alks-ex10_1.htm" TargetMode="External"/><Relationship Id="rId314" Type="http://schemas.openxmlformats.org/officeDocument/2006/relationships/hyperlink" Target="https://www.sec.gov/Archives/edgar/data/1520262/000095017024085873/alks-ex10_1.htm" TargetMode="External"/><Relationship Id="rId315" Type="http://schemas.openxmlformats.org/officeDocument/2006/relationships/hyperlink" Target="https://www.sec.gov/Archives/edgar/data/1520262/000095017023055178/alks-ex10_1.htm" TargetMode="External"/><Relationship Id="rId316" Type="http://schemas.openxmlformats.org/officeDocument/2006/relationships/hyperlink" Target="https://www.sec.gov/Archives/edgar/data/1520262/000095017023064005/alks-ex10_1.htm" TargetMode="External"/><Relationship Id="rId317" Type="http://schemas.openxmlformats.org/officeDocument/2006/relationships/hyperlink" Target="https://www.sec.gov/Archives/edgar/data/1520262/000095017024017883/alks-ex10_16.htm" TargetMode="External"/><Relationship Id="rId318" Type="http://schemas.openxmlformats.org/officeDocument/2006/relationships/hyperlink" Target="https://www.sec.gov/Archives/edgar/data/1520262/000119312525252524/alks-ex10_1.htm" TargetMode="External"/><Relationship Id="rId319" Type="http://schemas.openxmlformats.org/officeDocument/2006/relationships/hyperlink" Target="https://www.sec.gov/Archives/edgar/data/1520262/000119312526047682/d43532dex101.htm" TargetMode="External"/><Relationship Id="rId325" Type="http://schemas.openxmlformats.org/officeDocument/2006/relationships/hyperlink" Target="https://www.sec.gov/Archives/edgar/data/1012477/000101247725000031/exhibit103q32025.htm" TargetMode="External"/><Relationship Id="rId330" Type="http://schemas.openxmlformats.org/officeDocument/2006/relationships/hyperlink" Target="https://www.sec.gov/Archives/edgar/data/874663/000095013508000734/b68453aiexv10w1.htm" TargetMode="External"/><Relationship Id="rId333" Type="http://schemas.openxmlformats.org/officeDocument/2006/relationships/hyperlink" Target="https://www.sec.gov/Archives/edgar/data/874663/000095013508006370/b72484aiexv10w5.htm" TargetMode="External"/><Relationship Id="rId336" Type="http://schemas.openxmlformats.org/officeDocument/2006/relationships/hyperlink" Target="https://www.sec.gov/Archives/edgar/data/874663/000095012309042729/b77219exv10w2.htm" TargetMode="External"/><Relationship Id="rId340" Type="http://schemas.openxmlformats.org/officeDocument/2006/relationships/hyperlink" Target="https://www.sec.gov/Archives/edgar/data/874663/000095013508000734/b68453aiexv10w3.htm" TargetMode="External"/><Relationship Id="rId345" Type="http://schemas.openxmlformats.org/officeDocument/2006/relationships/hyperlink" Target="https://www.sec.gov/Archives/edgar/data/874663/000095013508006370/b72484aiexv10w7.htm" TargetMode="External"/><Relationship Id="rId348" Type="http://schemas.openxmlformats.org/officeDocument/2006/relationships/hyperlink" Target="https://www.sec.gov/Archives/edgar/data/1520262/000155837016009014/alks-20160930ex101cbe0d4.htm" TargetMode="External"/><Relationship Id="rId352" Type="http://schemas.openxmlformats.org/officeDocument/2006/relationships/hyperlink" Target="https://www.sec.gov/Archives/edgar/data/1520262/000152026218000016/alks-20171231ex10171f6a5.htm" TargetMode="External"/><Relationship Id="rId355" Type="http://schemas.openxmlformats.org/officeDocument/2006/relationships/hyperlink" Target="https://www.sec.gov/Archives/edgar/data/1520262/000156459020034093/alks-ex101_91.htm" TargetMode="External"/><Relationship Id="rId358" Type="http://schemas.openxmlformats.org/officeDocument/2006/relationships/hyperlink" Target="https://www.sec.gov/Archives/edgar/data/1520262/000119312525252524/alks-ex10_3.htm" TargetMode="External"/><Relationship Id="rId361" Type="http://schemas.openxmlformats.org/officeDocument/2006/relationships/hyperlink" Target="https://www.sec.gov/Archives/edgar/data/1520262/000156459020019460/alks-ex102_11.htm" TargetMode="External"/><Relationship Id="rId365" Type="http://schemas.openxmlformats.org/officeDocument/2006/relationships/hyperlink" Target="https://www.sec.gov/Archives/edgar/data/1520262/000156459020019460/alks-ex101_12.htm" TargetMode="External"/><Relationship Id="rId369" Type="http://schemas.openxmlformats.org/officeDocument/2006/relationships/hyperlink" Target="https://www.sec.gov/Archives/edgar/data/1520262/000152026217000020/alks-20170331ex1013bb0ab.htm" TargetMode="External"/><Relationship Id="rId372" Type="http://schemas.openxmlformats.org/officeDocument/2006/relationships/hyperlink" Target="https://www.sec.gov/Archives/edgar/data/1520262/000155837016004922/alks-20160331ex1048b391d.htm" TargetMode="External"/><Relationship Id="rId376" Type="http://schemas.openxmlformats.org/officeDocument/2006/relationships/hyperlink" Target="https://www.sec.gov/Archives/edgar/data/1520262/000155837016004922/alks-20160331ex105dc50da.htm" TargetMode="External"/><Relationship Id="rId384" Type="http://schemas.openxmlformats.org/officeDocument/2006/relationships/hyperlink" Target="https://www.sec.gov/Archives/edgar/data/1520262/000155837016004922/alks-20160331ex1069bdc92.htm" TargetMode="External"/><Relationship Id="rId388" Type="http://schemas.openxmlformats.org/officeDocument/2006/relationships/hyperlink" Target="https://www.sec.gov/Archives/edgar/data/1520262/000155837016004922/alks-20160331ex107103687.htm" TargetMode="External"/><Relationship Id="rId392" Type="http://schemas.openxmlformats.org/officeDocument/2006/relationships/hyperlink" Target="https://www.sec.gov/Archives/edgar/data/1520262/000155837016004922/alks-20160331ex108ae3cb6.htm" TargetMode="External"/><Relationship Id="rId396" Type="http://schemas.openxmlformats.org/officeDocument/2006/relationships/hyperlink" Target="https://www.sec.gov/Archives/edgar/data/1520262/000155837016004922/alks-20160331ex109f3c18f.htm" TargetMode="External"/><Relationship Id="rId400" Type="http://schemas.openxmlformats.org/officeDocument/2006/relationships/hyperlink" Target="https://www.sec.gov/Archives/edgar/data/874663/000095013509004188/b75643aiexv10w2.htm" TargetMode="External"/><Relationship Id="rId404" Type="http://schemas.openxmlformats.org/officeDocument/2006/relationships/hyperlink" Target="https://www.sec.gov/Archives/edgar/data/1520262/000152026217000029/alks-20170524ex101f4b30d.htm" TargetMode="External"/><Relationship Id="rId407" Type="http://schemas.openxmlformats.org/officeDocument/2006/relationships/hyperlink" Target="https://www.sec.gov/Archives/edgar/data/1520262/000156459018024699/alks-ex101_30.htm" TargetMode="External"/><Relationship Id="rId411" Type="http://schemas.openxmlformats.org/officeDocument/2006/relationships/hyperlink" Target="https://www.sec.gov/Archives/edgar/data/1520262/000156459018024699/alks-ex102_31.htm" TargetMode="External"/><Relationship Id="rId415" Type="http://schemas.openxmlformats.org/officeDocument/2006/relationships/hyperlink" Target="https://www.sec.gov/Archives/edgar/data/1520262/000156459018024699/alks-ex103_32.htm" TargetMode="External"/><Relationship Id="rId419" Type="http://schemas.openxmlformats.org/officeDocument/2006/relationships/hyperlink" Target="https://www.sec.gov/Archives/edgar/data/1520262/000156459018024699/alks-ex104_33.htm" TargetMode="External"/><Relationship Id="rId423" Type="http://schemas.openxmlformats.org/officeDocument/2006/relationships/hyperlink" Target="https://www.sec.gov/Archives/edgar/data/1520262/000156459018024699/alks-ex105_34.htm" TargetMode="External"/><Relationship Id="rId429" Type="http://schemas.openxmlformats.org/officeDocument/2006/relationships/hyperlink" Target="https://www.sec.gov/Archives/edgar/data/1520262/000156459018024699/alks-ex106_35.htm" TargetMode="External"/><Relationship Id="rId433" Type="http://schemas.openxmlformats.org/officeDocument/2006/relationships/hyperlink" Target="https://www.sec.gov/Archives/edgar/data/1520262/000156459018024699/alks-ex107_36.htm" TargetMode="External"/><Relationship Id="rId437" Type="http://schemas.openxmlformats.org/officeDocument/2006/relationships/hyperlink" Target="https://www.sec.gov/Archives/edgar/data/1520262/000156459018024699/alks-ex108_37.htm" TargetMode="External"/><Relationship Id="rId441" Type="http://schemas.openxmlformats.org/officeDocument/2006/relationships/hyperlink" Target="https://www.sec.gov/Archives/edgar/data/1520262/000156459020034093/alks-ex106_144.htm" TargetMode="External"/><Relationship Id="rId447" Type="http://schemas.openxmlformats.org/officeDocument/2006/relationships/hyperlink" Target="https://www.sec.gov/Archives/edgar/data/1520262/000156459020034093/alks-ex104_14.htm" TargetMode="External"/><Relationship Id="rId448" Type="http://schemas.openxmlformats.org/officeDocument/2006/relationships/hyperlink" Target="https://www.sec.gov/Archives/edgar/data/1520262/000156459020034093/alks-ex105_13.htm" TargetMode="External"/><Relationship Id="rId449" Type="http://schemas.openxmlformats.org/officeDocument/2006/relationships/hyperlink" Target="https://www.sec.gov/Archives/edgar/data/1520262/000156459022026586/alks-ex1011_141.htm" TargetMode="External"/><Relationship Id="rId450" Type="http://schemas.openxmlformats.org/officeDocument/2006/relationships/hyperlink" Target="https://www.sec.gov/Archives/edgar/data/1520262/000156459022026586/alks-ex1012_140.htm" TargetMode="External"/><Relationship Id="rId451" Type="http://schemas.openxmlformats.org/officeDocument/2006/relationships/hyperlink" Target="https://www.sec.gov/Archives/edgar/data/1520262/000156459023002020/alks-ex1019_341.htm" TargetMode="External"/><Relationship Id="rId452" Type="http://schemas.openxmlformats.org/officeDocument/2006/relationships/hyperlink" Target="https://www.sec.gov/Archives/edgar/data/1520262/000156459023002020/alks-ex1019_342.htm" TargetMode="External"/><Relationship Id="rId453" Type="http://schemas.openxmlformats.org/officeDocument/2006/relationships/hyperlink" Target="https://www.sec.gov/Archives/edgar/data/1520262/000156459023002020/alks-ex1019_355.htm" TargetMode="External"/><Relationship Id="rId454" Type="http://schemas.openxmlformats.org/officeDocument/2006/relationships/hyperlink" Target="https://www.sec.gov/Archives/edgar/data/1520262/000156459023002020/alks-ex1019_354.htm" TargetMode="External"/><Relationship Id="rId455" Type="http://schemas.openxmlformats.org/officeDocument/2006/relationships/hyperlink" Target="https://www.sec.gov/Archives/edgar/data/1520262/000095017024017883/alks-ex10_25m.htm" TargetMode="External"/><Relationship Id="rId456" Type="http://schemas.openxmlformats.org/officeDocument/2006/relationships/hyperlink" Target="https://www.sec.gov/Archives/edgar/data/1520262/000095017024017883/alks-ex10_25n.htm" TargetMode="External"/><Relationship Id="rId457" Type="http://schemas.openxmlformats.org/officeDocument/2006/relationships/hyperlink" Target="https://www.sec.gov/Archives/edgar/data/1520262/000095017024085873/alks-ex10_2a.htm" TargetMode="External"/><Relationship Id="rId458" Type="http://schemas.openxmlformats.org/officeDocument/2006/relationships/hyperlink" Target="https://www.sec.gov/Archives/edgar/data/1520262/000095017024085873/alks-ex10_2b.htm" TargetMode="External"/><Relationship Id="rId461" Type="http://schemas.openxmlformats.org/officeDocument/2006/relationships/hyperlink" Target="https://www.sec.gov/Archives/edgar/data/1520262/000095017024017883/alks-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2026-02-25T08:37:21Z</dcterms:created>
  <dcterms:modified xsi:type="dcterms:W3CDTF">2026-02-25T08:37:21Z</dcterms:modified>
</cp:coreProperties>
</file>