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44" w:lineRule="exact"/>
        <w:rPr>
          <w:sz w:val="24"/>
          <w:szCs w:val="24"/>
          <w:color w:val="auto"/>
        </w:rPr>
      </w:pPr>
    </w:p>
    <w:p>
      <w:pPr>
        <w:ind w:left="3880" w:right="1460" w:hanging="3485"/>
        <w:spacing w:after="0" w:line="443" w:lineRule="auto"/>
        <w:tabs>
          <w:tab w:leader="none" w:pos="60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289" w:lineRule="exact"/>
        <w:rPr>
          <w:sz w:val="24"/>
          <w:szCs w:val="24"/>
          <w:color w:val="auto"/>
        </w:rPr>
      </w:pPr>
    </w:p>
    <w:p>
      <w:pPr>
        <w:ind w:left="4220" w:right="1460" w:hanging="3825"/>
        <w:spacing w:after="0" w:line="443" w:lineRule="auto"/>
        <w:tabs>
          <w:tab w:leader="none" w:pos="60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001-35299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-110490</wp:posOffset>
            </wp:positionV>
            <wp:extent cx="164592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41148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ALKERMES PUBLIC LIMITED COMPANY</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40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180" w:type="dxa"/>
            <w:vAlign w:val="bottom"/>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rPr>
              <w:t>98-1007018</w:t>
            </w:r>
          </w:p>
        </w:tc>
      </w:tr>
      <w:tr>
        <w:trPr>
          <w:trHeight w:val="234"/>
        </w:trPr>
        <w:tc>
          <w:tcPr>
            <w:tcW w:w="7060" w:type="dxa"/>
            <w:vAlign w:val="bottom"/>
            <w:gridSpan w:val="5"/>
          </w:tcPr>
          <w:p>
            <w:pPr>
              <w:jc w:val="center"/>
              <w:ind w:right="164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18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29"/>
        </w:trPr>
        <w:tc>
          <w:tcPr>
            <w:tcW w:w="3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Connaught House</w:t>
            </w:r>
          </w:p>
        </w:tc>
        <w:tc>
          <w:tcPr>
            <w:tcW w:w="4180" w:type="dxa"/>
            <w:vAlign w:val="bottom"/>
          </w:tcPr>
          <w:p>
            <w:pPr>
              <w:spacing w:after="0"/>
              <w:rPr>
                <w:sz w:val="24"/>
                <w:szCs w:val="24"/>
                <w:color w:val="auto"/>
              </w:rPr>
            </w:pPr>
          </w:p>
        </w:tc>
      </w:tr>
      <w:tr>
        <w:trPr>
          <w:trHeight w:val="216"/>
        </w:trPr>
        <w:tc>
          <w:tcPr>
            <w:tcW w:w="3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1 Burlington Road</w:t>
            </w:r>
          </w:p>
        </w:tc>
        <w:tc>
          <w:tcPr>
            <w:tcW w:w="4180" w:type="dxa"/>
            <w:vAlign w:val="bottom"/>
          </w:tcPr>
          <w:p>
            <w:pPr>
              <w:spacing w:after="0"/>
              <w:rPr>
                <w:sz w:val="18"/>
                <w:szCs w:val="18"/>
                <w:color w:val="auto"/>
              </w:rPr>
            </w:pPr>
          </w:p>
        </w:tc>
      </w:tr>
      <w:tr>
        <w:trPr>
          <w:trHeight w:val="220"/>
        </w:trPr>
        <w:tc>
          <w:tcPr>
            <w:tcW w:w="3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Dublin 4, Ireland, D04 C5Y6</w:t>
            </w:r>
          </w:p>
        </w:tc>
        <w:tc>
          <w:tcPr>
            <w:tcW w:w="4180" w:type="dxa"/>
            <w:vAlign w:val="bottom"/>
          </w:tcPr>
          <w:p>
            <w:pPr>
              <w:spacing w:after="0"/>
              <w:rPr>
                <w:sz w:val="19"/>
                <w:szCs w:val="19"/>
                <w:color w:val="auto"/>
              </w:rPr>
            </w:pPr>
          </w:p>
        </w:tc>
      </w:tr>
      <w:tr>
        <w:trPr>
          <w:trHeight w:val="234"/>
        </w:trPr>
        <w:tc>
          <w:tcPr>
            <w:tcW w:w="3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180" w:type="dxa"/>
            <w:vAlign w:val="bottom"/>
          </w:tcPr>
          <w:p>
            <w:pPr>
              <w:spacing w:after="0"/>
              <w:rPr>
                <w:sz w:val="20"/>
                <w:szCs w:val="20"/>
                <w:color w:val="auto"/>
              </w:rPr>
            </w:pPr>
          </w:p>
        </w:tc>
      </w:tr>
      <w:tr>
        <w:trPr>
          <w:trHeight w:val="333"/>
        </w:trPr>
        <w:tc>
          <w:tcPr>
            <w:tcW w:w="3400" w:type="dxa"/>
            <w:vAlign w:val="bottom"/>
          </w:tcPr>
          <w:p>
            <w:pPr>
              <w:spacing w:after="0"/>
              <w:rPr>
                <w:sz w:val="24"/>
                <w:szCs w:val="24"/>
                <w:color w:val="auto"/>
              </w:rPr>
            </w:pPr>
          </w:p>
        </w:tc>
        <w:tc>
          <w:tcPr>
            <w:tcW w:w="342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+ 353-1-772-8000</w:t>
            </w:r>
          </w:p>
        </w:tc>
        <w:tc>
          <w:tcPr>
            <w:tcW w:w="24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34"/>
        </w:trPr>
        <w:tc>
          <w:tcPr>
            <w:tcW w:w="3400" w:type="dxa"/>
            <w:vAlign w:val="bottom"/>
          </w:tcPr>
          <w:p>
            <w:pPr>
              <w:spacing w:after="0"/>
              <w:rPr>
                <w:sz w:val="20"/>
                <w:szCs w:val="20"/>
                <w:color w:val="auto"/>
              </w:rPr>
            </w:pPr>
          </w:p>
        </w:tc>
        <w:tc>
          <w:tcPr>
            <w:tcW w:w="7840" w:type="dxa"/>
            <w:vAlign w:val="bottom"/>
            <w:gridSpan w:val="5"/>
          </w:tcPr>
          <w:p>
            <w:pPr>
              <w:jc w:val="center"/>
              <w:ind w:right="32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51"/>
        </w:trPr>
        <w:tc>
          <w:tcPr>
            <w:tcW w:w="3400" w:type="dxa"/>
            <w:vAlign w:val="bottom"/>
          </w:tcPr>
          <w:p>
            <w:pPr>
              <w:spacing w:after="0"/>
              <w:rPr>
                <w:sz w:val="24"/>
                <w:szCs w:val="24"/>
                <w:color w:val="auto"/>
              </w:rPr>
            </w:pPr>
          </w:p>
        </w:tc>
        <w:tc>
          <w:tcPr>
            <w:tcW w:w="7840" w:type="dxa"/>
            <w:vAlign w:val="bottom"/>
            <w:gridSpan w:val="5"/>
          </w:tcPr>
          <w:p>
            <w:pPr>
              <w:jc w:val="center"/>
              <w:ind w:right="329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338"/>
        </w:trPr>
        <w:tc>
          <w:tcPr>
            <w:tcW w:w="340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400" w:type="dxa"/>
            <w:vAlign w:val="bottom"/>
            <w:tcBorders>
              <w:top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9"/>
              </w:rPr>
              <w:t>Ordinary shares, $0.01 par value</w:t>
            </w: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ALKS</w:t>
            </w:r>
          </w:p>
        </w:tc>
        <w:tc>
          <w:tcPr>
            <w:tcW w:w="24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98"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53" w:right="339" w:bottom="1440" w:gutter="0" w:footer="0" w:header="0"/>
        </w:sectPr>
      </w:pPr>
    </w:p>
    <w:p>
      <w:pPr>
        <w:spacing w:after="0" w:line="270" w:lineRule="exact"/>
        <w:rPr>
          <w:sz w:val="24"/>
          <w:szCs w:val="24"/>
          <w:color w:val="auto"/>
        </w:rPr>
      </w:pPr>
    </w:p>
    <w:p>
      <w:pPr>
        <w:ind w:left="184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190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jc w:val="center"/>
        <w:ind w:right="154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jc w:val="center"/>
        <w:ind w:right="154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jc w:val="center"/>
        <w:ind w:right="15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36" w:lineRule="exact"/>
        <w:rPr>
          <w:sz w:val="24"/>
          <w:szCs w:val="24"/>
          <w:color w:val="auto"/>
        </w:rPr>
      </w:pPr>
    </w:p>
    <w:p>
      <w:pPr>
        <w:sectPr>
          <w:pgSz w:w="11900" w:h="16838" w:orient="portrait"/>
          <w:cols w:equalWidth="0" w:num="2">
            <w:col w:w="6800" w:space="720"/>
            <w:col w:w="3720"/>
          </w:cols>
          <w:pgMar w:left="320" w:top="1253" w:right="339" w:bottom="1440" w:gutter="0" w:footer="0" w:header="0"/>
          <w:type w:val="continuous"/>
        </w:sect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9" w:lineRule="exact"/>
        <w:rPr>
          <w:sz w:val="24"/>
          <w:szCs w:val="24"/>
          <w:color w:val="auto"/>
        </w:rPr>
      </w:pPr>
    </w:p>
    <w:p>
      <w:pPr>
        <w:ind w:right="2020"/>
        <w:spacing w:after="0" w:line="31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the registrant’s ordinary shares, $0.01 par value, outstanding as of July 25, 2025 was 165,077,979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1034415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90"/>
        </w:trPr>
        <w:tc>
          <w:tcPr>
            <w:tcW w:w="7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0000FF"/>
            </w:tcBorders>
            <w:gridSpan w:val="7"/>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b w:val="1"/>
                <w:bCs w:val="1"/>
                <w:i w:val="1"/>
                <w:iCs w:val="1"/>
                <w:color w:val="0000FF"/>
              </w:rPr>
              <w:t>PART I - FINANCIAL INFORMATION</w:t>
            </w:r>
          </w:p>
        </w:tc>
        <w:tc>
          <w:tcPr>
            <w:tcW w:w="3740" w:type="dxa"/>
            <w:vAlign w:val="bottom"/>
            <w:tcBorders>
              <w:bottom w:val="single" w:sz="8" w:color="CCEEFF"/>
            </w:tcBorders>
            <w:gridSpan w:val="6"/>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80" w:type="dxa"/>
            <w:vAlign w:val="bottom"/>
            <w:gridSpan w:val="22"/>
          </w:tcPr>
          <w:p>
            <w:pPr>
              <w:ind w:left="200"/>
              <w:spacing w:after="0" w:line="176" w:lineRule="exact"/>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580" w:type="dxa"/>
            <w:vAlign w:val="bottom"/>
            <w:gridSpan w:val="22"/>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FF"/>
              </w:rPr>
              <w:t>Condensed Consolidated Balance Sheets — June 30, 2025 and December 31, 2024</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580" w:type="dxa"/>
            <w:vAlign w:val="bottom"/>
            <w:gridSpan w:val="22"/>
          </w:tcPr>
          <w:p>
            <w:pPr>
              <w:ind w:left="200"/>
              <w:spacing w:after="0" w:line="176" w:lineRule="exact"/>
              <w:rPr>
                <w:sz w:val="20"/>
                <w:szCs w:val="20"/>
                <w:color w:val="auto"/>
              </w:rPr>
            </w:pPr>
            <w:r>
              <w:rPr>
                <w:rFonts w:ascii="Times New Roman" w:cs="Times New Roman" w:eastAsia="Times New Roman" w:hAnsi="Times New Roman"/>
                <w:sz w:val="18"/>
                <w:szCs w:val="18"/>
                <w:color w:val="0000FF"/>
              </w:rPr>
              <w:t>Condensed Consolidated Statements of Income and Comprehensive Income — For the Three and Six Months Ended June 30,</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940" w:type="dxa"/>
            <w:vAlign w:val="bottom"/>
            <w:tcBorders>
              <w:top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2025 and 2024</w:t>
            </w:r>
          </w:p>
        </w:tc>
        <w:tc>
          <w:tcPr>
            <w:tcW w:w="280" w:type="dxa"/>
            <w:vAlign w:val="bottom"/>
          </w:tcPr>
          <w:p>
            <w:pPr>
              <w:spacing w:after="0"/>
              <w:rPr>
                <w:sz w:val="17"/>
                <w:szCs w:val="17"/>
                <w:color w:val="auto"/>
              </w:rPr>
            </w:pPr>
          </w:p>
        </w:tc>
        <w:tc>
          <w:tcPr>
            <w:tcW w:w="7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580" w:type="dxa"/>
            <w:vAlign w:val="bottom"/>
            <w:gridSpan w:val="22"/>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FF"/>
              </w:rPr>
              <w:t>Condensed Consolidated Statements of Cash Flows — For the Six Months Ended June 30, 2025 and 2024</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580" w:type="dxa"/>
            <w:vAlign w:val="bottom"/>
            <w:gridSpan w:val="22"/>
          </w:tcPr>
          <w:p>
            <w:pPr>
              <w:ind w:left="200"/>
              <w:spacing w:after="0" w:line="176" w:lineRule="exact"/>
              <w:rPr>
                <w:sz w:val="20"/>
                <w:szCs w:val="20"/>
                <w:color w:val="auto"/>
              </w:rPr>
            </w:pPr>
            <w:r>
              <w:rPr>
                <w:rFonts w:ascii="Times New Roman" w:cs="Times New Roman" w:eastAsia="Times New Roman" w:hAnsi="Times New Roman"/>
                <w:sz w:val="18"/>
                <w:szCs w:val="18"/>
                <w:color w:val="0000FF"/>
              </w:rPr>
              <w:t>Condensed Consolidated Statements of Shareholders’ Equity — For the Three and Six Months Ended June 30, 2025 and 2024</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580" w:type="dxa"/>
            <w:vAlign w:val="bottom"/>
            <w:gridSpan w:val="22"/>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22"/>
          </w:tcPr>
          <w:p>
            <w:pPr>
              <w:ind w:left="200"/>
              <w:spacing w:after="0" w:line="17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200" w:type="dxa"/>
            <w:vAlign w:val="bottom"/>
            <w:shd w:val="clear" w:color="auto" w:fill="CCEEFF"/>
          </w:tcPr>
          <w:p>
            <w:pPr>
              <w:spacing w:after="0"/>
              <w:rPr>
                <w:sz w:val="17"/>
                <w:szCs w:val="17"/>
                <w:color w:val="auto"/>
              </w:rPr>
            </w:pP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6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00" w:type="dxa"/>
            <w:vAlign w:val="bottom"/>
            <w:tcBorders>
              <w:top w:val="single" w:sz="8" w:color="CCEEFF"/>
            </w:tcBorders>
          </w:tcPr>
          <w:p>
            <w:pPr>
              <w:spacing w:after="0"/>
              <w:rPr>
                <w:sz w:val="15"/>
                <w:szCs w:val="15"/>
                <w:color w:val="auto"/>
              </w:rPr>
            </w:pPr>
          </w:p>
        </w:tc>
        <w:tc>
          <w:tcPr>
            <w:tcW w:w="4300" w:type="dxa"/>
            <w:vAlign w:val="bottom"/>
            <w:tcBorders>
              <w:top w:val="single" w:sz="8" w:color="0000FF"/>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FF"/>
              </w:rPr>
              <w:t>Controls and Procedures</w:t>
            </w:r>
          </w:p>
        </w:tc>
        <w:tc>
          <w:tcPr>
            <w:tcW w:w="5080" w:type="dxa"/>
            <w:vAlign w:val="bottom"/>
            <w:tcBorders>
              <w:top w:val="single" w:sz="8" w:color="CCEEFF"/>
            </w:tcBorders>
            <w:gridSpan w:val="9"/>
          </w:tcPr>
          <w:p>
            <w:pPr>
              <w:spacing w:after="0"/>
              <w:rPr>
                <w:sz w:val="15"/>
                <w:szCs w:val="15"/>
                <w:color w:val="auto"/>
              </w:rPr>
            </w:pPr>
          </w:p>
        </w:tc>
        <w:tc>
          <w:tcPr>
            <w:tcW w:w="7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40" w:type="dxa"/>
            <w:vAlign w:val="bottom"/>
            <w:gridSpan w:val="12"/>
          </w:tcPr>
          <w:p>
            <w:pPr>
              <w:jc w:val="center"/>
              <w:ind w:right="3900"/>
              <w:spacing w:after="0" w:line="176" w:lineRule="exact"/>
              <w:rPr>
                <w:sz w:val="20"/>
                <w:szCs w:val="20"/>
                <w:color w:val="auto"/>
              </w:rPr>
            </w:pPr>
            <w:r>
              <w:rPr>
                <w:rFonts w:ascii="Times New Roman" w:cs="Times New Roman" w:eastAsia="Times New Roman" w:hAnsi="Times New Roman"/>
                <w:sz w:val="18"/>
                <w:szCs w:val="18"/>
                <w:b w:val="1"/>
                <w:bCs w:val="1"/>
                <w:i w:val="1"/>
                <w:iCs w:val="1"/>
                <w:color w:val="0000FF"/>
                <w:w w:val="99"/>
              </w:rPr>
              <w:t>PART II - OTHER INFORMATION</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200" w:type="dxa"/>
            <w:vAlign w:val="bottom"/>
            <w:shd w:val="clear" w:color="auto" w:fill="CCEEFF"/>
          </w:tcPr>
          <w:p>
            <w:pPr>
              <w:spacing w:after="0"/>
              <w:rPr>
                <w:sz w:val="17"/>
                <w:szCs w:val="17"/>
                <w:color w:val="auto"/>
              </w:rPr>
            </w:pP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Legal Proceedings</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6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200" w:type="dxa"/>
            <w:vAlign w:val="bottom"/>
            <w:tcBorders>
              <w:top w:val="single" w:sz="8" w:color="CCEEFF"/>
            </w:tcBorders>
          </w:tcPr>
          <w:p>
            <w:pPr>
              <w:spacing w:after="0"/>
              <w:rPr>
                <w:sz w:val="15"/>
                <w:szCs w:val="15"/>
                <w:color w:val="auto"/>
              </w:rPr>
            </w:pPr>
          </w:p>
        </w:tc>
        <w:tc>
          <w:tcPr>
            <w:tcW w:w="1320" w:type="dxa"/>
            <w:vAlign w:val="bottom"/>
            <w:tcBorders>
              <w:top w:val="single" w:sz="8" w:color="0000FF"/>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FF"/>
              </w:rPr>
              <w:t>Risk Factors</w:t>
            </w:r>
          </w:p>
        </w:tc>
        <w:tc>
          <w:tcPr>
            <w:tcW w:w="8060" w:type="dxa"/>
            <w:vAlign w:val="bottom"/>
            <w:tcBorders>
              <w:top w:val="single" w:sz="8" w:color="CCEEFF"/>
            </w:tcBorders>
            <w:gridSpan w:val="15"/>
          </w:tcPr>
          <w:p>
            <w:pPr>
              <w:spacing w:after="0"/>
              <w:rPr>
                <w:sz w:val="15"/>
                <w:szCs w:val="15"/>
                <w:color w:val="auto"/>
              </w:rPr>
            </w:pPr>
          </w:p>
        </w:tc>
        <w:tc>
          <w:tcPr>
            <w:tcW w:w="7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200" w:type="dxa"/>
            <w:vAlign w:val="bottom"/>
            <w:shd w:val="clear" w:color="auto" w:fill="CCEEFF"/>
          </w:tcPr>
          <w:p>
            <w:pPr>
              <w:spacing w:after="0"/>
              <w:rPr>
                <w:sz w:val="17"/>
                <w:szCs w:val="17"/>
                <w:color w:val="auto"/>
              </w:rPr>
            </w:pP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6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200" w:type="dxa"/>
            <w:vAlign w:val="bottom"/>
            <w:tcBorders>
              <w:top w:val="single" w:sz="8" w:color="CCEEFF"/>
            </w:tcBorders>
          </w:tcPr>
          <w:p>
            <w:pPr>
              <w:spacing w:after="0"/>
              <w:rPr>
                <w:sz w:val="15"/>
                <w:szCs w:val="15"/>
                <w:color w:val="auto"/>
              </w:rPr>
            </w:pPr>
          </w:p>
        </w:tc>
        <w:tc>
          <w:tcPr>
            <w:tcW w:w="4340" w:type="dxa"/>
            <w:vAlign w:val="bottom"/>
            <w:tcBorders>
              <w:top w:val="single" w:sz="8" w:color="0000FF"/>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FF"/>
              </w:rPr>
              <w:t>Other Information</w:t>
            </w:r>
          </w:p>
        </w:tc>
        <w:tc>
          <w:tcPr>
            <w:tcW w:w="5040" w:type="dxa"/>
            <w:vAlign w:val="bottom"/>
            <w:tcBorders>
              <w:top w:val="single" w:sz="8" w:color="CCEEFF"/>
            </w:tcBorders>
            <w:gridSpan w:val="8"/>
          </w:tcPr>
          <w:p>
            <w:pPr>
              <w:spacing w:after="0"/>
              <w:rPr>
                <w:sz w:val="15"/>
                <w:szCs w:val="15"/>
                <w:color w:val="auto"/>
              </w:rPr>
            </w:pPr>
          </w:p>
        </w:tc>
        <w:tc>
          <w:tcPr>
            <w:tcW w:w="7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200" w:type="dxa"/>
            <w:vAlign w:val="bottom"/>
            <w:shd w:val="clear" w:color="auto" w:fill="CCEEFF"/>
          </w:tcPr>
          <w:p>
            <w:pPr>
              <w:spacing w:after="0"/>
              <w:rPr>
                <w:sz w:val="17"/>
                <w:szCs w:val="17"/>
                <w:color w:val="auto"/>
              </w:rPr>
            </w:pP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Exhibits</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6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FF"/>
              </w:rPr>
              <w:t>Signatures</w:t>
            </w:r>
          </w:p>
        </w:tc>
        <w:tc>
          <w:tcPr>
            <w:tcW w:w="200" w:type="dxa"/>
            <w:vAlign w:val="bottom"/>
            <w:tcBorders>
              <w:top w:val="single" w:sz="8" w:color="CCEE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14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6"/>
        </w:trPr>
        <w:tc>
          <w:tcPr>
            <w:tcW w:w="76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5680" w:type="dxa"/>
            <w:vAlign w:val="bottom"/>
            <w:gridSpan w:val="15"/>
          </w:tcPr>
          <w:p>
            <w:pPr>
              <w:ind w:left="46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Concerning Forward-Looking Statements</w:t>
      </w:r>
    </w:p>
    <w:p>
      <w:pPr>
        <w:spacing w:after="0" w:line="162"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This document contains and incorporates by reference “forward-looking statements” within the meaning of Section 27A of the Securities Act of 1933, as amended (the “Securities Act”), and Section 21E of the Securities Exchange Act of 1934, as amended (the “Exchange Act”). In some cases, these statements can be identified by the use of forward-looking terminology such as “may,” “will,” “could,” “should,” “would,” “expect,” “anticipate,” “continue,” “believe,” “plan,” “estimate,” “intend” or other similar words. These statements discuss future expectations and contain projections of results of operations or of financial condition, or state trends and known uncertainties or other forward-looking information. Forward-looking statements in this Quarterly Report on Form 10-Q (this “Form 10-Q”) may include, without limitation, statements regarding:</w:t>
      </w:r>
    </w:p>
    <w:p>
      <w:pPr>
        <w:spacing w:after="0" w:line="79" w:lineRule="exact"/>
        <w:rPr>
          <w:sz w:val="20"/>
          <w:szCs w:val="20"/>
          <w:color w:val="auto"/>
        </w:rPr>
      </w:pPr>
    </w:p>
    <w:p>
      <w:pPr>
        <w:ind w:left="760" w:right="8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financial performance, including revenues, expenses, liquidity, capital expenditures, income taxes and profitability;</w:t>
      </w:r>
    </w:p>
    <w:p>
      <w:pPr>
        <w:spacing w:after="0" w:line="40"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products, including expectations related to product development, regulatory filings, approvals and timelines; therapeutic and commercial value, scope and potential; and the costs and expenses related to such activities and expectations;</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design and results of clinical trials of our products;</w:t>
      </w:r>
    </w:p>
    <w:p>
      <w:pPr>
        <w:spacing w:after="0" w:line="103" w:lineRule="exact"/>
        <w:rPr>
          <w:rFonts w:ascii="Times New Roman" w:cs="Times New Roman" w:eastAsia="Times New Roman" w:hAnsi="Times New Roman"/>
          <w:sz w:val="18"/>
          <w:szCs w:val="18"/>
          <w:color w:val="auto"/>
        </w:rPr>
      </w:pPr>
    </w:p>
    <w:p>
      <w:pPr>
        <w:ind w:left="760" w:right="140" w:hanging="378"/>
        <w:spacing w:after="0" w:line="26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competitive, payer, legislative, regulatory and policy landscape, and changes therein, related to our products, including competition from generic forms of our products or competitive products and development programs; barriers to access or coverage of our products and potential changes in reimbursement of our products; and legislation, regulations, executive orders, guidance or other measures that may impact pricing and reimbursement of, and access to, our products;</w:t>
      </w:r>
    </w:p>
    <w:p>
      <w:pPr>
        <w:spacing w:after="0" w:line="5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financial impact of currency exchange rate fluctuations and valuations;</w:t>
      </w:r>
    </w:p>
    <w:p>
      <w:pPr>
        <w:spacing w:after="0" w:line="90"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acquisitions, collaborations, licensing arrangements and other significant agreements with third parties, including those related to our products, development programs, and other business development opportunities;</w:t>
      </w:r>
    </w:p>
    <w:p>
      <w:pPr>
        <w:spacing w:after="0" w:line="40"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impacts of new legislation, rules and regulations, the adoption of new accounting pronouncements, potential government shutdowns, or other global, political or economic changes, instability or disruptions;</w:t>
      </w:r>
    </w:p>
    <w:p>
      <w:pPr>
        <w:spacing w:after="0" w:line="40"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near-term changes in the nature of our market risk exposures or in our management’s objectives and strategies with respect to managing such exposures;</w:t>
      </w:r>
    </w:p>
    <w:p>
      <w:pPr>
        <w:spacing w:after="0" w:line="26"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capital requirements and expenditures for our operations and our ability to finance such capital requirements and expenditures;</w:t>
      </w:r>
    </w:p>
    <w:p>
      <w:pPr>
        <w:spacing w:after="0" w:line="40"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outcome and impact of administrative, regulatory, legal and other proceedings related to our products and intellectual property (“IP”), including our patents, know-how, and related rights or obligations;</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tax treatment and other anticipated benefits of the completed separation of our oncology business;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expectations discussed elsewhere in this Form 10-Q.</w:t>
      </w:r>
    </w:p>
    <w:p>
      <w:pPr>
        <w:spacing w:after="0" w:line="185"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Actual results might differ materially from those expressed or implied by these forward-looking statements because these forward-looking statements are subject to risks, assumptions and uncertainties. In light of these risks, assumptions and uncertainties, the forward-looking expectations discussed in this Form 10-Q might not occur. You are cautioned not to place undue reliance on the forward-looking statements in this Form 10-Q, which speak only as of the date of this Form 10-Q. All subsequent written and oral forward-looking statements concerning the matters addressed in this Form 10-Q and attributable to us or any person acting on our behalf are expressly qualified in their entirety by the cautionary statements contained or referred to in this section. Except as required by applicable law or regulation, we do not undertake any obligation to update publicly or revise any forward-looking statements, whether as a result of new information, future events or otherwise. For information about the risks, assumptions and uncertainties of our business, see “Part I, Item 1A—Risk Factors” in our Annual Report on Form 10-K for the year ended December 31, 2024, filed with the United States (“U.S.”) Securities and Exchange Commission (the “SEC”) on February 12, 2025 (our “Annual Report”) and “Part II, Item 1A—Risk Factors” in this Form 10-Q.</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 w:name="page4"/>
    <w:bookmarkEnd w:id="3"/>
    <w:p>
      <w:pPr>
        <w:spacing w:after="0" w:line="5"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This Form 10-Q may include data that we obtained from industry publications and third-party research, surveys and studies. Industry publications and third-party research, surveys and studies generally indicate that their information has been obtained from sources believed to be reliable, although they do not guarantee the accuracy or completeness of such information. While we believe that any industry publications and third-party research, surveys and studies from which data is included in this Form 10-Q are reliable, we have not independently verified any such data. This Form 10-Q may also include data based on our own internal estimates and research. Our internal estimates and research have not been verified by any independent source and are necessarily subject to a high degree of uncertainty and risk due to a variety of factors, including those described in “Part I, Item 1A—Risk Factors” in our Annual Report and “Part II, Item 1A—Risk Factors” in this Form 10-Q. These and other factors could cause our results to differ materially from those expressed or implied in this Form 10-Q.</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Company and Product References</w:t>
      </w:r>
    </w:p>
    <w:p>
      <w:pPr>
        <w:spacing w:after="0" w:line="18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Alkermes plc is a global biopharmaceutical company that seeks to develop innovative medicines in the field of neuroscience. We have a portfolio of proprietary commercial products for the treatment of alcohol dependence, opioid dependence, schizophrenia and bipolar I disorder, and a pipeline of clinical and preclinical candidates in development for neurological disorders, including narcolepsy and idiopathic hypersomnia. Use of terms such as “us,” “we,” “our,” “Alkermes” or the “Company” in this Form 10-Q is meant to refer to Alkermes plc and its consolidated subsidiaries. Except as otherwise suggested by the context, (a) references to “products” or “our products” in this Form 10-Q include our marketed products, marketed products using our proprietary technologies, our licensed products, our product candidates and product candidates using our proprietary technologies, (b) references to the “biopharmaceutical industry” in this Form 10-Q are intended to include reference to the “biotechnology industry” and/or the “pharmaceutical industry” and (c) references to “licensees” in this Form 10-Q are used interchangeably with references to “partners.”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w:t>
      </w:r>
    </w:p>
    <w:p>
      <w:pPr>
        <w:spacing w:after="0" w:line="195" w:lineRule="exact"/>
        <w:rPr>
          <w:sz w:val="20"/>
          <w:szCs w:val="20"/>
          <w:color w:val="auto"/>
        </w:rPr>
      </w:pPr>
    </w:p>
    <w:p>
      <w:pPr>
        <w:ind w:right="660" w:firstLine="374"/>
        <w:spacing w:after="0" w:line="237" w:lineRule="auto"/>
        <w:rPr>
          <w:sz w:val="20"/>
          <w:szCs w:val="20"/>
          <w:color w:val="auto"/>
        </w:rPr>
      </w:pPr>
      <w:r>
        <w:rPr>
          <w:rFonts w:ascii="Times New Roman" w:cs="Times New Roman" w:eastAsia="Times New Roman" w:hAnsi="Times New Roman"/>
          <w:sz w:val="18"/>
          <w:szCs w:val="18"/>
          <w:color w:val="auto"/>
        </w:rPr>
        <w:t>We are the owner of various U.S. federal trademark registrations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other trademarks (“</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including ALKERMES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ARISTADA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ARISTADA INITIO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LinkeRx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LYBALVI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NanoCrystal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VIVITROL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right="20" w:firstLine="374"/>
        <w:spacing w:after="0" w:line="215" w:lineRule="auto"/>
        <w:rPr>
          <w:sz w:val="20"/>
          <w:szCs w:val="20"/>
          <w:color w:val="auto"/>
        </w:rPr>
      </w:pPr>
      <w:r>
        <w:rPr>
          <w:rFonts w:ascii="Times New Roman" w:cs="Times New Roman" w:eastAsia="Times New Roman" w:hAnsi="Times New Roman"/>
          <w:sz w:val="18"/>
          <w:szCs w:val="18"/>
          <w:color w:val="auto"/>
        </w:rPr>
        <w:t>The following are trademarks of the respective companies listed: BYANNLI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INVEGA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INVEGA HAFYERA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INVEGA SUSTENNA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INVEGA TRINZA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RISPERDAL CONSTA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TREVICTA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XEPLION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—Johnson &amp; Johnson or its affiliated companies; FAMPYRA</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—Merz Pharmaceuticals, LLC; and VUMERITY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—Biogen MA Inc. (together with its affiliates, “Biogen”). Other trademarks, trade names and service marks appearing in this Form 10-Q are the property of their respective owners. Solely for convenience, the trademarks and trade names in this Form 10-Q may be referred to without the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symbol, but such references should not be construed as any indicator that their respective owners will not assert, to the fullest extent under applicable law, their rights thereto.</w:t>
      </w: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7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0" w:type="dxa"/>
            <w:vAlign w:val="bottom"/>
            <w:gridSpan w:val="4"/>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r>
      <w:tr>
        <w:trPr>
          <w:trHeight w:val="216"/>
        </w:trPr>
        <w:tc>
          <w:tcPr>
            <w:tcW w:w="7480" w:type="dxa"/>
            <w:vAlign w:val="bottom"/>
            <w:shd w:val="clear" w:color="auto" w:fill="CFF0FC"/>
          </w:tcPr>
          <w:p>
            <w:pPr>
              <w:ind w:left="33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521,199</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291,146</w:t>
            </w: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Investments—short-term</w:t>
            </w:r>
          </w:p>
        </w:tc>
        <w:tc>
          <w:tcPr>
            <w:tcW w:w="160" w:type="dxa"/>
            <w:vAlign w:val="bottom"/>
          </w:tcPr>
          <w:p>
            <w:pPr>
              <w:spacing w:after="0"/>
              <w:rPr>
                <w:sz w:val="18"/>
                <w:szCs w:val="18"/>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494,540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460,522</w:t>
            </w: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354,906</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384,528</w:t>
            </w: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8"/>
                <w:szCs w:val="18"/>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191,924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182,887</w:t>
            </w: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71,295</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91,282</w:t>
            </w:r>
          </w:p>
        </w:tc>
      </w:tr>
      <w:tr>
        <w:trPr>
          <w:trHeight w:val="216"/>
        </w:trPr>
        <w:tc>
          <w:tcPr>
            <w:tcW w:w="74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1,424</w:t>
            </w:r>
          </w:p>
        </w:tc>
        <w:tc>
          <w:tcPr>
            <w:tcW w:w="1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4,990</w:t>
            </w:r>
          </w:p>
        </w:tc>
      </w:tr>
      <w:tr>
        <w:trPr>
          <w:trHeight w:val="209"/>
        </w:trPr>
        <w:tc>
          <w:tcPr>
            <w:tcW w:w="74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1,635,288</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1,415,355</w:t>
            </w:r>
          </w:p>
        </w:tc>
      </w:tr>
      <w:tr>
        <w:trPr>
          <w:trHeight w:val="21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8"/>
                <w:szCs w:val="18"/>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239,399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227,564</w:t>
            </w: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INVESTMENTS—LONG-TERM</w:t>
            </w: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38,269</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73,148</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spacing w:after="0"/>
              <w:rPr>
                <w:sz w:val="18"/>
                <w:szCs w:val="18"/>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80,532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84,245</w:t>
            </w: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 AND GOODWILL</w:t>
            </w: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83,880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83,917</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tcPr>
          <w:p>
            <w:pPr>
              <w:spacing w:after="0"/>
              <w:rPr>
                <w:sz w:val="18"/>
                <w:szCs w:val="18"/>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155,533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154,835</w:t>
            </w:r>
          </w:p>
        </w:tc>
      </w:tr>
      <w:tr>
        <w:trPr>
          <w:trHeight w:val="216"/>
        </w:trPr>
        <w:tc>
          <w:tcPr>
            <w:tcW w:w="7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19,908</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16,503</w:t>
            </w:r>
          </w:p>
        </w:tc>
      </w:tr>
      <w:tr>
        <w:trPr>
          <w:trHeight w:val="209"/>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2,252,809</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2,055,567</w:t>
            </w:r>
          </w:p>
        </w:tc>
      </w:tr>
      <w:tr>
        <w:trPr>
          <w:trHeight w:val="20"/>
        </w:trPr>
        <w:tc>
          <w:tcPr>
            <w:tcW w:w="7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480" w:type="dxa"/>
            <w:vAlign w:val="bottom"/>
            <w:shd w:val="clear" w:color="auto" w:fill="CFF0FC"/>
          </w:tcPr>
          <w:p>
            <w:pPr>
              <w:ind w:left="170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245,749</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185,332</w:t>
            </w: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sales discounts, allowances and reserves</w:t>
            </w:r>
          </w:p>
        </w:tc>
        <w:tc>
          <w:tcPr>
            <w:tcW w:w="160" w:type="dxa"/>
            <w:vAlign w:val="bottom"/>
          </w:tcPr>
          <w:p>
            <w:pPr>
              <w:spacing w:after="0"/>
              <w:rPr>
                <w:sz w:val="18"/>
                <w:szCs w:val="18"/>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253,173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272,452</w:t>
            </w: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liabilities—short-term</w:t>
            </w: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6,462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6,166</w:t>
            </w:r>
          </w:p>
        </w:tc>
      </w:tr>
      <w:tr>
        <w:trPr>
          <w:trHeight w:val="216"/>
        </w:trPr>
        <w:tc>
          <w:tcPr>
            <w:tcW w:w="74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Contract liabilities—short-term</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578</w:t>
            </w:r>
          </w:p>
        </w:tc>
        <w:tc>
          <w:tcPr>
            <w:tcW w:w="1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1,249</w:t>
            </w:r>
          </w:p>
        </w:tc>
      </w:tr>
      <w:tr>
        <w:trPr>
          <w:trHeight w:val="210"/>
        </w:trPr>
        <w:tc>
          <w:tcPr>
            <w:tcW w:w="74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505,962</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465,199</w:t>
            </w:r>
          </w:p>
        </w:tc>
      </w:tr>
      <w:tr>
        <w:trPr>
          <w:trHeight w:val="21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LIABILITIES—LONG-TERM</w:t>
            </w:r>
          </w:p>
        </w:tc>
        <w:tc>
          <w:tcPr>
            <w:tcW w:w="160" w:type="dxa"/>
            <w:vAlign w:val="bottom"/>
          </w:tcPr>
          <w:p>
            <w:pPr>
              <w:spacing w:after="0"/>
              <w:rPr>
                <w:sz w:val="18"/>
                <w:szCs w:val="18"/>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66,216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69,372</w:t>
            </w: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56,047</w:t>
            </w:r>
          </w:p>
        </w:tc>
        <w:tc>
          <w:tcPr>
            <w:tcW w:w="1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56,019</w:t>
            </w:r>
          </w:p>
        </w:tc>
      </w:tr>
      <w:tr>
        <w:trPr>
          <w:trHeight w:val="21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628,225</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590,590</w:t>
            </w:r>
          </w:p>
        </w:tc>
      </w:tr>
      <w:tr>
        <w:trPr>
          <w:trHeight w:val="210"/>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CONTINGENT LIABILITIES (Note 16)</w:t>
            </w: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8"/>
        </w:trPr>
        <w:tc>
          <w:tcPr>
            <w:tcW w:w="748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shares, par value, $0.01 per share; 50,000,000 shares authorized; and zero issued and</w:t>
            </w:r>
          </w:p>
        </w:tc>
        <w:tc>
          <w:tcPr>
            <w:tcW w:w="1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r>
      <w:tr>
        <w:trPr>
          <w:trHeight w:val="234"/>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at June 30, 2025 and December 31, 2024</w:t>
            </w:r>
          </w:p>
        </w:tc>
        <w:tc>
          <w:tcPr>
            <w:tcW w:w="16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Ordinary shares, par value, $0.01 per share; 450,000,000 shares authorized; 180,439,750 and</w:t>
            </w: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176,670,785 shares issued; and 165,054,912 and 162,176,994 shares outstanding at June 30, 2025</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4"/>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December 31, 2024, respectively</w:t>
            </w:r>
          </w:p>
        </w:tc>
        <w:tc>
          <w:tcPr>
            <w:tcW w:w="160" w:type="dxa"/>
            <w:vAlign w:val="bottom"/>
          </w:tcPr>
          <w:p>
            <w:pPr>
              <w:spacing w:after="0"/>
              <w:rPr>
                <w:sz w:val="20"/>
                <w:szCs w:val="20"/>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1,805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1,767</w:t>
            </w:r>
          </w:p>
        </w:tc>
      </w:tr>
      <w:tr>
        <w:trPr>
          <w:trHeight w:val="198"/>
        </w:trPr>
        <w:tc>
          <w:tcPr>
            <w:tcW w:w="748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Treasury shares, at cost (15,384,838 and 14,493,791 shares at June 30, 2025 and December 31,</w:t>
            </w:r>
          </w:p>
        </w:tc>
        <w:tc>
          <w:tcPr>
            <w:tcW w:w="1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r>
      <w:tr>
        <w:trPr>
          <w:trHeight w:val="234"/>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2024, respectively)</w:t>
            </w:r>
          </w:p>
        </w:tc>
        <w:tc>
          <w:tcPr>
            <w:tcW w:w="16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(449,714)</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(419,255)</w:t>
            </w: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2,940,789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2,860,890</w:t>
            </w: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w:t>
            </w: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(866,896)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(976,458)</w:t>
            </w:r>
          </w:p>
        </w:tc>
      </w:tr>
      <w:tr>
        <w:trPr>
          <w:trHeight w:val="210"/>
        </w:trPr>
        <w:tc>
          <w:tcPr>
            <w:tcW w:w="74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1,624,584</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1,464,977</w:t>
            </w:r>
          </w:p>
        </w:tc>
      </w:tr>
      <w:tr>
        <w:trPr>
          <w:trHeight w:val="209"/>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2,252,809</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2,055,567</w:t>
            </w:r>
          </w:p>
        </w:tc>
      </w:tr>
      <w:tr>
        <w:trPr>
          <w:trHeight w:val="20"/>
        </w:trPr>
        <w:tc>
          <w:tcPr>
            <w:tcW w:w="7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5873115</wp:posOffset>
            </wp:positionH>
            <wp:positionV relativeFrom="paragraph">
              <wp:posOffset>-4529455</wp:posOffset>
            </wp:positionV>
            <wp:extent cx="128270" cy="179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797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-3539490</wp:posOffset>
            </wp:positionV>
            <wp:extent cx="1028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5873115</wp:posOffset>
            </wp:positionH>
            <wp:positionV relativeFrom="paragraph">
              <wp:posOffset>-2557780</wp:posOffset>
            </wp:positionV>
            <wp:extent cx="128270"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270" cy="179705"/>
                    </a:xfrm>
                    <a:prstGeom prst="rect">
                      <a:avLst/>
                    </a:prstGeom>
                    <a:noFill/>
                  </pic:spPr>
                </pic:pic>
              </a:graphicData>
            </a:graphic>
          </wp:anchor>
        </w:drawing>
        <w:drawing>
          <wp:anchor simplePos="0" relativeHeight="251657728" behindDoc="1" locked="0" layoutInCell="0" allowOverlap="1">
            <wp:simplePos x="0" y="0"/>
            <wp:positionH relativeFrom="column">
              <wp:posOffset>5873115</wp:posOffset>
            </wp:positionH>
            <wp:positionV relativeFrom="paragraph">
              <wp:posOffset>-2129155</wp:posOffset>
            </wp:positionV>
            <wp:extent cx="12827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270" cy="1797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1028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00" w:type="dxa"/>
            <w:vAlign w:val="bottom"/>
            <w:gridSpan w:val="4"/>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4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60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4"/>
              </w:rPr>
              <w:t>(In thousands, except</w:t>
            </w:r>
          </w:p>
        </w:tc>
        <w:tc>
          <w:tcPr>
            <w:tcW w:w="120" w:type="dxa"/>
            <w:vAlign w:val="bottom"/>
          </w:tcPr>
          <w:p>
            <w:pPr>
              <w:spacing w:after="0"/>
              <w:rPr>
                <w:sz w:val="12"/>
                <w:szCs w:val="12"/>
                <w:color w:val="auto"/>
              </w:rPr>
            </w:pPr>
          </w:p>
        </w:tc>
        <w:tc>
          <w:tcPr>
            <w:tcW w:w="1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per share amounts)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Product sales, net</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307,235</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269,273</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551,728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502,809</w:t>
            </w:r>
          </w:p>
        </w:tc>
        <w:tc>
          <w:tcPr>
            <w:tcW w:w="0" w:type="dxa"/>
            <w:vAlign w:val="bottom"/>
          </w:tcPr>
          <w:p>
            <w:pPr>
              <w:spacing w:after="0"/>
              <w:rPr>
                <w:sz w:val="1"/>
                <w:szCs w:val="1"/>
                <w:color w:val="auto"/>
              </w:rPr>
            </w:pPr>
          </w:p>
        </w:tc>
      </w:tr>
      <w:tr>
        <w:trPr>
          <w:trHeight w:val="203"/>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Manufacturing and royalty revenues</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83,422</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129,858</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145,439</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246,691</w:t>
            </w:r>
          </w:p>
        </w:tc>
        <w:tc>
          <w:tcPr>
            <w:tcW w:w="0" w:type="dxa"/>
            <w:vAlign w:val="bottom"/>
          </w:tcPr>
          <w:p>
            <w:pPr>
              <w:spacing w:after="0"/>
              <w:rPr>
                <w:sz w:val="1"/>
                <w:szCs w:val="1"/>
                <w:color w:val="auto"/>
              </w:rPr>
            </w:pPr>
          </w:p>
        </w:tc>
      </w:tr>
      <w:tr>
        <w:trPr>
          <w:trHeight w:val="203"/>
        </w:trPr>
        <w:tc>
          <w:tcPr>
            <w:tcW w:w="6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 revenue</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96"/>
        </w:trPr>
        <w:tc>
          <w:tcPr>
            <w:tcW w:w="60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390,657</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399,131</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697,167</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749,503</w:t>
            </w:r>
          </w:p>
        </w:tc>
        <w:tc>
          <w:tcPr>
            <w:tcW w:w="0" w:type="dxa"/>
            <w:vAlign w:val="bottom"/>
          </w:tcPr>
          <w:p>
            <w:pPr>
              <w:spacing w:after="0"/>
              <w:rPr>
                <w:sz w:val="1"/>
                <w:szCs w:val="1"/>
                <w:color w:val="auto"/>
              </w:rPr>
            </w:pPr>
          </w:p>
        </w:tc>
      </w:tr>
      <w:tr>
        <w:trPr>
          <w:trHeight w:val="196"/>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EXPENSES: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Cost of goods manufactured and sold (exclusive of amortization of acquired intangible</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assets shown below)</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49,460</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61,472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98,657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120,116</w:t>
            </w:r>
          </w:p>
        </w:tc>
        <w:tc>
          <w:tcPr>
            <w:tcW w:w="0" w:type="dxa"/>
            <w:vAlign w:val="bottom"/>
          </w:tcPr>
          <w:p>
            <w:pPr>
              <w:spacing w:after="0"/>
              <w:rPr>
                <w:sz w:val="1"/>
                <w:szCs w:val="1"/>
                <w:color w:val="auto"/>
              </w:rPr>
            </w:pPr>
          </w:p>
        </w:tc>
      </w:tr>
      <w:tr>
        <w:trPr>
          <w:trHeight w:val="203"/>
        </w:trPr>
        <w:tc>
          <w:tcPr>
            <w:tcW w:w="6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77,370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59,649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149,187</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127,260</w:t>
            </w:r>
          </w:p>
        </w:tc>
        <w:tc>
          <w:tcPr>
            <w:tcW w:w="0" w:type="dxa"/>
            <w:vAlign w:val="bottom"/>
          </w:tcPr>
          <w:p>
            <w:pPr>
              <w:spacing w:after="0"/>
              <w:rPr>
                <w:sz w:val="1"/>
                <w:szCs w:val="1"/>
                <w:color w:val="auto"/>
              </w:rPr>
            </w:pPr>
          </w:p>
        </w:tc>
      </w:tr>
      <w:tr>
        <w:trPr>
          <w:trHeight w:val="203"/>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170,849</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168,113</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342,553</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347,862</w:t>
            </w:r>
          </w:p>
        </w:tc>
        <w:tc>
          <w:tcPr>
            <w:tcW w:w="0" w:type="dxa"/>
            <w:vAlign w:val="bottom"/>
          </w:tcPr>
          <w:p>
            <w:pPr>
              <w:spacing w:after="0"/>
              <w:rPr>
                <w:sz w:val="1"/>
                <w:szCs w:val="1"/>
                <w:color w:val="auto"/>
              </w:rPr>
            </w:pPr>
          </w:p>
        </w:tc>
      </w:tr>
      <w:tr>
        <w:trPr>
          <w:trHeight w:val="203"/>
        </w:trPr>
        <w:tc>
          <w:tcPr>
            <w:tcW w:w="600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1,073</w:t>
            </w:r>
          </w:p>
        </w:tc>
        <w:tc>
          <w:tcPr>
            <w:tcW w:w="0" w:type="dxa"/>
            <w:vAlign w:val="bottom"/>
          </w:tcPr>
          <w:p>
            <w:pPr>
              <w:spacing w:after="0"/>
              <w:rPr>
                <w:sz w:val="1"/>
                <w:szCs w:val="1"/>
                <w:color w:val="auto"/>
              </w:rPr>
            </w:pPr>
          </w:p>
        </w:tc>
      </w:tr>
      <w:tr>
        <w:trPr>
          <w:trHeight w:val="196"/>
        </w:trPr>
        <w:tc>
          <w:tcPr>
            <w:tcW w:w="60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expenses</w:t>
            </w: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297,679</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289,248</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590,397</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596,311</w:t>
            </w:r>
          </w:p>
        </w:tc>
        <w:tc>
          <w:tcPr>
            <w:tcW w:w="0" w:type="dxa"/>
            <w:vAlign w:val="bottom"/>
          </w:tcPr>
          <w:p>
            <w:pPr>
              <w:spacing w:after="0"/>
              <w:rPr>
                <w:sz w:val="1"/>
                <w:szCs w:val="1"/>
                <w:color w:val="auto"/>
              </w:rPr>
            </w:pPr>
          </w:p>
        </w:tc>
      </w:tr>
      <w:tr>
        <w:trPr>
          <w:trHeight w:val="196"/>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OPERATING INCOME FROM CONTINUING OPERATIONS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92,978</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109,883</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106,770</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153,192</w:t>
            </w:r>
          </w:p>
        </w:tc>
        <w:tc>
          <w:tcPr>
            <w:tcW w:w="0" w:type="dxa"/>
            <w:vAlign w:val="bottom"/>
          </w:tcPr>
          <w:p>
            <w:pPr>
              <w:spacing w:after="0"/>
              <w:rPr>
                <w:sz w:val="1"/>
                <w:szCs w:val="1"/>
                <w:color w:val="auto"/>
              </w:rPr>
            </w:pPr>
          </w:p>
        </w:tc>
      </w:tr>
      <w:tr>
        <w:trPr>
          <w:trHeight w:val="19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11,090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10,735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21,231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20,134</w:t>
            </w:r>
          </w:p>
        </w:tc>
        <w:tc>
          <w:tcPr>
            <w:tcW w:w="0" w:type="dxa"/>
            <w:vAlign w:val="bottom"/>
          </w:tcPr>
          <w:p>
            <w:pPr>
              <w:spacing w:after="0"/>
              <w:rPr>
                <w:sz w:val="1"/>
                <w:szCs w:val="1"/>
                <w:color w:val="auto"/>
              </w:rPr>
            </w:pPr>
          </w:p>
        </w:tc>
      </w:tr>
      <w:tr>
        <w:trPr>
          <w:trHeight w:val="203"/>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(5,952)</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(11,930)</w:t>
            </w:r>
          </w:p>
        </w:tc>
        <w:tc>
          <w:tcPr>
            <w:tcW w:w="0" w:type="dxa"/>
            <w:vAlign w:val="bottom"/>
          </w:tcPr>
          <w:p>
            <w:pPr>
              <w:spacing w:after="0"/>
              <w:rPr>
                <w:sz w:val="1"/>
                <w:szCs w:val="1"/>
                <w:color w:val="auto"/>
              </w:rPr>
            </w:pPr>
          </w:p>
        </w:tc>
      </w:tr>
      <w:tr>
        <w:trPr>
          <w:trHeight w:val="203"/>
        </w:trPr>
        <w:tc>
          <w:tcPr>
            <w:tcW w:w="6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771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2,053</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2,327</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2,235</w:t>
            </w:r>
          </w:p>
        </w:tc>
        <w:tc>
          <w:tcPr>
            <w:tcW w:w="0" w:type="dxa"/>
            <w:vAlign w:val="bottom"/>
          </w:tcPr>
          <w:p>
            <w:pPr>
              <w:spacing w:after="0"/>
              <w:rPr>
                <w:sz w:val="1"/>
                <w:szCs w:val="1"/>
                <w:color w:val="auto"/>
              </w:rPr>
            </w:pPr>
          </w:p>
        </w:tc>
      </w:tr>
      <w:tr>
        <w:trPr>
          <w:trHeight w:val="196"/>
        </w:trPr>
        <w:tc>
          <w:tcPr>
            <w:tcW w:w="60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other income, net</w:t>
            </w: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11,861</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6,836</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23,558</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10,439</w:t>
            </w:r>
          </w:p>
        </w:tc>
        <w:tc>
          <w:tcPr>
            <w:tcW w:w="0" w:type="dxa"/>
            <w:vAlign w:val="bottom"/>
          </w:tcPr>
          <w:p>
            <w:pPr>
              <w:spacing w:after="0"/>
              <w:rPr>
                <w:sz w:val="1"/>
                <w:szCs w:val="1"/>
                <w:color w:val="auto"/>
              </w:rPr>
            </w:pPr>
          </w:p>
        </w:tc>
      </w:tr>
      <w:tr>
        <w:trPr>
          <w:trHeight w:val="196"/>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104,839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116,719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130,328</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163,631</w:t>
            </w:r>
          </w:p>
        </w:tc>
        <w:tc>
          <w:tcPr>
            <w:tcW w:w="0" w:type="dxa"/>
            <w:vAlign w:val="bottom"/>
          </w:tcPr>
          <w:p>
            <w:pPr>
              <w:spacing w:after="0"/>
              <w:rPr>
                <w:sz w:val="1"/>
                <w:szCs w:val="1"/>
                <w:color w:val="auto"/>
              </w:rPr>
            </w:pPr>
          </w:p>
        </w:tc>
      </w:tr>
      <w:tr>
        <w:trPr>
          <w:trHeight w:val="196"/>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17,741</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22,061</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20,766</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30,025</w:t>
            </w:r>
          </w:p>
        </w:tc>
        <w:tc>
          <w:tcPr>
            <w:tcW w:w="0" w:type="dxa"/>
            <w:vAlign w:val="bottom"/>
          </w:tcPr>
          <w:p>
            <w:pPr>
              <w:spacing w:after="0"/>
              <w:rPr>
                <w:sz w:val="1"/>
                <w:szCs w:val="1"/>
                <w:color w:val="auto"/>
              </w:rPr>
            </w:pPr>
          </w:p>
        </w:tc>
      </w:tr>
      <w:tr>
        <w:trPr>
          <w:trHeight w:val="196"/>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87,098</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94,658</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109,562</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133,606</w:t>
            </w:r>
          </w:p>
        </w:tc>
        <w:tc>
          <w:tcPr>
            <w:tcW w:w="0" w:type="dxa"/>
            <w:vAlign w:val="bottom"/>
          </w:tcPr>
          <w:p>
            <w:pPr>
              <w:spacing w:after="0"/>
              <w:rPr>
                <w:sz w:val="1"/>
                <w:szCs w:val="1"/>
                <w:color w:val="auto"/>
              </w:rPr>
            </w:pPr>
          </w:p>
        </w:tc>
      </w:tr>
      <w:tr>
        <w:trPr>
          <w:trHeight w:val="196"/>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(5,420)</w:t>
            </w:r>
          </w:p>
        </w:tc>
        <w:tc>
          <w:tcPr>
            <w:tcW w:w="0" w:type="dxa"/>
            <w:vAlign w:val="bottom"/>
          </w:tcPr>
          <w:p>
            <w:pPr>
              <w:spacing w:after="0"/>
              <w:rPr>
                <w:sz w:val="1"/>
                <w:szCs w:val="1"/>
                <w:color w:val="auto"/>
              </w:rPr>
            </w:pPr>
          </w:p>
        </w:tc>
      </w:tr>
      <w:tr>
        <w:trPr>
          <w:trHeight w:val="196"/>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87,098</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91,358</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109,562</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128,186</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ORDINARY SHARE:</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Earnings per ordinary share from continuing operations - basic</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0.53</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0.56</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0.67</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0.79</w:t>
            </w:r>
          </w:p>
        </w:tc>
        <w:tc>
          <w:tcPr>
            <w:tcW w:w="0" w:type="dxa"/>
            <w:vAlign w:val="bottom"/>
          </w:tcPr>
          <w:p>
            <w:pPr>
              <w:spacing w:after="0"/>
              <w:rPr>
                <w:sz w:val="1"/>
                <w:szCs w:val="1"/>
                <w:color w:val="auto"/>
              </w:rPr>
            </w:pPr>
          </w:p>
        </w:tc>
      </w:tr>
      <w:tr>
        <w:trPr>
          <w:trHeight w:val="20"/>
        </w:trPr>
        <w:tc>
          <w:tcPr>
            <w:tcW w:w="60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per ordinary share from discontinued operations - basic</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5"/>
                <w:szCs w:val="15"/>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Earnings per ordinary share - basic</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0.53</w:t>
            </w:r>
          </w:p>
        </w:tc>
        <w:tc>
          <w:tcPr>
            <w:tcW w:w="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0.54</w:t>
            </w:r>
          </w:p>
        </w:tc>
        <w:tc>
          <w:tcPr>
            <w:tcW w:w="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0.67</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0.76</w:t>
            </w:r>
          </w:p>
        </w:tc>
        <w:tc>
          <w:tcPr>
            <w:tcW w:w="0" w:type="dxa"/>
            <w:vAlign w:val="bottom"/>
          </w:tcPr>
          <w:p>
            <w:pPr>
              <w:spacing w:after="0"/>
              <w:rPr>
                <w:sz w:val="1"/>
                <w:szCs w:val="1"/>
                <w:color w:val="auto"/>
              </w:rPr>
            </w:pPr>
          </w:p>
        </w:tc>
      </w:tr>
      <w:tr>
        <w:trPr>
          <w:trHeight w:val="183"/>
        </w:trPr>
        <w:tc>
          <w:tcPr>
            <w:tcW w:w="600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Earnings per ordinary share from continuing operations - diluted</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0.52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0.55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0.65</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0.78</w:t>
            </w:r>
          </w:p>
        </w:tc>
        <w:tc>
          <w:tcPr>
            <w:tcW w:w="0" w:type="dxa"/>
            <w:vAlign w:val="bottom"/>
          </w:tcPr>
          <w:p>
            <w:pPr>
              <w:spacing w:after="0"/>
              <w:rPr>
                <w:sz w:val="1"/>
                <w:szCs w:val="1"/>
                <w:color w:val="auto"/>
              </w:rPr>
            </w:pPr>
          </w:p>
        </w:tc>
      </w:tr>
      <w:tr>
        <w:trPr>
          <w:trHeight w:val="20"/>
        </w:trPr>
        <w:tc>
          <w:tcPr>
            <w:tcW w:w="60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per ordinary share from discontinued operations - diluted</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5"/>
                <w:szCs w:val="15"/>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Earnings per ordinary share - diluted</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0.52</w:t>
            </w:r>
          </w:p>
        </w:tc>
        <w:tc>
          <w:tcPr>
            <w:tcW w:w="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0.53</w:t>
            </w:r>
          </w:p>
        </w:tc>
        <w:tc>
          <w:tcPr>
            <w:tcW w:w="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0.65</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0.75</w:t>
            </w:r>
          </w:p>
        </w:tc>
        <w:tc>
          <w:tcPr>
            <w:tcW w:w="0" w:type="dxa"/>
            <w:vAlign w:val="bottom"/>
          </w:tcPr>
          <w:p>
            <w:pPr>
              <w:spacing w:after="0"/>
              <w:rPr>
                <w:sz w:val="1"/>
                <w:szCs w:val="1"/>
                <w:color w:val="auto"/>
              </w:rPr>
            </w:pPr>
          </w:p>
        </w:tc>
      </w:tr>
      <w:tr>
        <w:trPr>
          <w:trHeight w:val="183"/>
        </w:trPr>
        <w:tc>
          <w:tcPr>
            <w:tcW w:w="6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WEIGHTED AVERAGE NUMBER OF ORDINARY SHARES OUTSTANDING:</w:t>
            </w: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60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164,959</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168,321</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164,188</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168,152</w:t>
            </w:r>
          </w:p>
        </w:tc>
        <w:tc>
          <w:tcPr>
            <w:tcW w:w="0" w:type="dxa"/>
            <w:vAlign w:val="bottom"/>
          </w:tcPr>
          <w:p>
            <w:pPr>
              <w:spacing w:after="0"/>
              <w:rPr>
                <w:sz w:val="1"/>
                <w:szCs w:val="1"/>
                <w:color w:val="auto"/>
              </w:rPr>
            </w:pPr>
          </w:p>
        </w:tc>
      </w:tr>
      <w:tr>
        <w:trPr>
          <w:trHeight w:val="183"/>
        </w:trPr>
        <w:tc>
          <w:tcPr>
            <w:tcW w:w="6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168,357</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170,977</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168,470</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171,960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87,098</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91,358</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109,562</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128,186</w:t>
            </w:r>
          </w:p>
        </w:tc>
        <w:tc>
          <w:tcPr>
            <w:tcW w:w="0" w:type="dxa"/>
            <w:vAlign w:val="bottom"/>
          </w:tcPr>
          <w:p>
            <w:pPr>
              <w:spacing w:after="0"/>
              <w:rPr>
                <w:sz w:val="1"/>
                <w:szCs w:val="1"/>
                <w:color w:val="auto"/>
              </w:rPr>
            </w:pPr>
          </w:p>
        </w:tc>
      </w:tr>
      <w:tr>
        <w:trPr>
          <w:trHeight w:val="189"/>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Holding gain (loss), net of a tax provision (benefit) of $16, $(8), $184 and $(83),</w:t>
            </w:r>
          </w:p>
        </w:tc>
        <w:tc>
          <w:tcPr>
            <w:tcW w:w="24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567</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0" w:type="dxa"/>
            <w:vAlign w:val="bottom"/>
          </w:tcPr>
          <w:p>
            <w:pPr>
              <w:spacing w:after="0"/>
              <w:rPr>
                <w:sz w:val="1"/>
                <w:szCs w:val="1"/>
                <w:color w:val="auto"/>
              </w:rPr>
            </w:pPr>
          </w:p>
        </w:tc>
      </w:tr>
      <w:tr>
        <w:trPr>
          <w:trHeight w:val="203"/>
        </w:trPr>
        <w:tc>
          <w:tcPr>
            <w:tcW w:w="60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respectively</w:t>
            </w: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vMerge w:val="continue"/>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87,153</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91,369</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110,129</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127,706</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-4842510</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-4842510</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-4842510</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4561205</wp:posOffset>
            </wp:positionH>
            <wp:positionV relativeFrom="paragraph">
              <wp:posOffset>-4075430</wp:posOffset>
            </wp:positionV>
            <wp:extent cx="10287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5410200</wp:posOffset>
            </wp:positionH>
            <wp:positionV relativeFrom="paragraph">
              <wp:posOffset>-4075430</wp:posOffset>
            </wp:positionV>
            <wp:extent cx="10287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6258560</wp:posOffset>
            </wp:positionH>
            <wp:positionV relativeFrom="paragraph">
              <wp:posOffset>-4075430</wp:posOffset>
            </wp:positionV>
            <wp:extent cx="11112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-3128010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-3128010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-3128010</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-2853690</wp:posOffset>
            </wp:positionV>
            <wp:extent cx="77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-2853690</wp:posOffset>
            </wp:positionV>
            <wp:extent cx="77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-2853690</wp:posOffset>
            </wp:positionV>
            <wp:extent cx="857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-2579370</wp:posOffset>
            </wp:positionV>
            <wp:extent cx="77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-2579370</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-2579370</wp:posOffset>
            </wp:positionV>
            <wp:extent cx="85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-2030730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-2014220</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-2030730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-2014220</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-2030730</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-2014220</wp:posOffset>
            </wp:positionV>
            <wp:extent cx="857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-1722120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-1704975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-1722120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-1704975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-1722120</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-1704975</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-1439545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-1422400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-1439545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-1422400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-1439545</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-1422400</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-1130935</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-1113790</wp:posOffset>
            </wp:positionV>
            <wp:extent cx="77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-1130935</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-1113790</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-1130935</wp:posOffset>
            </wp:positionV>
            <wp:extent cx="857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-1113790</wp:posOffset>
            </wp:positionV>
            <wp:extent cx="857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-848360</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-831215</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-848360</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-831215</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-848360</wp:posOffset>
            </wp:positionV>
            <wp:extent cx="857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-831215</wp:posOffset>
            </wp:positionV>
            <wp:extent cx="85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-162560</wp:posOffset>
            </wp:positionV>
            <wp:extent cx="77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-162560</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-162560</wp:posOffset>
            </wp:positionV>
            <wp:extent cx="857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81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8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2"/>
                <w:szCs w:val="12"/>
                <w:color w:val="auto"/>
              </w:rPr>
            </w:pPr>
          </w:p>
        </w:tc>
      </w:tr>
      <w:tr>
        <w:trPr>
          <w:trHeight w:val="203"/>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03"/>
        </w:trPr>
        <w:tc>
          <w:tcPr>
            <w:tcW w:w="8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109,562</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128,186</w:t>
            </w:r>
          </w:p>
        </w:tc>
      </w:tr>
      <w:tr>
        <w:trPr>
          <w:trHeight w:val="203"/>
        </w:trPr>
        <w:tc>
          <w:tcPr>
            <w:tcW w:w="8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income to cash flows from operating activities: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spacing w:after="0"/>
              <w:rPr>
                <w:sz w:val="17"/>
                <w:szCs w:val="17"/>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15,239</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14,714</w:t>
            </w:r>
          </w:p>
        </w:tc>
      </w:tr>
      <w:tr>
        <w:trPr>
          <w:trHeight w:val="203"/>
        </w:trPr>
        <w:tc>
          <w:tcPr>
            <w:tcW w:w="8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47,776</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53,356</w:t>
            </w: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Deferred income taxes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21,724</w:t>
            </w:r>
          </w:p>
        </w:tc>
      </w:tr>
      <w:tr>
        <w:trPr>
          <w:trHeight w:val="203"/>
        </w:trPr>
        <w:tc>
          <w:tcPr>
            <w:tcW w:w="8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Gain on sale of the Athlone Facility</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(1,462)</w:t>
            </w: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Other non-cash charges</w:t>
            </w:r>
          </w:p>
        </w:tc>
        <w:tc>
          <w:tcPr>
            <w:tcW w:w="320" w:type="dxa"/>
            <w:vAlign w:val="bottom"/>
          </w:tcPr>
          <w:p>
            <w:pPr>
              <w:spacing w:after="0"/>
              <w:rPr>
                <w:sz w:val="17"/>
                <w:szCs w:val="17"/>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3,245</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2,136</w:t>
            </w:r>
          </w:p>
        </w:tc>
      </w:tr>
      <w:tr>
        <w:trPr>
          <w:trHeight w:val="203"/>
        </w:trPr>
        <w:tc>
          <w:tcPr>
            <w:tcW w:w="8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Receivables</w:t>
            </w:r>
          </w:p>
        </w:tc>
        <w:tc>
          <w:tcPr>
            <w:tcW w:w="320" w:type="dxa"/>
            <w:vAlign w:val="bottom"/>
          </w:tcPr>
          <w:p>
            <w:pPr>
              <w:spacing w:after="0"/>
              <w:rPr>
                <w:sz w:val="17"/>
                <w:szCs w:val="17"/>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29,622</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(33,939)</w:t>
            </w:r>
          </w:p>
        </w:tc>
      </w:tr>
      <w:tr>
        <w:trPr>
          <w:trHeight w:val="203"/>
        </w:trPr>
        <w:tc>
          <w:tcPr>
            <w:tcW w:w="8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Contract assets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3,566</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(2,786)</w:t>
            </w: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Inventory</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(10,043)</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(9,538)</w:t>
            </w:r>
          </w:p>
        </w:tc>
      </w:tr>
      <w:tr>
        <w:trPr>
          <w:trHeight w:val="203"/>
        </w:trPr>
        <w:tc>
          <w:tcPr>
            <w:tcW w:w="8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16,163</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(1,206)</w:t>
            </w: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Right-of-use assets</w:t>
            </w:r>
          </w:p>
        </w:tc>
        <w:tc>
          <w:tcPr>
            <w:tcW w:w="320" w:type="dxa"/>
            <w:vAlign w:val="bottom"/>
          </w:tcPr>
          <w:p>
            <w:pPr>
              <w:spacing w:after="0"/>
              <w:rPr>
                <w:sz w:val="17"/>
                <w:szCs w:val="17"/>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3,713</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3,571</w:t>
            </w:r>
          </w:p>
        </w:tc>
      </w:tr>
      <w:tr>
        <w:trPr>
          <w:trHeight w:val="203"/>
        </w:trPr>
        <w:tc>
          <w:tcPr>
            <w:tcW w:w="8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56,109</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(1,930)</w:t>
            </w: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Accrued sales discounts, allowances and reserves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(19,279)</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r>
      <w:tr>
        <w:trPr>
          <w:trHeight w:val="203"/>
        </w:trPr>
        <w:tc>
          <w:tcPr>
            <w:tcW w:w="8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Contract liabilities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(671)</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(1,463)</w:t>
            </w: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(5,137)</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(5,049)</w:t>
            </w:r>
          </w:p>
        </w:tc>
      </w:tr>
      <w:tr>
        <w:trPr>
          <w:trHeight w:val="202"/>
        </w:trPr>
        <w:tc>
          <w:tcPr>
            <w:tcW w:w="81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48</w:t>
            </w:r>
          </w:p>
        </w:tc>
        <w:tc>
          <w:tcPr>
            <w:tcW w:w="1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1,009</w:t>
            </w:r>
          </w:p>
        </w:tc>
      </w:tr>
      <w:tr>
        <w:trPr>
          <w:trHeight w:val="196"/>
        </w:trPr>
        <w:tc>
          <w:tcPr>
            <w:tcW w:w="81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Cash flows provided by operating activities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249,013</w:t>
            </w:r>
          </w:p>
        </w:tc>
        <w:tc>
          <w:tcPr>
            <w:tcW w:w="1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167,138</w:t>
            </w:r>
          </w:p>
        </w:tc>
      </w:tr>
      <w:tr>
        <w:trPr>
          <w:trHeight w:val="196"/>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03"/>
        </w:trPr>
        <w:tc>
          <w:tcPr>
            <w:tcW w:w="8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Additions of property, plant and equipment</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(23,126)</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(15,453)</w:t>
            </w:r>
          </w:p>
        </w:tc>
      </w:tr>
      <w:tr>
        <w:trPr>
          <w:trHeight w:val="203"/>
        </w:trPr>
        <w:tc>
          <w:tcPr>
            <w:tcW w:w="8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Proceeds from the sale of property, plant and equipment</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34</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434</w:t>
            </w:r>
          </w:p>
        </w:tc>
      </w:tr>
      <w:tr>
        <w:trPr>
          <w:trHeight w:val="203"/>
        </w:trPr>
        <w:tc>
          <w:tcPr>
            <w:tcW w:w="8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the sale of the Athlone Facility</w:t>
            </w:r>
          </w:p>
        </w:tc>
        <w:tc>
          <w:tcPr>
            <w:tcW w:w="320" w:type="dxa"/>
            <w:vAlign w:val="bottom"/>
          </w:tcPr>
          <w:p>
            <w:pPr>
              <w:spacing w:after="0"/>
              <w:rPr>
                <w:sz w:val="17"/>
                <w:szCs w:val="17"/>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1,708</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97,933</w:t>
            </w:r>
          </w:p>
        </w:tc>
      </w:tr>
      <w:tr>
        <w:trPr>
          <w:trHeight w:val="203"/>
        </w:trPr>
        <w:tc>
          <w:tcPr>
            <w:tcW w:w="8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Purchases of investments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(193,806)</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(209,962)</w:t>
            </w:r>
          </w:p>
        </w:tc>
      </w:tr>
      <w:tr>
        <w:trPr>
          <w:trHeight w:val="203"/>
        </w:trPr>
        <w:tc>
          <w:tcPr>
            <w:tcW w:w="818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7"/>
                <w:szCs w:val="17"/>
                <w:color w:val="auto"/>
              </w:rPr>
              <w:t>Sales and maturities of investments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195,078</w:t>
            </w:r>
          </w:p>
        </w:tc>
        <w:tc>
          <w:tcPr>
            <w:tcW w:w="14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138,947</w:t>
            </w:r>
          </w:p>
        </w:tc>
      </w:tr>
      <w:tr>
        <w:trPr>
          <w:trHeight w:val="196"/>
        </w:trPr>
        <w:tc>
          <w:tcPr>
            <w:tcW w:w="81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Cash flows (used in) provided by investing activities</w:t>
            </w: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(20,112)</w:t>
            </w:r>
          </w:p>
        </w:tc>
        <w:tc>
          <w:tcPr>
            <w:tcW w:w="1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11,899</w:t>
            </w:r>
          </w:p>
        </w:tc>
      </w:tr>
      <w:tr>
        <w:trPr>
          <w:trHeight w:val="196"/>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8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Proceeds from the issuance of ordinary shares under share-based compensation arrangements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31,611</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13,833</w:t>
            </w:r>
          </w:p>
        </w:tc>
      </w:tr>
      <w:tr>
        <w:trPr>
          <w:trHeight w:val="203"/>
        </w:trPr>
        <w:tc>
          <w:tcPr>
            <w:tcW w:w="8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Employee taxes paid related to net share settlement of equity awards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(30,459)</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(29,000)</w:t>
            </w:r>
          </w:p>
        </w:tc>
      </w:tr>
      <w:tr>
        <w:trPr>
          <w:trHeight w:val="203"/>
        </w:trPr>
        <w:tc>
          <w:tcPr>
            <w:tcW w:w="8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Payment for the repurchase of ordinary shares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(84,689)</w:t>
            </w:r>
          </w:p>
        </w:tc>
      </w:tr>
      <w:tr>
        <w:trPr>
          <w:trHeight w:val="202"/>
        </w:trPr>
        <w:tc>
          <w:tcPr>
            <w:tcW w:w="8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Principal payments of long-term debt</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(1,500)</w:t>
            </w:r>
          </w:p>
        </w:tc>
      </w:tr>
      <w:tr>
        <w:trPr>
          <w:trHeight w:val="196"/>
        </w:trPr>
        <w:tc>
          <w:tcPr>
            <w:tcW w:w="81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Cash flows provided by (used in) financing activities</w:t>
            </w: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1,152</w:t>
            </w:r>
          </w:p>
        </w:tc>
        <w:tc>
          <w:tcPr>
            <w:tcW w:w="1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(101,356)</w:t>
            </w:r>
          </w:p>
        </w:tc>
      </w:tr>
      <w:tr>
        <w:trPr>
          <w:trHeight w:val="196"/>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NET INCREASE IN CASH AND CASH EQUIVALENTS</w:t>
            </w:r>
          </w:p>
        </w:tc>
        <w:tc>
          <w:tcPr>
            <w:tcW w:w="320" w:type="dxa"/>
            <w:vAlign w:val="bottom"/>
          </w:tcPr>
          <w:p>
            <w:pPr>
              <w:spacing w:after="0"/>
              <w:rPr>
                <w:sz w:val="17"/>
                <w:szCs w:val="17"/>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230,053</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77,681</w:t>
            </w:r>
          </w:p>
        </w:tc>
      </w:tr>
      <w:tr>
        <w:trPr>
          <w:trHeight w:val="203"/>
        </w:trPr>
        <w:tc>
          <w:tcPr>
            <w:tcW w:w="8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AND CASH EQUIVALENTS—Beginning of period</w:t>
            </w: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291,146</w:t>
            </w:r>
          </w:p>
        </w:tc>
        <w:tc>
          <w:tcPr>
            <w:tcW w:w="1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457,469</w:t>
            </w:r>
          </w:p>
        </w:tc>
      </w:tr>
      <w:tr>
        <w:trPr>
          <w:trHeight w:val="196"/>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EQUIVALENTS—End of period</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521,199</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535,150</w:t>
            </w:r>
          </w:p>
        </w:tc>
      </w:tr>
      <w:tr>
        <w:trPr>
          <w:trHeight w:val="20"/>
        </w:trPr>
        <w:tc>
          <w:tcPr>
            <w:tcW w:w="8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7"/>
                <w:szCs w:val="17"/>
                <w:color w:val="auto"/>
              </w:rPr>
              <w:t>SUPPLEMENTAL CASH FLOW DISCLOSURE:</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203"/>
        </w:trPr>
        <w:tc>
          <w:tcPr>
            <w:tcW w:w="8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Non-cash investing and financing activities: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8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Purchased capital expenditures included in accounts payable and accrued expenses</w:t>
            </w: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7,562</w:t>
            </w:r>
          </w:p>
        </w:tc>
        <w:tc>
          <w:tcPr>
            <w:tcW w:w="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1,649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-2656840</wp:posOffset>
            </wp:positionV>
            <wp:extent cx="93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-1751965</wp:posOffset>
            </wp:positionV>
            <wp:extent cx="11938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9380" cy="17145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-814070</wp:posOffset>
            </wp:positionV>
            <wp:extent cx="939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-548005</wp:posOffset>
            </wp:positionV>
            <wp:extent cx="93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306"/>
              <w:spacing w:after="0" w:line="135" w:lineRule="exact"/>
              <w:rPr>
                <w:sz w:val="20"/>
                <w:szCs w:val="20"/>
                <w:color w:val="auto"/>
              </w:rPr>
            </w:pPr>
            <w:r>
              <w:rPr>
                <w:rFonts w:ascii="Times New Roman" w:cs="Times New Roman" w:eastAsia="Times New Roman" w:hAnsi="Times New Roman"/>
                <w:sz w:val="12"/>
                <w:szCs w:val="12"/>
                <w:b w:val="1"/>
                <w:bCs w:val="1"/>
                <w:color w:val="auto"/>
              </w:rPr>
              <w:t>Other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1940" w:type="dxa"/>
            <w:vAlign w:val="bottom"/>
            <w:gridSpan w:val="4"/>
            <w:vMerge w:val="restart"/>
          </w:tcPr>
          <w:p>
            <w:pPr>
              <w:jc w:val="right"/>
              <w:ind w:right="545"/>
              <w:spacing w:after="0"/>
              <w:rPr>
                <w:sz w:val="20"/>
                <w:szCs w:val="20"/>
                <w:color w:val="auto"/>
              </w:rPr>
            </w:pPr>
            <w:r>
              <w:rPr>
                <w:rFonts w:ascii="Times New Roman" w:cs="Times New Roman" w:eastAsia="Times New Roman" w:hAnsi="Times New Roman"/>
                <w:sz w:val="12"/>
                <w:szCs w:val="12"/>
                <w:b w:val="1"/>
                <w:bCs w:val="1"/>
                <w:color w:val="auto"/>
              </w:rPr>
              <w:t>Ordinary Shares</w:t>
            </w:r>
          </w:p>
        </w:tc>
        <w:tc>
          <w:tcPr>
            <w:tcW w:w="120" w:type="dxa"/>
            <w:vAlign w:val="bottom"/>
          </w:tcPr>
          <w:p>
            <w:pPr>
              <w:spacing w:after="0"/>
              <w:rPr>
                <w:sz w:val="11"/>
                <w:szCs w:val="11"/>
                <w:color w:val="auto"/>
              </w:rPr>
            </w:pPr>
          </w:p>
        </w:tc>
        <w:tc>
          <w:tcPr>
            <w:tcW w:w="880" w:type="dxa"/>
            <w:vAlign w:val="bottom"/>
          </w:tcPr>
          <w:p>
            <w:pPr>
              <w:jc w:val="right"/>
              <w:ind w:right="189"/>
              <w:spacing w:after="0" w:line="135"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Comprehensiv</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4"/>
            <w:vMerge w:val="restart"/>
          </w:tcPr>
          <w:p>
            <w:pPr>
              <w:jc w:val="right"/>
              <w:ind w:right="585"/>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300" w:type="dxa"/>
            <w:vAlign w:val="bottom"/>
          </w:tcPr>
          <w:p>
            <w:pPr>
              <w:spacing w:after="0"/>
              <w:rPr>
                <w:sz w:val="11"/>
                <w:szCs w:val="11"/>
                <w:color w:val="auto"/>
              </w:rPr>
            </w:pPr>
          </w:p>
        </w:tc>
        <w:tc>
          <w:tcPr>
            <w:tcW w:w="1940" w:type="dxa"/>
            <w:vAlign w:val="bottom"/>
            <w:tcBorders>
              <w:bottom w:val="single" w:sz="8" w:color="auto"/>
            </w:tcBorders>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249"/>
              <w:spacing w:after="0" w:line="132"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406"/>
              <w:spacing w:after="0" w:line="132" w:lineRule="exact"/>
              <w:rPr>
                <w:sz w:val="20"/>
                <w:szCs w:val="20"/>
                <w:color w:val="auto"/>
              </w:rPr>
            </w:pPr>
            <w:r>
              <w:rPr>
                <w:rFonts w:ascii="Times New Roman" w:cs="Times New Roman" w:eastAsia="Times New Roman" w:hAnsi="Times New Roman"/>
                <w:sz w:val="12"/>
                <w:szCs w:val="12"/>
                <w:b w:val="1"/>
                <w:bCs w:val="1"/>
                <w:color w:val="auto"/>
              </w:rPr>
              <w:t>e</w:t>
            </w:r>
          </w:p>
        </w:tc>
        <w:tc>
          <w:tcPr>
            <w:tcW w:w="100" w:type="dxa"/>
            <w:vAlign w:val="bottom"/>
          </w:tcPr>
          <w:p>
            <w:pPr>
              <w:spacing w:after="0"/>
              <w:rPr>
                <w:sz w:val="11"/>
                <w:szCs w:val="11"/>
                <w:color w:val="auto"/>
              </w:rPr>
            </w:pPr>
          </w:p>
        </w:tc>
        <w:tc>
          <w:tcPr>
            <w:tcW w:w="980" w:type="dxa"/>
            <w:vAlign w:val="bottom"/>
            <w:gridSpan w:val="3"/>
          </w:tcPr>
          <w:p>
            <w:pPr>
              <w:ind w:left="40"/>
              <w:spacing w:after="0" w:line="132"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980" w:type="dxa"/>
            <w:vAlign w:val="bottom"/>
            <w:tcBorders>
              <w:bottom w:val="single" w:sz="8" w:color="auto"/>
            </w:tcBorders>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00" w:type="dxa"/>
            <w:vAlign w:val="bottom"/>
          </w:tcPr>
          <w:p>
            <w:pPr>
              <w:spacing w:after="0"/>
              <w:rPr>
                <w:sz w:val="11"/>
                <w:szCs w:val="11"/>
                <w:color w:val="auto"/>
              </w:rPr>
            </w:pPr>
          </w:p>
        </w:tc>
        <w:tc>
          <w:tcPr>
            <w:tcW w:w="940" w:type="dxa"/>
            <w:vAlign w:val="bottom"/>
            <w:tcBorders>
              <w:bottom w:val="single" w:sz="8" w:color="auto"/>
            </w:tcBorders>
          </w:tcPr>
          <w:p>
            <w:pPr>
              <w:jc w:val="right"/>
              <w:ind w:right="306"/>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25"/>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1"/>
                <w:szCs w:val="11"/>
                <w:color w:val="auto"/>
              </w:rPr>
            </w:pPr>
          </w:p>
        </w:tc>
        <w:tc>
          <w:tcPr>
            <w:tcW w:w="880" w:type="dxa"/>
            <w:vAlign w:val="bottom"/>
            <w:tcBorders>
              <w:bottom w:val="single" w:sz="8" w:color="auto"/>
            </w:tcBorders>
          </w:tcPr>
          <w:p>
            <w:pPr>
              <w:jc w:val="right"/>
              <w:ind w:right="249"/>
              <w:spacing w:after="0" w:line="129" w:lineRule="exact"/>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1"/>
                <w:szCs w:val="11"/>
                <w:color w:val="auto"/>
              </w:rPr>
            </w:pPr>
          </w:p>
        </w:tc>
        <w:tc>
          <w:tcPr>
            <w:tcW w:w="880" w:type="dxa"/>
            <w:vAlign w:val="bottom"/>
            <w:tcBorders>
              <w:bottom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2"/>
                <w:szCs w:val="12"/>
                <w:b w:val="1"/>
                <w:bCs w:val="1"/>
                <w:color w:val="auto"/>
              </w:rPr>
              <w:t>(Loss) Income</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65"/>
              <w:spacing w:after="0" w:line="129" w:lineRule="exact"/>
              <w:rPr>
                <w:sz w:val="20"/>
                <w:szCs w:val="20"/>
                <w:color w:val="auto"/>
              </w:rPr>
            </w:pPr>
            <w:r>
              <w:rPr>
                <w:rFonts w:ascii="Times New Roman" w:cs="Times New Roman" w:eastAsia="Times New Roman" w:hAnsi="Times New Roman"/>
                <w:sz w:val="12"/>
                <w:szCs w:val="12"/>
                <w:b w:val="1"/>
                <w:bCs w:val="1"/>
                <w:color w:val="auto"/>
              </w:rPr>
              <w:t>Deficit</w:t>
            </w:r>
          </w:p>
        </w:tc>
        <w:tc>
          <w:tcPr>
            <w:tcW w:w="100" w:type="dxa"/>
            <w:vAlign w:val="bottom"/>
          </w:tcPr>
          <w:p>
            <w:pPr>
              <w:spacing w:after="0"/>
              <w:rPr>
                <w:sz w:val="11"/>
                <w:szCs w:val="11"/>
                <w:color w:val="auto"/>
              </w:rPr>
            </w:pPr>
          </w:p>
        </w:tc>
        <w:tc>
          <w:tcPr>
            <w:tcW w:w="980" w:type="dxa"/>
            <w:vAlign w:val="bottom"/>
            <w:tcBorders>
              <w:bottom w:val="single" w:sz="8" w:color="auto"/>
            </w:tcBorders>
          </w:tcPr>
          <w:p>
            <w:pPr>
              <w:jc w:val="right"/>
              <w:ind w:right="306"/>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25"/>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65"/>
              <w:spacing w:after="0" w:line="129"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9"/>
        </w:trPr>
        <w:tc>
          <w:tcPr>
            <w:tcW w:w="3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gridSpan w:val="6"/>
          </w:tcPr>
          <w:p>
            <w:pPr>
              <w:ind w:left="20"/>
              <w:spacing w:after="0" w:line="129" w:lineRule="exact"/>
              <w:rPr>
                <w:sz w:val="20"/>
                <w:szCs w:val="20"/>
                <w:color w:val="auto"/>
              </w:rPr>
            </w:pPr>
            <w:r>
              <w:rPr>
                <w:rFonts w:ascii="Times New Roman" w:cs="Times New Roman" w:eastAsia="Times New Roman" w:hAnsi="Times New Roman"/>
                <w:sz w:val="12"/>
                <w:szCs w:val="12"/>
                <w:b w:val="1"/>
                <w:bCs w:val="1"/>
                <w:color w:val="auto"/>
              </w:rPr>
              <w:t>(In thousands, except share data)</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3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66"/>
              <w:spacing w:after="0" w:line="145" w:lineRule="exact"/>
              <w:rPr>
                <w:sz w:val="20"/>
                <w:szCs w:val="20"/>
                <w:color w:val="auto"/>
              </w:rPr>
            </w:pPr>
            <w:r>
              <w:rPr>
                <w:rFonts w:ascii="Times New Roman" w:cs="Times New Roman" w:eastAsia="Times New Roman" w:hAnsi="Times New Roman"/>
                <w:sz w:val="15"/>
                <w:szCs w:val="15"/>
                <w:color w:val="auto"/>
              </w:rPr>
              <w:t>176,670,7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5"/>
              <w:spacing w:after="0" w:line="145" w:lineRule="exact"/>
              <w:rPr>
                <w:sz w:val="20"/>
                <w:szCs w:val="20"/>
                <w:color w:val="auto"/>
              </w:rPr>
            </w:pPr>
            <w:r>
              <w:rPr>
                <w:rFonts w:ascii="Times New Roman" w:cs="Times New Roman" w:eastAsia="Times New Roman" w:hAnsi="Times New Roman"/>
                <w:sz w:val="15"/>
                <w:szCs w:val="15"/>
                <w:color w:val="auto"/>
              </w:rPr>
              <w:t>1,464,97</w:t>
            </w:r>
          </w:p>
        </w:tc>
        <w:tc>
          <w:tcPr>
            <w:tcW w:w="0" w:type="dxa"/>
            <w:vAlign w:val="bottom"/>
          </w:tcPr>
          <w:p>
            <w:pPr>
              <w:spacing w:after="0"/>
              <w:rPr>
                <w:sz w:val="1"/>
                <w:szCs w:val="1"/>
                <w:color w:val="auto"/>
              </w:rPr>
            </w:pPr>
          </w:p>
        </w:tc>
      </w:tr>
      <w:tr>
        <w:trPr>
          <w:trHeight w:val="17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 December 31, 2024</w:t>
            </w:r>
          </w:p>
        </w:tc>
        <w:tc>
          <w:tcPr>
            <w:tcW w:w="9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5"/>
                <w:szCs w:val="15"/>
                <w:color w:val="auto"/>
              </w:rPr>
              <w:t>85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1,767</w:t>
            </w:r>
          </w:p>
        </w:tc>
        <w:tc>
          <w:tcPr>
            <w:tcW w:w="1000" w:type="dxa"/>
            <w:vAlign w:val="bottom"/>
            <w:gridSpan w:val="2"/>
            <w:shd w:val="clear" w:color="auto" w:fill="CFF0FC"/>
          </w:tcPr>
          <w:p>
            <w:pPr>
              <w:jc w:val="right"/>
              <w:ind w:right="69"/>
              <w:spacing w:after="0"/>
              <w:rPr>
                <w:sz w:val="20"/>
                <w:szCs w:val="20"/>
                <w:color w:val="auto"/>
              </w:rPr>
            </w:pPr>
            <w:r>
              <w:rPr>
                <w:rFonts w:ascii="Times New Roman" w:cs="Times New Roman" w:eastAsia="Times New Roman" w:hAnsi="Times New Roman"/>
                <w:sz w:val="15"/>
                <w:szCs w:val="15"/>
                <w:color w:val="auto"/>
              </w:rPr>
              <w:t>$ 2,860,890</w:t>
            </w:r>
          </w:p>
        </w:tc>
        <w:tc>
          <w:tcPr>
            <w:tcW w:w="2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(1,967)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(976,458)</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(14,493,791)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(419,255)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145"/>
        </w:trPr>
        <w:tc>
          <w:tcPr>
            <w:tcW w:w="3300" w:type="dxa"/>
            <w:vAlign w:val="bottom"/>
          </w:tcPr>
          <w:p>
            <w:pPr>
              <w:ind w:left="60"/>
              <w:spacing w:after="0" w:line="145" w:lineRule="exact"/>
              <w:rPr>
                <w:sz w:val="20"/>
                <w:szCs w:val="20"/>
                <w:color w:val="auto"/>
              </w:rPr>
            </w:pPr>
            <w:r>
              <w:rPr>
                <w:rFonts w:ascii="Times New Roman" w:cs="Times New Roman" w:eastAsia="Times New Roman" w:hAnsi="Times New Roman"/>
                <w:sz w:val="15"/>
                <w:szCs w:val="15"/>
                <w:color w:val="auto"/>
              </w:rPr>
              <w:t>Issuance of ordinary shares under employee stock</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3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plans</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3,510,611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35</w:t>
            </w:r>
          </w:p>
        </w:tc>
        <w:tc>
          <w:tcPr>
            <w:tcW w:w="1000" w:type="dxa"/>
            <w:vAlign w:val="bottom"/>
            <w:gridSpan w:val="2"/>
          </w:tcPr>
          <w:p>
            <w:pPr>
              <w:jc w:val="right"/>
              <w:ind w:right="69"/>
              <w:spacing w:after="0"/>
              <w:rPr>
                <w:sz w:val="20"/>
                <w:szCs w:val="20"/>
                <w:color w:val="auto"/>
              </w:rPr>
            </w:pPr>
            <w:r>
              <w:rPr>
                <w:rFonts w:ascii="Times New Roman" w:cs="Times New Roman" w:eastAsia="Times New Roman" w:hAnsi="Times New Roman"/>
                <w:sz w:val="15"/>
                <w:szCs w:val="15"/>
                <w:color w:val="auto"/>
              </w:rPr>
              <w:t>29,493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29,528</w:t>
            </w:r>
          </w:p>
        </w:tc>
        <w:tc>
          <w:tcPr>
            <w:tcW w:w="0" w:type="dxa"/>
            <w:vAlign w:val="bottom"/>
          </w:tcPr>
          <w:p>
            <w:pPr>
              <w:spacing w:after="0"/>
              <w:rPr>
                <w:sz w:val="1"/>
                <w:szCs w:val="1"/>
                <w:color w:val="auto"/>
              </w:rPr>
            </w:pPr>
          </w:p>
        </w:tc>
      </w:tr>
      <w:tr>
        <w:trPr>
          <w:trHeight w:val="145"/>
        </w:trPr>
        <w:tc>
          <w:tcPr>
            <w:tcW w:w="3300" w:type="dxa"/>
            <w:vAlign w:val="bottom"/>
            <w:shd w:val="clear" w:color="auto" w:fill="CFF0FC"/>
          </w:tcPr>
          <w:p>
            <w:pPr>
              <w:ind w:left="60"/>
              <w:spacing w:after="0" w:line="145" w:lineRule="exact"/>
              <w:rPr>
                <w:sz w:val="20"/>
                <w:szCs w:val="20"/>
                <w:color w:val="auto"/>
              </w:rPr>
            </w:pPr>
            <w:r>
              <w:rPr>
                <w:rFonts w:ascii="Times New Roman" w:cs="Times New Roman" w:eastAsia="Times New Roman" w:hAnsi="Times New Roman"/>
                <w:sz w:val="15"/>
                <w:szCs w:val="15"/>
                <w:color w:val="auto"/>
              </w:rPr>
              <w:t>Receipt of Alkermes' ordinary shares for the</w:t>
            </w: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shd w:val="clear" w:color="auto" w:fill="CFF0FC"/>
          </w:tcPr>
          <w:p>
            <w:pPr>
              <w:ind w:left="60"/>
              <w:spacing w:after="0" w:line="162" w:lineRule="exact"/>
              <w:rPr>
                <w:sz w:val="20"/>
                <w:szCs w:val="20"/>
                <w:color w:val="auto"/>
              </w:rPr>
            </w:pPr>
            <w:r>
              <w:rPr>
                <w:rFonts w:ascii="Times New Roman" w:cs="Times New Roman" w:eastAsia="Times New Roman" w:hAnsi="Times New Roman"/>
                <w:sz w:val="15"/>
                <w:szCs w:val="15"/>
                <w:color w:val="auto"/>
              </w:rPr>
              <w:t>exercise of stock options or to satisfy minimum</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shd w:val="clear" w:color="auto" w:fill="CFF0FC"/>
          </w:tcPr>
          <w:p>
            <w:pPr>
              <w:ind w:left="60"/>
              <w:spacing w:after="0" w:line="162" w:lineRule="exact"/>
              <w:rPr>
                <w:sz w:val="20"/>
                <w:szCs w:val="20"/>
                <w:color w:val="auto"/>
              </w:rPr>
            </w:pPr>
            <w:r>
              <w:rPr>
                <w:rFonts w:ascii="Times New Roman" w:cs="Times New Roman" w:eastAsia="Times New Roman" w:hAnsi="Times New Roman"/>
                <w:sz w:val="15"/>
                <w:szCs w:val="15"/>
                <w:color w:val="auto"/>
              </w:rPr>
              <w:t>tax withholding obligations related to share-based</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awards</w:t>
            </w:r>
          </w:p>
        </w:tc>
        <w:tc>
          <w:tcPr>
            <w:tcW w:w="9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(834,590)</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(28,781)</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(28,781)</w:t>
            </w:r>
          </w:p>
        </w:tc>
        <w:tc>
          <w:tcPr>
            <w:tcW w:w="0" w:type="dxa"/>
            <w:vAlign w:val="bottom"/>
          </w:tcPr>
          <w:p>
            <w:pPr>
              <w:spacing w:after="0"/>
              <w:rPr>
                <w:sz w:val="1"/>
                <w:szCs w:val="1"/>
                <w:color w:val="auto"/>
              </w:rPr>
            </w:pPr>
          </w:p>
        </w:tc>
      </w:tr>
      <w:tr>
        <w:trPr>
          <w:trHeight w:val="162"/>
        </w:trPr>
        <w:tc>
          <w:tcPr>
            <w:tcW w:w="330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Share-based compensation</w:t>
            </w:r>
          </w:p>
        </w:tc>
        <w:tc>
          <w:tcPr>
            <w:tcW w:w="940" w:type="dxa"/>
            <w:vAlign w:val="bottom"/>
          </w:tcPr>
          <w:p>
            <w:pPr>
              <w:jc w:val="right"/>
              <w:ind w:right="66"/>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69"/>
              <w:spacing w:after="0" w:line="162" w:lineRule="exact"/>
              <w:rPr>
                <w:sz w:val="20"/>
                <w:szCs w:val="20"/>
                <w:color w:val="auto"/>
              </w:rPr>
            </w:pPr>
            <w:r>
              <w:rPr>
                <w:rFonts w:ascii="Times New Roman" w:cs="Times New Roman" w:eastAsia="Times New Roman" w:hAnsi="Times New Roman"/>
                <w:sz w:val="15"/>
                <w:szCs w:val="15"/>
                <w:color w:val="auto"/>
              </w:rPr>
              <w:t>22,883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66"/>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46"/>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22,883</w:t>
            </w:r>
          </w:p>
        </w:tc>
        <w:tc>
          <w:tcPr>
            <w:tcW w:w="0" w:type="dxa"/>
            <w:vAlign w:val="bottom"/>
          </w:tcPr>
          <w:p>
            <w:pPr>
              <w:spacing w:after="0"/>
              <w:rPr>
                <w:sz w:val="1"/>
                <w:szCs w:val="1"/>
                <w:color w:val="auto"/>
              </w:rPr>
            </w:pPr>
          </w:p>
        </w:tc>
      </w:tr>
      <w:tr>
        <w:trPr>
          <w:trHeight w:val="145"/>
        </w:trPr>
        <w:tc>
          <w:tcPr>
            <w:tcW w:w="3300" w:type="dxa"/>
            <w:vAlign w:val="bottom"/>
            <w:shd w:val="clear" w:color="auto" w:fill="CFF0FC"/>
          </w:tcPr>
          <w:p>
            <w:pPr>
              <w:ind w:left="60"/>
              <w:spacing w:after="0" w:line="145" w:lineRule="exact"/>
              <w:rPr>
                <w:sz w:val="20"/>
                <w:szCs w:val="20"/>
                <w:color w:val="auto"/>
              </w:rPr>
            </w:pPr>
            <w:r>
              <w:rPr>
                <w:rFonts w:ascii="Times New Roman" w:cs="Times New Roman" w:eastAsia="Times New Roman" w:hAnsi="Times New Roman"/>
                <w:sz w:val="15"/>
                <w:szCs w:val="15"/>
                <w:color w:val="auto"/>
              </w:rPr>
              <w:t>Unrealized gain on marketable securities, net of</w:t>
            </w: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tax provision of $168</w:t>
            </w:r>
          </w:p>
        </w:tc>
        <w:tc>
          <w:tcPr>
            <w:tcW w:w="9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5"/>
                <w:szCs w:val="15"/>
                <w:color w:val="auto"/>
              </w:rPr>
              <w:t>512</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512</w:t>
            </w:r>
          </w:p>
        </w:tc>
        <w:tc>
          <w:tcPr>
            <w:tcW w:w="0" w:type="dxa"/>
            <w:vAlign w:val="bottom"/>
          </w:tcPr>
          <w:p>
            <w:pPr>
              <w:spacing w:after="0"/>
              <w:rPr>
                <w:sz w:val="1"/>
                <w:szCs w:val="1"/>
                <w:color w:val="auto"/>
              </w:rPr>
            </w:pPr>
          </w:p>
        </w:tc>
      </w:tr>
      <w:tr>
        <w:trPr>
          <w:trHeight w:val="162"/>
        </w:trPr>
        <w:tc>
          <w:tcPr>
            <w:tcW w:w="330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940" w:type="dxa"/>
            <w:vAlign w:val="bottom"/>
            <w:tcBorders>
              <w:bottom w:val="single" w:sz="8" w:color="auto"/>
            </w:tcBorders>
          </w:tcPr>
          <w:p>
            <w:pPr>
              <w:jc w:val="right"/>
              <w:ind w:right="66"/>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ind w:right="69"/>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6"/>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22,464</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ind w:right="46"/>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22,464</w:t>
            </w:r>
          </w:p>
        </w:tc>
        <w:tc>
          <w:tcPr>
            <w:tcW w:w="0" w:type="dxa"/>
            <w:vAlign w:val="bottom"/>
          </w:tcPr>
          <w:p>
            <w:pPr>
              <w:spacing w:after="0"/>
              <w:rPr>
                <w:sz w:val="1"/>
                <w:szCs w:val="1"/>
                <w:color w:val="auto"/>
              </w:rPr>
            </w:pPr>
          </w:p>
        </w:tc>
      </w:tr>
      <w:tr>
        <w:trPr>
          <w:trHeight w:val="138"/>
        </w:trPr>
        <w:tc>
          <w:tcPr>
            <w:tcW w:w="33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66"/>
              <w:spacing w:after="0" w:line="138" w:lineRule="exact"/>
              <w:rPr>
                <w:sz w:val="20"/>
                <w:szCs w:val="20"/>
                <w:color w:val="auto"/>
              </w:rPr>
            </w:pPr>
            <w:r>
              <w:rPr>
                <w:rFonts w:ascii="Times New Roman" w:cs="Times New Roman" w:eastAsia="Times New Roman" w:hAnsi="Times New Roman"/>
                <w:sz w:val="15"/>
                <w:szCs w:val="15"/>
                <w:color w:val="auto"/>
              </w:rPr>
              <w:t>180,181,3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5"/>
              <w:spacing w:after="0" w:line="138" w:lineRule="exact"/>
              <w:rPr>
                <w:sz w:val="20"/>
                <w:szCs w:val="20"/>
                <w:color w:val="auto"/>
              </w:rPr>
            </w:pPr>
            <w:r>
              <w:rPr>
                <w:rFonts w:ascii="Times New Roman" w:cs="Times New Roman" w:eastAsia="Times New Roman" w:hAnsi="Times New Roman"/>
                <w:sz w:val="15"/>
                <w:szCs w:val="15"/>
                <w:color w:val="auto"/>
              </w:rPr>
              <w:t>1,511,58</w:t>
            </w:r>
          </w:p>
        </w:tc>
        <w:tc>
          <w:tcPr>
            <w:tcW w:w="0" w:type="dxa"/>
            <w:vAlign w:val="bottom"/>
          </w:tcPr>
          <w:p>
            <w:pPr>
              <w:spacing w:after="0"/>
              <w:rPr>
                <w:sz w:val="1"/>
                <w:szCs w:val="1"/>
                <w:color w:val="auto"/>
              </w:rPr>
            </w:pPr>
          </w:p>
        </w:tc>
      </w:tr>
      <w:tr>
        <w:trPr>
          <w:trHeight w:val="17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 March 31, 2025</w:t>
            </w:r>
          </w:p>
        </w:tc>
        <w:tc>
          <w:tcPr>
            <w:tcW w:w="9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5"/>
                <w:szCs w:val="15"/>
                <w:color w:val="auto"/>
              </w:rPr>
              <w:t>96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1,802</w:t>
            </w:r>
          </w:p>
        </w:tc>
        <w:tc>
          <w:tcPr>
            <w:tcW w:w="1000" w:type="dxa"/>
            <w:vAlign w:val="bottom"/>
            <w:gridSpan w:val="2"/>
            <w:shd w:val="clear" w:color="auto" w:fill="CFF0FC"/>
          </w:tcPr>
          <w:p>
            <w:pPr>
              <w:jc w:val="right"/>
              <w:ind w:right="69"/>
              <w:spacing w:after="0"/>
              <w:rPr>
                <w:sz w:val="20"/>
                <w:szCs w:val="20"/>
                <w:color w:val="auto"/>
              </w:rPr>
            </w:pPr>
            <w:r>
              <w:rPr>
                <w:rFonts w:ascii="Times New Roman" w:cs="Times New Roman" w:eastAsia="Times New Roman" w:hAnsi="Times New Roman"/>
                <w:sz w:val="15"/>
                <w:szCs w:val="15"/>
                <w:color w:val="auto"/>
              </w:rPr>
              <w:t>$ 2,913,266</w:t>
            </w:r>
          </w:p>
        </w:tc>
        <w:tc>
          <w:tcPr>
            <w:tcW w:w="2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(1,455)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(953,994)</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(15,328,381)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(448,036)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45"/>
        </w:trPr>
        <w:tc>
          <w:tcPr>
            <w:tcW w:w="3300" w:type="dxa"/>
            <w:vAlign w:val="bottom"/>
          </w:tcPr>
          <w:p>
            <w:pPr>
              <w:ind w:left="60"/>
              <w:spacing w:after="0" w:line="145" w:lineRule="exact"/>
              <w:rPr>
                <w:sz w:val="20"/>
                <w:szCs w:val="20"/>
                <w:color w:val="auto"/>
              </w:rPr>
            </w:pPr>
            <w:r>
              <w:rPr>
                <w:rFonts w:ascii="Times New Roman" w:cs="Times New Roman" w:eastAsia="Times New Roman" w:hAnsi="Times New Roman"/>
                <w:sz w:val="15"/>
                <w:szCs w:val="15"/>
                <w:color w:val="auto"/>
              </w:rPr>
              <w:t>Issuance of ordinary shares under employee stock</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3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plans</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258,354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3</w:t>
            </w:r>
          </w:p>
        </w:tc>
        <w:tc>
          <w:tcPr>
            <w:tcW w:w="1000" w:type="dxa"/>
            <w:vAlign w:val="bottom"/>
            <w:gridSpan w:val="2"/>
          </w:tcPr>
          <w:p>
            <w:pPr>
              <w:jc w:val="right"/>
              <w:ind w:right="69"/>
              <w:spacing w:after="0"/>
              <w:rPr>
                <w:sz w:val="20"/>
                <w:szCs w:val="20"/>
                <w:color w:val="auto"/>
              </w:rPr>
            </w:pPr>
            <w:r>
              <w:rPr>
                <w:rFonts w:ascii="Times New Roman" w:cs="Times New Roman" w:eastAsia="Times New Roman" w:hAnsi="Times New Roman"/>
                <w:sz w:val="15"/>
                <w:szCs w:val="15"/>
                <w:color w:val="auto"/>
              </w:rPr>
              <w:t>2,080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2,083</w:t>
            </w:r>
          </w:p>
        </w:tc>
        <w:tc>
          <w:tcPr>
            <w:tcW w:w="0" w:type="dxa"/>
            <w:vAlign w:val="bottom"/>
          </w:tcPr>
          <w:p>
            <w:pPr>
              <w:spacing w:after="0"/>
              <w:rPr>
                <w:sz w:val="1"/>
                <w:szCs w:val="1"/>
                <w:color w:val="auto"/>
              </w:rPr>
            </w:pPr>
          </w:p>
        </w:tc>
      </w:tr>
      <w:tr>
        <w:trPr>
          <w:trHeight w:val="145"/>
        </w:trPr>
        <w:tc>
          <w:tcPr>
            <w:tcW w:w="3300" w:type="dxa"/>
            <w:vAlign w:val="bottom"/>
            <w:shd w:val="clear" w:color="auto" w:fill="CFF0FC"/>
          </w:tcPr>
          <w:p>
            <w:pPr>
              <w:ind w:left="60"/>
              <w:spacing w:after="0" w:line="145" w:lineRule="exact"/>
              <w:rPr>
                <w:sz w:val="20"/>
                <w:szCs w:val="20"/>
                <w:color w:val="auto"/>
              </w:rPr>
            </w:pPr>
            <w:r>
              <w:rPr>
                <w:rFonts w:ascii="Times New Roman" w:cs="Times New Roman" w:eastAsia="Times New Roman" w:hAnsi="Times New Roman"/>
                <w:sz w:val="15"/>
                <w:szCs w:val="15"/>
                <w:color w:val="auto"/>
              </w:rPr>
              <w:t>Receipt of Alkermes' ordinary shares for the</w:t>
            </w: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shd w:val="clear" w:color="auto" w:fill="CFF0FC"/>
          </w:tcPr>
          <w:p>
            <w:pPr>
              <w:ind w:left="60"/>
              <w:spacing w:after="0" w:line="162" w:lineRule="exact"/>
              <w:rPr>
                <w:sz w:val="20"/>
                <w:szCs w:val="20"/>
                <w:color w:val="auto"/>
              </w:rPr>
            </w:pPr>
            <w:r>
              <w:rPr>
                <w:rFonts w:ascii="Times New Roman" w:cs="Times New Roman" w:eastAsia="Times New Roman" w:hAnsi="Times New Roman"/>
                <w:sz w:val="15"/>
                <w:szCs w:val="15"/>
                <w:color w:val="auto"/>
              </w:rPr>
              <w:t>exercise of stock options or to satisfy minimum</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shd w:val="clear" w:color="auto" w:fill="CFF0FC"/>
          </w:tcPr>
          <w:p>
            <w:pPr>
              <w:ind w:left="60"/>
              <w:spacing w:after="0" w:line="162" w:lineRule="exact"/>
              <w:rPr>
                <w:sz w:val="20"/>
                <w:szCs w:val="20"/>
                <w:color w:val="auto"/>
              </w:rPr>
            </w:pPr>
            <w:r>
              <w:rPr>
                <w:rFonts w:ascii="Times New Roman" w:cs="Times New Roman" w:eastAsia="Times New Roman" w:hAnsi="Times New Roman"/>
                <w:sz w:val="15"/>
                <w:szCs w:val="15"/>
                <w:color w:val="auto"/>
              </w:rPr>
              <w:t>tax withholding obligations related to share-based</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awards</w:t>
            </w:r>
          </w:p>
        </w:tc>
        <w:tc>
          <w:tcPr>
            <w:tcW w:w="9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(56,457)</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(1,678)</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(1,678)</w:t>
            </w:r>
          </w:p>
        </w:tc>
        <w:tc>
          <w:tcPr>
            <w:tcW w:w="0" w:type="dxa"/>
            <w:vAlign w:val="bottom"/>
          </w:tcPr>
          <w:p>
            <w:pPr>
              <w:spacing w:after="0"/>
              <w:rPr>
                <w:sz w:val="1"/>
                <w:szCs w:val="1"/>
                <w:color w:val="auto"/>
              </w:rPr>
            </w:pPr>
          </w:p>
        </w:tc>
      </w:tr>
      <w:tr>
        <w:trPr>
          <w:trHeight w:val="162"/>
        </w:trPr>
        <w:tc>
          <w:tcPr>
            <w:tcW w:w="330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Share-based compensation</w:t>
            </w:r>
          </w:p>
        </w:tc>
        <w:tc>
          <w:tcPr>
            <w:tcW w:w="940" w:type="dxa"/>
            <w:vAlign w:val="bottom"/>
          </w:tcPr>
          <w:p>
            <w:pPr>
              <w:jc w:val="right"/>
              <w:ind w:right="66"/>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69"/>
              <w:spacing w:after="0" w:line="162" w:lineRule="exact"/>
              <w:rPr>
                <w:sz w:val="20"/>
                <w:szCs w:val="20"/>
                <w:color w:val="auto"/>
              </w:rPr>
            </w:pPr>
            <w:r>
              <w:rPr>
                <w:rFonts w:ascii="Times New Roman" w:cs="Times New Roman" w:eastAsia="Times New Roman" w:hAnsi="Times New Roman"/>
                <w:sz w:val="15"/>
                <w:szCs w:val="15"/>
                <w:color w:val="auto"/>
              </w:rPr>
              <w:t>25,443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66"/>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46"/>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25,443</w:t>
            </w:r>
          </w:p>
        </w:tc>
        <w:tc>
          <w:tcPr>
            <w:tcW w:w="0" w:type="dxa"/>
            <w:vAlign w:val="bottom"/>
          </w:tcPr>
          <w:p>
            <w:pPr>
              <w:spacing w:after="0"/>
              <w:rPr>
                <w:sz w:val="1"/>
                <w:szCs w:val="1"/>
                <w:color w:val="auto"/>
              </w:rPr>
            </w:pPr>
          </w:p>
        </w:tc>
      </w:tr>
      <w:tr>
        <w:trPr>
          <w:trHeight w:val="145"/>
        </w:trPr>
        <w:tc>
          <w:tcPr>
            <w:tcW w:w="3300" w:type="dxa"/>
            <w:vAlign w:val="bottom"/>
            <w:shd w:val="clear" w:color="auto" w:fill="CFF0FC"/>
          </w:tcPr>
          <w:p>
            <w:pPr>
              <w:ind w:left="60"/>
              <w:spacing w:after="0" w:line="145" w:lineRule="exact"/>
              <w:rPr>
                <w:sz w:val="20"/>
                <w:szCs w:val="20"/>
                <w:color w:val="auto"/>
              </w:rPr>
            </w:pPr>
            <w:r>
              <w:rPr>
                <w:rFonts w:ascii="Times New Roman" w:cs="Times New Roman" w:eastAsia="Times New Roman" w:hAnsi="Times New Roman"/>
                <w:sz w:val="15"/>
                <w:szCs w:val="15"/>
                <w:color w:val="auto"/>
              </w:rPr>
              <w:t>Unrealized gain on marketable securities, net of</w:t>
            </w: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tax provision of $16</w:t>
            </w:r>
          </w:p>
        </w:tc>
        <w:tc>
          <w:tcPr>
            <w:tcW w:w="9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5"/>
                <w:szCs w:val="15"/>
                <w:color w:val="auto"/>
              </w:rPr>
              <w:t>55</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55</w:t>
            </w:r>
          </w:p>
        </w:tc>
        <w:tc>
          <w:tcPr>
            <w:tcW w:w="0" w:type="dxa"/>
            <w:vAlign w:val="bottom"/>
          </w:tcPr>
          <w:p>
            <w:pPr>
              <w:spacing w:after="0"/>
              <w:rPr>
                <w:sz w:val="1"/>
                <w:szCs w:val="1"/>
                <w:color w:val="auto"/>
              </w:rPr>
            </w:pPr>
          </w:p>
        </w:tc>
      </w:tr>
      <w:tr>
        <w:trPr>
          <w:trHeight w:val="162"/>
        </w:trPr>
        <w:tc>
          <w:tcPr>
            <w:tcW w:w="330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940" w:type="dxa"/>
            <w:vAlign w:val="bottom"/>
            <w:tcBorders>
              <w:bottom w:val="single" w:sz="8" w:color="auto"/>
            </w:tcBorders>
          </w:tcPr>
          <w:p>
            <w:pPr>
              <w:jc w:val="right"/>
              <w:ind w:right="66"/>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ind w:right="69"/>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6"/>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87,098</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ind w:right="46"/>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87,098</w:t>
            </w:r>
          </w:p>
        </w:tc>
        <w:tc>
          <w:tcPr>
            <w:tcW w:w="0" w:type="dxa"/>
            <w:vAlign w:val="bottom"/>
          </w:tcPr>
          <w:p>
            <w:pPr>
              <w:spacing w:after="0"/>
              <w:rPr>
                <w:sz w:val="1"/>
                <w:szCs w:val="1"/>
                <w:color w:val="auto"/>
              </w:rPr>
            </w:pPr>
          </w:p>
        </w:tc>
      </w:tr>
      <w:tr>
        <w:trPr>
          <w:trHeight w:val="138"/>
        </w:trPr>
        <w:tc>
          <w:tcPr>
            <w:tcW w:w="33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66"/>
              <w:spacing w:after="0" w:line="138" w:lineRule="exact"/>
              <w:rPr>
                <w:sz w:val="20"/>
                <w:szCs w:val="20"/>
                <w:color w:val="auto"/>
              </w:rPr>
            </w:pPr>
            <w:r>
              <w:rPr>
                <w:rFonts w:ascii="Times New Roman" w:cs="Times New Roman" w:eastAsia="Times New Roman" w:hAnsi="Times New Roman"/>
                <w:sz w:val="15"/>
                <w:szCs w:val="15"/>
                <w:color w:val="auto"/>
              </w:rPr>
              <w:t>180,439,7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5"/>
              <w:spacing w:after="0" w:line="138" w:lineRule="exact"/>
              <w:rPr>
                <w:sz w:val="20"/>
                <w:szCs w:val="20"/>
                <w:color w:val="auto"/>
              </w:rPr>
            </w:pPr>
            <w:r>
              <w:rPr>
                <w:rFonts w:ascii="Times New Roman" w:cs="Times New Roman" w:eastAsia="Times New Roman" w:hAnsi="Times New Roman"/>
                <w:sz w:val="15"/>
                <w:szCs w:val="15"/>
                <w:color w:val="auto"/>
              </w:rPr>
              <w:t>1,624,58</w:t>
            </w:r>
          </w:p>
        </w:tc>
        <w:tc>
          <w:tcPr>
            <w:tcW w:w="0" w:type="dxa"/>
            <w:vAlign w:val="bottom"/>
          </w:tcPr>
          <w:p>
            <w:pPr>
              <w:spacing w:after="0"/>
              <w:rPr>
                <w:sz w:val="1"/>
                <w:szCs w:val="1"/>
                <w:color w:val="auto"/>
              </w:rPr>
            </w:pPr>
          </w:p>
        </w:tc>
      </w:tr>
      <w:tr>
        <w:trPr>
          <w:trHeight w:val="219"/>
        </w:trPr>
        <w:tc>
          <w:tcPr>
            <w:tcW w:w="3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 June 30, 2025</w:t>
            </w:r>
          </w:p>
        </w:tc>
        <w:tc>
          <w:tcPr>
            <w:tcW w:w="940" w:type="dxa"/>
            <w:vAlign w:val="bottom"/>
            <w:tcBorders>
              <w:bottom w:val="single" w:sz="8" w:color="auto"/>
            </w:tcBorders>
            <w:shd w:val="clear" w:color="auto" w:fill="CFF0FC"/>
          </w:tcPr>
          <w:p>
            <w:pPr>
              <w:jc w:val="right"/>
              <w:ind w:right="66"/>
              <w:spacing w:after="0" w:line="159" w:lineRule="exact"/>
              <w:rPr>
                <w:sz w:val="20"/>
                <w:szCs w:val="20"/>
                <w:color w:val="auto"/>
              </w:rPr>
            </w:pPr>
            <w:r>
              <w:rPr>
                <w:rFonts w:ascii="Times New Roman" w:cs="Times New Roman" w:eastAsia="Times New Roman" w:hAnsi="Times New Roman"/>
                <w:sz w:val="15"/>
                <w:szCs w:val="15"/>
                <w:color w:val="auto"/>
              </w:rPr>
              <w:t>50</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FF0FC"/>
          </w:tcPr>
          <w:p>
            <w:pPr>
              <w:jc w:val="right"/>
              <w:ind w:right="65"/>
              <w:spacing w:after="0" w:line="159" w:lineRule="exact"/>
              <w:rPr>
                <w:sz w:val="20"/>
                <w:szCs w:val="20"/>
                <w:color w:val="auto"/>
              </w:rPr>
            </w:pPr>
            <w:r>
              <w:rPr>
                <w:rFonts w:ascii="Times New Roman" w:cs="Times New Roman" w:eastAsia="Times New Roman" w:hAnsi="Times New Roman"/>
                <w:sz w:val="15"/>
                <w:szCs w:val="15"/>
                <w:color w:val="auto"/>
              </w:rPr>
              <w:t>1,805</w:t>
            </w:r>
          </w:p>
        </w:tc>
        <w:tc>
          <w:tcPr>
            <w:tcW w:w="1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
              <w:spacing w:after="0" w:line="159" w:lineRule="exact"/>
              <w:rPr>
                <w:sz w:val="20"/>
                <w:szCs w:val="20"/>
                <w:color w:val="auto"/>
              </w:rPr>
            </w:pPr>
            <w:r>
              <w:rPr>
                <w:rFonts w:ascii="Times New Roman" w:cs="Times New Roman" w:eastAsia="Times New Roman" w:hAnsi="Times New Roman"/>
                <w:sz w:val="15"/>
                <w:szCs w:val="15"/>
                <w:color w:val="auto"/>
              </w:rPr>
              <w:t>$ 2,940,789</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5"/>
                <w:szCs w:val="15"/>
                <w:color w:val="auto"/>
              </w:rPr>
              <w:t>(1,400)</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5"/>
                <w:szCs w:val="15"/>
                <w:color w:val="auto"/>
              </w:rPr>
              <w:t>(866,896)</w:t>
            </w:r>
          </w:p>
        </w:tc>
        <w:tc>
          <w:tcPr>
            <w:tcW w:w="1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5"/>
                <w:szCs w:val="15"/>
                <w:color w:val="auto"/>
              </w:rPr>
              <w:t>$ (15,384,838)</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5"/>
                <w:szCs w:val="15"/>
                <w:color w:val="auto"/>
              </w:rPr>
              <w:t>(449,714)</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FF0FC"/>
          </w:tcPr>
          <w:p>
            <w:pPr>
              <w:jc w:val="right"/>
              <w:ind w:right="45"/>
              <w:spacing w:after="0" w:line="159" w:lineRule="exact"/>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-24765</wp:posOffset>
            </wp:positionV>
            <wp:extent cx="768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-7620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-24765</wp:posOffset>
            </wp:positionV>
            <wp:extent cx="77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-7620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-24765</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-24765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-24765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38"/>
        </w:trPr>
        <w:tc>
          <w:tcPr>
            <w:tcW w:w="3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86"/>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1940" w:type="dxa"/>
            <w:vAlign w:val="bottom"/>
            <w:gridSpan w:val="4"/>
            <w:vMerge w:val="restart"/>
          </w:tcPr>
          <w:p>
            <w:pPr>
              <w:jc w:val="right"/>
              <w:ind w:right="545"/>
              <w:spacing w:after="0"/>
              <w:rPr>
                <w:sz w:val="20"/>
                <w:szCs w:val="20"/>
                <w:color w:val="auto"/>
              </w:rPr>
            </w:pPr>
            <w:r>
              <w:rPr>
                <w:rFonts w:ascii="Times New Roman" w:cs="Times New Roman" w:eastAsia="Times New Roman" w:hAnsi="Times New Roman"/>
                <w:sz w:val="12"/>
                <w:szCs w:val="12"/>
                <w:b w:val="1"/>
                <w:bCs w:val="1"/>
                <w:color w:val="auto"/>
              </w:rPr>
              <w:t>Ordinary Shares</w:t>
            </w:r>
          </w:p>
        </w:tc>
        <w:tc>
          <w:tcPr>
            <w:tcW w:w="120" w:type="dxa"/>
            <w:vAlign w:val="bottom"/>
          </w:tcPr>
          <w:p>
            <w:pPr>
              <w:spacing w:after="0"/>
              <w:rPr>
                <w:sz w:val="11"/>
                <w:szCs w:val="11"/>
                <w:color w:val="auto"/>
              </w:rPr>
            </w:pPr>
          </w:p>
        </w:tc>
        <w:tc>
          <w:tcPr>
            <w:tcW w:w="880" w:type="dxa"/>
            <w:vAlign w:val="bottom"/>
          </w:tcPr>
          <w:p>
            <w:pPr>
              <w:jc w:val="right"/>
              <w:ind w:right="168"/>
              <w:spacing w:after="0" w:line="135"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246"/>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4"/>
            <w:vMerge w:val="restart"/>
          </w:tcPr>
          <w:p>
            <w:pPr>
              <w:jc w:val="right"/>
              <w:ind w:right="525"/>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420" w:type="dxa"/>
            <w:vAlign w:val="bottom"/>
          </w:tcPr>
          <w:p>
            <w:pPr>
              <w:spacing w:after="0"/>
              <w:rPr>
                <w:sz w:val="11"/>
                <w:szCs w:val="11"/>
                <w:color w:val="auto"/>
              </w:rPr>
            </w:pPr>
          </w:p>
        </w:tc>
        <w:tc>
          <w:tcPr>
            <w:tcW w:w="1940" w:type="dxa"/>
            <w:vAlign w:val="bottom"/>
            <w:tcBorders>
              <w:bottom w:val="single" w:sz="8" w:color="auto"/>
            </w:tcBorders>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248"/>
              <w:spacing w:after="0" w:line="132"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11"/>
                <w:szCs w:val="11"/>
                <w:color w:val="auto"/>
              </w:rPr>
            </w:pPr>
          </w:p>
        </w:tc>
        <w:tc>
          <w:tcPr>
            <w:tcW w:w="900" w:type="dxa"/>
            <w:vAlign w:val="bottom"/>
            <w:gridSpan w:val="3"/>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860" w:type="dxa"/>
            <w:vAlign w:val="bottom"/>
            <w:tcBorders>
              <w:bottom w:val="single" w:sz="8" w:color="auto"/>
            </w:tcBorders>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20" w:type="dxa"/>
            <w:vAlign w:val="bottom"/>
          </w:tcPr>
          <w:p>
            <w:pPr>
              <w:spacing w:after="0"/>
              <w:rPr>
                <w:sz w:val="11"/>
                <w:szCs w:val="11"/>
                <w:color w:val="auto"/>
              </w:rPr>
            </w:pPr>
          </w:p>
        </w:tc>
        <w:tc>
          <w:tcPr>
            <w:tcW w:w="940" w:type="dxa"/>
            <w:vAlign w:val="bottom"/>
            <w:tcBorders>
              <w:bottom w:val="single" w:sz="8" w:color="auto"/>
            </w:tcBorders>
          </w:tcPr>
          <w:p>
            <w:pPr>
              <w:jc w:val="right"/>
              <w:ind w:right="285"/>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25"/>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1"/>
                <w:szCs w:val="11"/>
                <w:color w:val="auto"/>
              </w:rPr>
            </w:pPr>
          </w:p>
        </w:tc>
        <w:tc>
          <w:tcPr>
            <w:tcW w:w="880" w:type="dxa"/>
            <w:vAlign w:val="bottom"/>
            <w:tcBorders>
              <w:bottom w:val="single" w:sz="8" w:color="auto"/>
            </w:tcBorders>
          </w:tcPr>
          <w:p>
            <w:pPr>
              <w:jc w:val="right"/>
              <w:ind w:right="248"/>
              <w:spacing w:after="0" w:line="129" w:lineRule="exact"/>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206"/>
              <w:spacing w:after="0" w:line="129" w:lineRule="exact"/>
              <w:rPr>
                <w:sz w:val="20"/>
                <w:szCs w:val="20"/>
                <w:color w:val="auto"/>
              </w:rPr>
            </w:pPr>
            <w:r>
              <w:rPr>
                <w:rFonts w:ascii="Times New Roman" w:cs="Times New Roman" w:eastAsia="Times New Roman" w:hAnsi="Times New Roman"/>
                <w:sz w:val="12"/>
                <w:szCs w:val="12"/>
                <w:b w:val="1"/>
                <w:bCs w:val="1"/>
                <w:color w:val="auto"/>
                <w:w w:val="94"/>
              </w:rPr>
              <w:t>Loss</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25"/>
              <w:spacing w:after="0" w:line="129" w:lineRule="exact"/>
              <w:rPr>
                <w:sz w:val="20"/>
                <w:szCs w:val="20"/>
                <w:color w:val="auto"/>
              </w:rPr>
            </w:pPr>
            <w:r>
              <w:rPr>
                <w:rFonts w:ascii="Times New Roman" w:cs="Times New Roman" w:eastAsia="Times New Roman" w:hAnsi="Times New Roman"/>
                <w:sz w:val="12"/>
                <w:szCs w:val="12"/>
                <w:b w:val="1"/>
                <w:bCs w:val="1"/>
                <w:color w:val="auto"/>
              </w:rPr>
              <w:t>Deficit</w:t>
            </w:r>
          </w:p>
        </w:tc>
        <w:tc>
          <w:tcPr>
            <w:tcW w:w="100" w:type="dxa"/>
            <w:vAlign w:val="bottom"/>
          </w:tcPr>
          <w:p>
            <w:pPr>
              <w:spacing w:after="0"/>
              <w:rPr>
                <w:sz w:val="11"/>
                <w:szCs w:val="11"/>
                <w:color w:val="auto"/>
              </w:rPr>
            </w:pPr>
          </w:p>
        </w:tc>
        <w:tc>
          <w:tcPr>
            <w:tcW w:w="900" w:type="dxa"/>
            <w:vAlign w:val="bottom"/>
            <w:tcBorders>
              <w:bottom w:val="single" w:sz="8" w:color="auto"/>
            </w:tcBorders>
          </w:tcPr>
          <w:p>
            <w:pPr>
              <w:jc w:val="right"/>
              <w:ind w:right="265"/>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05"/>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1"/>
                <w:szCs w:val="11"/>
                <w:color w:val="auto"/>
              </w:rPr>
            </w:pPr>
          </w:p>
        </w:tc>
        <w:tc>
          <w:tcPr>
            <w:tcW w:w="880" w:type="dxa"/>
            <w:vAlign w:val="bottom"/>
            <w:tcBorders>
              <w:bottom w:val="single" w:sz="8" w:color="auto"/>
            </w:tcBorders>
          </w:tcPr>
          <w:p>
            <w:pPr>
              <w:jc w:val="right"/>
              <w:ind w:right="293"/>
              <w:spacing w:after="0" w:line="129"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8"/>
        </w:trPr>
        <w:tc>
          <w:tcPr>
            <w:tcW w:w="3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gridSpan w:val="6"/>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(In thousands, except share data)</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4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65"/>
              <w:spacing w:after="0" w:line="145" w:lineRule="exact"/>
              <w:rPr>
                <w:sz w:val="20"/>
                <w:szCs w:val="20"/>
                <w:color w:val="auto"/>
              </w:rPr>
            </w:pPr>
            <w:r>
              <w:rPr>
                <w:rFonts w:ascii="Times New Roman" w:cs="Times New Roman" w:eastAsia="Times New Roman" w:hAnsi="Times New Roman"/>
                <w:sz w:val="15"/>
                <w:szCs w:val="15"/>
                <w:color w:val="auto"/>
              </w:rPr>
              <w:t>172,569,0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45"/>
              <w:spacing w:after="0" w:line="145" w:lineRule="exact"/>
              <w:rPr>
                <w:sz w:val="20"/>
                <w:szCs w:val="20"/>
                <w:color w:val="auto"/>
              </w:rPr>
            </w:pPr>
            <w:r>
              <w:rPr>
                <w:rFonts w:ascii="Times New Roman" w:cs="Times New Roman" w:eastAsia="Times New Roman" w:hAnsi="Times New Roman"/>
                <w:sz w:val="15"/>
                <w:szCs w:val="15"/>
                <w:color w:val="auto"/>
              </w:rPr>
              <w:t>(1,343,5</w:t>
            </w: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5"/>
              <w:spacing w:after="0" w:line="145" w:lineRule="exact"/>
              <w:rPr>
                <w:sz w:val="20"/>
                <w:szCs w:val="20"/>
                <w:color w:val="auto"/>
              </w:rPr>
            </w:pPr>
            <w:r>
              <w:rPr>
                <w:rFonts w:ascii="Times New Roman" w:cs="Times New Roman" w:eastAsia="Times New Roman" w:hAnsi="Times New Roman"/>
                <w:sz w:val="15"/>
                <w:szCs w:val="15"/>
                <w:color w:val="auto"/>
              </w:rPr>
              <w:t>(5,589,21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 December 31, 2023</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51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1,726</w:t>
            </w:r>
          </w:p>
        </w:tc>
        <w:tc>
          <w:tcPr>
            <w:tcW w:w="10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$ 2,736,934</w:t>
            </w: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(3,110)</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(189,336)</w:t>
            </w:r>
          </w:p>
        </w:tc>
        <w:tc>
          <w:tcPr>
            <w:tcW w:w="9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$ 1,202,686</w:t>
            </w:r>
          </w:p>
        </w:tc>
        <w:tc>
          <w:tcPr>
            <w:tcW w:w="0" w:type="dxa"/>
            <w:vAlign w:val="bottom"/>
          </w:tcPr>
          <w:p>
            <w:pPr>
              <w:spacing w:after="0"/>
              <w:rPr>
                <w:sz w:val="1"/>
                <w:szCs w:val="1"/>
                <w:color w:val="auto"/>
              </w:rPr>
            </w:pPr>
          </w:p>
        </w:tc>
      </w:tr>
      <w:tr>
        <w:trPr>
          <w:trHeight w:val="145"/>
        </w:trPr>
        <w:tc>
          <w:tcPr>
            <w:tcW w:w="3420" w:type="dxa"/>
            <w:vAlign w:val="bottom"/>
          </w:tcPr>
          <w:p>
            <w:pPr>
              <w:ind w:left="60"/>
              <w:spacing w:after="0" w:line="145" w:lineRule="exact"/>
              <w:rPr>
                <w:sz w:val="20"/>
                <w:szCs w:val="20"/>
                <w:color w:val="auto"/>
              </w:rPr>
            </w:pPr>
            <w:r>
              <w:rPr>
                <w:rFonts w:ascii="Times New Roman" w:cs="Times New Roman" w:eastAsia="Times New Roman" w:hAnsi="Times New Roman"/>
                <w:sz w:val="15"/>
                <w:szCs w:val="15"/>
                <w:color w:val="auto"/>
              </w:rPr>
              <w:t>Issuance of ordinary shares under employee stock</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plans</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3,165,169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31</w:t>
            </w:r>
          </w:p>
        </w:tc>
        <w:tc>
          <w:tcPr>
            <w:tcW w:w="1000" w:type="dxa"/>
            <w:vAlign w:val="bottom"/>
            <w:gridSpan w:val="2"/>
          </w:tcPr>
          <w:p>
            <w:pPr>
              <w:jc w:val="right"/>
              <w:ind w:right="48"/>
              <w:spacing w:after="0"/>
              <w:rPr>
                <w:sz w:val="20"/>
                <w:szCs w:val="20"/>
                <w:color w:val="auto"/>
              </w:rPr>
            </w:pPr>
            <w:r>
              <w:rPr>
                <w:rFonts w:ascii="Times New Roman" w:cs="Times New Roman" w:eastAsia="Times New Roman" w:hAnsi="Times New Roman"/>
                <w:sz w:val="15"/>
                <w:szCs w:val="15"/>
                <w:color w:val="auto"/>
              </w:rPr>
              <w:t>11,195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53"/>
              <w:spacing w:after="0"/>
              <w:rPr>
                <w:sz w:val="20"/>
                <w:szCs w:val="20"/>
                <w:color w:val="auto"/>
              </w:rPr>
            </w:pPr>
            <w:r>
              <w:rPr>
                <w:rFonts w:ascii="Times New Roman" w:cs="Times New Roman" w:eastAsia="Times New Roman" w:hAnsi="Times New Roman"/>
                <w:sz w:val="15"/>
                <w:szCs w:val="15"/>
                <w:color w:val="auto"/>
              </w:rPr>
              <w:t>11,226</w:t>
            </w:r>
          </w:p>
        </w:tc>
        <w:tc>
          <w:tcPr>
            <w:tcW w:w="0" w:type="dxa"/>
            <w:vAlign w:val="bottom"/>
          </w:tcPr>
          <w:p>
            <w:pPr>
              <w:spacing w:after="0"/>
              <w:rPr>
                <w:sz w:val="1"/>
                <w:szCs w:val="1"/>
                <w:color w:val="auto"/>
              </w:rPr>
            </w:pPr>
          </w:p>
        </w:tc>
      </w:tr>
      <w:tr>
        <w:trPr>
          <w:trHeight w:val="145"/>
        </w:trPr>
        <w:tc>
          <w:tcPr>
            <w:tcW w:w="3420" w:type="dxa"/>
            <w:vAlign w:val="bottom"/>
            <w:shd w:val="clear" w:color="auto" w:fill="CFF0FC"/>
          </w:tcPr>
          <w:p>
            <w:pPr>
              <w:ind w:left="60"/>
              <w:spacing w:after="0" w:line="145" w:lineRule="exact"/>
              <w:rPr>
                <w:sz w:val="20"/>
                <w:szCs w:val="20"/>
                <w:color w:val="auto"/>
              </w:rPr>
            </w:pPr>
            <w:r>
              <w:rPr>
                <w:rFonts w:ascii="Times New Roman" w:cs="Times New Roman" w:eastAsia="Times New Roman" w:hAnsi="Times New Roman"/>
                <w:sz w:val="15"/>
                <w:szCs w:val="15"/>
                <w:color w:val="auto"/>
              </w:rPr>
              <w:t>Receipt of Alkermes' ordinary shares for the</w:t>
            </w: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60"/>
              <w:spacing w:after="0" w:line="162" w:lineRule="exact"/>
              <w:rPr>
                <w:sz w:val="20"/>
                <w:szCs w:val="20"/>
                <w:color w:val="auto"/>
              </w:rPr>
            </w:pPr>
            <w:r>
              <w:rPr>
                <w:rFonts w:ascii="Times New Roman" w:cs="Times New Roman" w:eastAsia="Times New Roman" w:hAnsi="Times New Roman"/>
                <w:sz w:val="15"/>
                <w:szCs w:val="15"/>
                <w:color w:val="auto"/>
              </w:rPr>
              <w:t>exercise of stock options or to satisfy minimum tax</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60"/>
              <w:spacing w:after="0" w:line="162" w:lineRule="exact"/>
              <w:rPr>
                <w:sz w:val="20"/>
                <w:szCs w:val="20"/>
                <w:color w:val="auto"/>
              </w:rPr>
            </w:pPr>
            <w:r>
              <w:rPr>
                <w:rFonts w:ascii="Times New Roman" w:cs="Times New Roman" w:eastAsia="Times New Roman" w:hAnsi="Times New Roman"/>
                <w:sz w:val="15"/>
                <w:szCs w:val="15"/>
                <w:color w:val="auto"/>
              </w:rPr>
              <w:t>withholding obligations related to share-based</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awards</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(960,486)</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(28,349)</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(28,349)</w:t>
            </w:r>
          </w:p>
        </w:tc>
        <w:tc>
          <w:tcPr>
            <w:tcW w:w="0" w:type="dxa"/>
            <w:vAlign w:val="bottom"/>
          </w:tcPr>
          <w:p>
            <w:pPr>
              <w:spacing w:after="0"/>
              <w:rPr>
                <w:sz w:val="1"/>
                <w:szCs w:val="1"/>
                <w:color w:val="auto"/>
              </w:rPr>
            </w:pPr>
          </w:p>
        </w:tc>
      </w:tr>
      <w:tr>
        <w:trPr>
          <w:trHeight w:val="162"/>
        </w:trPr>
        <w:tc>
          <w:tcPr>
            <w:tcW w:w="342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Share-based compensation</w:t>
            </w:r>
          </w:p>
        </w:tc>
        <w:tc>
          <w:tcPr>
            <w:tcW w:w="94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32,863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46"/>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32,863</w:t>
            </w:r>
          </w:p>
        </w:tc>
        <w:tc>
          <w:tcPr>
            <w:tcW w:w="0" w:type="dxa"/>
            <w:vAlign w:val="bottom"/>
          </w:tcPr>
          <w:p>
            <w:pPr>
              <w:spacing w:after="0"/>
              <w:rPr>
                <w:sz w:val="1"/>
                <w:szCs w:val="1"/>
                <w:color w:val="auto"/>
              </w:rPr>
            </w:pPr>
          </w:p>
        </w:tc>
      </w:tr>
      <w:tr>
        <w:trPr>
          <w:trHeight w:val="145"/>
        </w:trPr>
        <w:tc>
          <w:tcPr>
            <w:tcW w:w="3420" w:type="dxa"/>
            <w:vAlign w:val="bottom"/>
            <w:shd w:val="clear" w:color="auto" w:fill="CFF0FC"/>
          </w:tcPr>
          <w:p>
            <w:pPr>
              <w:ind w:left="60"/>
              <w:spacing w:after="0" w:line="145" w:lineRule="exact"/>
              <w:rPr>
                <w:sz w:val="20"/>
                <w:szCs w:val="20"/>
                <w:color w:val="auto"/>
              </w:rPr>
            </w:pPr>
            <w:r>
              <w:rPr>
                <w:rFonts w:ascii="Times New Roman" w:cs="Times New Roman" w:eastAsia="Times New Roman" w:hAnsi="Times New Roman"/>
                <w:sz w:val="15"/>
                <w:szCs w:val="15"/>
                <w:color w:val="auto"/>
              </w:rPr>
              <w:t>Unrealized loss on marketable securities, net of tax</w:t>
            </w: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benefit of $75</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(491)</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(491)</w:t>
            </w:r>
          </w:p>
        </w:tc>
        <w:tc>
          <w:tcPr>
            <w:tcW w:w="0" w:type="dxa"/>
            <w:vAlign w:val="bottom"/>
          </w:tcPr>
          <w:p>
            <w:pPr>
              <w:spacing w:after="0"/>
              <w:rPr>
                <w:sz w:val="1"/>
                <w:szCs w:val="1"/>
                <w:color w:val="auto"/>
              </w:rPr>
            </w:pPr>
          </w:p>
        </w:tc>
      </w:tr>
      <w:tr>
        <w:trPr>
          <w:trHeight w:val="162"/>
        </w:trPr>
        <w:tc>
          <w:tcPr>
            <w:tcW w:w="342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94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80" w:type="dxa"/>
            <w:vAlign w:val="bottom"/>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46"/>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36,828</w:t>
            </w:r>
          </w:p>
        </w:tc>
        <w:tc>
          <w:tcPr>
            <w:tcW w:w="100" w:type="dxa"/>
            <w:vAlign w:val="bottom"/>
          </w:tcPr>
          <w:p>
            <w:pPr>
              <w:spacing w:after="0"/>
              <w:rPr>
                <w:sz w:val="14"/>
                <w:szCs w:val="14"/>
                <w:color w:val="auto"/>
              </w:rPr>
            </w:pPr>
          </w:p>
        </w:tc>
        <w:tc>
          <w:tcPr>
            <w:tcW w:w="90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36,828</w:t>
            </w:r>
          </w:p>
        </w:tc>
        <w:tc>
          <w:tcPr>
            <w:tcW w:w="0" w:type="dxa"/>
            <w:vAlign w:val="bottom"/>
          </w:tcPr>
          <w:p>
            <w:pPr>
              <w:spacing w:after="0"/>
              <w:rPr>
                <w:sz w:val="1"/>
                <w:szCs w:val="1"/>
                <w:color w:val="auto"/>
              </w:rPr>
            </w:pPr>
          </w:p>
        </w:tc>
      </w:tr>
      <w:tr>
        <w:trPr>
          <w:trHeight w:val="138"/>
        </w:trPr>
        <w:tc>
          <w:tcPr>
            <w:tcW w:w="3420" w:type="dxa"/>
            <w:vAlign w:val="bottom"/>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jc w:val="right"/>
              <w:ind w:right="65"/>
              <w:spacing w:after="0" w:line="138" w:lineRule="exact"/>
              <w:rPr>
                <w:sz w:val="20"/>
                <w:szCs w:val="20"/>
                <w:color w:val="auto"/>
              </w:rPr>
            </w:pPr>
            <w:r>
              <w:rPr>
                <w:rFonts w:ascii="Times New Roman" w:cs="Times New Roman" w:eastAsia="Times New Roman" w:hAnsi="Times New Roman"/>
                <w:sz w:val="15"/>
                <w:szCs w:val="15"/>
                <w:color w:val="auto"/>
              </w:rPr>
              <w:t>175,734,2</w:t>
            </w:r>
          </w:p>
        </w:tc>
        <w:tc>
          <w:tcPr>
            <w:tcW w:w="1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ind w:right="45"/>
              <w:spacing w:after="0" w:line="138" w:lineRule="exact"/>
              <w:rPr>
                <w:sz w:val="20"/>
                <w:szCs w:val="20"/>
                <w:color w:val="auto"/>
              </w:rPr>
            </w:pPr>
            <w:r>
              <w:rPr>
                <w:rFonts w:ascii="Times New Roman" w:cs="Times New Roman" w:eastAsia="Times New Roman" w:hAnsi="Times New Roman"/>
                <w:sz w:val="15"/>
                <w:szCs w:val="15"/>
                <w:color w:val="auto"/>
              </w:rPr>
              <w:t>(1,306,7</w:t>
            </w:r>
          </w:p>
        </w:tc>
        <w:tc>
          <w:tcPr>
            <w:tcW w:w="100" w:type="dxa"/>
            <w:vAlign w:val="bottom"/>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ind w:right="45"/>
              <w:spacing w:after="0" w:line="138" w:lineRule="exact"/>
              <w:rPr>
                <w:sz w:val="20"/>
                <w:szCs w:val="20"/>
                <w:color w:val="auto"/>
              </w:rPr>
            </w:pPr>
            <w:r>
              <w:rPr>
                <w:rFonts w:ascii="Times New Roman" w:cs="Times New Roman" w:eastAsia="Times New Roman" w:hAnsi="Times New Roman"/>
                <w:sz w:val="15"/>
                <w:szCs w:val="15"/>
                <w:color w:val="auto"/>
              </w:rPr>
              <w:t>(6,549,70</w:t>
            </w:r>
          </w:p>
        </w:tc>
        <w:tc>
          <w:tcPr>
            <w:tcW w:w="1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 March 31, 2024</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20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1,757</w:t>
            </w:r>
          </w:p>
        </w:tc>
        <w:tc>
          <w:tcPr>
            <w:tcW w:w="10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$ 2,780,992</w:t>
            </w: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(3,601)</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00)</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(217,685)</w:t>
            </w:r>
          </w:p>
        </w:tc>
        <w:tc>
          <w:tcPr>
            <w:tcW w:w="9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$ 1,254,763</w:t>
            </w:r>
          </w:p>
        </w:tc>
        <w:tc>
          <w:tcPr>
            <w:tcW w:w="0" w:type="dxa"/>
            <w:vAlign w:val="bottom"/>
          </w:tcPr>
          <w:p>
            <w:pPr>
              <w:spacing w:after="0"/>
              <w:rPr>
                <w:sz w:val="1"/>
                <w:szCs w:val="1"/>
                <w:color w:val="auto"/>
              </w:rPr>
            </w:pPr>
          </w:p>
        </w:tc>
      </w:tr>
      <w:tr>
        <w:trPr>
          <w:trHeight w:val="145"/>
        </w:trPr>
        <w:tc>
          <w:tcPr>
            <w:tcW w:w="3420" w:type="dxa"/>
            <w:vAlign w:val="bottom"/>
          </w:tcPr>
          <w:p>
            <w:pPr>
              <w:ind w:left="60"/>
              <w:spacing w:after="0" w:line="145" w:lineRule="exact"/>
              <w:rPr>
                <w:sz w:val="20"/>
                <w:szCs w:val="20"/>
                <w:color w:val="auto"/>
              </w:rPr>
            </w:pPr>
            <w:r>
              <w:rPr>
                <w:rFonts w:ascii="Times New Roman" w:cs="Times New Roman" w:eastAsia="Times New Roman" w:hAnsi="Times New Roman"/>
                <w:sz w:val="15"/>
                <w:szCs w:val="15"/>
                <w:color w:val="auto"/>
              </w:rPr>
              <w:t>Issuance of ordinary shares under employee stock</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plans</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225,052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3</w:t>
            </w:r>
          </w:p>
        </w:tc>
        <w:tc>
          <w:tcPr>
            <w:tcW w:w="1000" w:type="dxa"/>
            <w:vAlign w:val="bottom"/>
            <w:gridSpan w:val="2"/>
          </w:tcPr>
          <w:p>
            <w:pPr>
              <w:jc w:val="right"/>
              <w:ind w:right="48"/>
              <w:spacing w:after="0"/>
              <w:rPr>
                <w:sz w:val="20"/>
                <w:szCs w:val="20"/>
                <w:color w:val="auto"/>
              </w:rPr>
            </w:pPr>
            <w:r>
              <w:rPr>
                <w:rFonts w:ascii="Times New Roman" w:cs="Times New Roman" w:eastAsia="Times New Roman" w:hAnsi="Times New Roman"/>
                <w:sz w:val="15"/>
                <w:szCs w:val="15"/>
                <w:color w:val="auto"/>
              </w:rPr>
              <w:t>2,604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53"/>
              <w:spacing w:after="0"/>
              <w:rPr>
                <w:sz w:val="20"/>
                <w:szCs w:val="20"/>
                <w:color w:val="auto"/>
              </w:rPr>
            </w:pPr>
            <w:r>
              <w:rPr>
                <w:rFonts w:ascii="Times New Roman" w:cs="Times New Roman" w:eastAsia="Times New Roman" w:hAnsi="Times New Roman"/>
                <w:sz w:val="15"/>
                <w:szCs w:val="15"/>
                <w:color w:val="auto"/>
              </w:rPr>
              <w:t>2,607</w:t>
            </w:r>
          </w:p>
        </w:tc>
        <w:tc>
          <w:tcPr>
            <w:tcW w:w="0" w:type="dxa"/>
            <w:vAlign w:val="bottom"/>
          </w:tcPr>
          <w:p>
            <w:pPr>
              <w:spacing w:after="0"/>
              <w:rPr>
                <w:sz w:val="1"/>
                <w:szCs w:val="1"/>
                <w:color w:val="auto"/>
              </w:rPr>
            </w:pPr>
          </w:p>
        </w:tc>
      </w:tr>
      <w:tr>
        <w:trPr>
          <w:trHeight w:val="145"/>
        </w:trPr>
        <w:tc>
          <w:tcPr>
            <w:tcW w:w="3420" w:type="dxa"/>
            <w:vAlign w:val="bottom"/>
            <w:shd w:val="clear" w:color="auto" w:fill="CFF0FC"/>
          </w:tcPr>
          <w:p>
            <w:pPr>
              <w:ind w:left="60"/>
              <w:spacing w:after="0" w:line="145" w:lineRule="exact"/>
              <w:rPr>
                <w:sz w:val="20"/>
                <w:szCs w:val="20"/>
                <w:color w:val="auto"/>
              </w:rPr>
            </w:pPr>
            <w:r>
              <w:rPr>
                <w:rFonts w:ascii="Times New Roman" w:cs="Times New Roman" w:eastAsia="Times New Roman" w:hAnsi="Times New Roman"/>
                <w:sz w:val="15"/>
                <w:szCs w:val="15"/>
                <w:color w:val="auto"/>
              </w:rPr>
              <w:t>Receipt of Alkermes' ordinary shares for the</w:t>
            </w: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60"/>
              <w:spacing w:after="0" w:line="162" w:lineRule="exact"/>
              <w:rPr>
                <w:sz w:val="20"/>
                <w:szCs w:val="20"/>
                <w:color w:val="auto"/>
              </w:rPr>
            </w:pPr>
            <w:r>
              <w:rPr>
                <w:rFonts w:ascii="Times New Roman" w:cs="Times New Roman" w:eastAsia="Times New Roman" w:hAnsi="Times New Roman"/>
                <w:sz w:val="15"/>
                <w:szCs w:val="15"/>
                <w:color w:val="auto"/>
              </w:rPr>
              <w:t>exercise of stock options or to satisfy minimum tax</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60"/>
              <w:spacing w:after="0" w:line="162" w:lineRule="exact"/>
              <w:rPr>
                <w:sz w:val="20"/>
                <w:szCs w:val="20"/>
                <w:color w:val="auto"/>
              </w:rPr>
            </w:pPr>
            <w:r>
              <w:rPr>
                <w:rFonts w:ascii="Times New Roman" w:cs="Times New Roman" w:eastAsia="Times New Roman" w:hAnsi="Times New Roman"/>
                <w:sz w:val="15"/>
                <w:szCs w:val="15"/>
                <w:color w:val="auto"/>
              </w:rPr>
              <w:t>withholding obligations related to share-based</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awards</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(26,692)</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(651)</w:t>
            </w:r>
          </w:p>
        </w:tc>
        <w:tc>
          <w:tcPr>
            <w:tcW w:w="0" w:type="dxa"/>
            <w:vAlign w:val="bottom"/>
          </w:tcPr>
          <w:p>
            <w:pPr>
              <w:spacing w:after="0"/>
              <w:rPr>
                <w:sz w:val="1"/>
                <w:szCs w:val="1"/>
                <w:color w:val="auto"/>
              </w:rPr>
            </w:pPr>
          </w:p>
        </w:tc>
      </w:tr>
      <w:tr>
        <w:trPr>
          <w:trHeight w:val="145"/>
        </w:trPr>
        <w:tc>
          <w:tcPr>
            <w:tcW w:w="3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45"/>
              <w:spacing w:after="0" w:line="145" w:lineRule="exact"/>
              <w:rPr>
                <w:sz w:val="20"/>
                <w:szCs w:val="20"/>
                <w:color w:val="auto"/>
              </w:rPr>
            </w:pPr>
            <w:r>
              <w:rPr>
                <w:rFonts w:ascii="Times New Roman" w:cs="Times New Roman" w:eastAsia="Times New Roman" w:hAnsi="Times New Roman"/>
                <w:sz w:val="15"/>
                <w:szCs w:val="15"/>
                <w:color w:val="auto"/>
              </w:rPr>
              <w:t>(3,496,18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Repurchase of Alkermes' ordinary shares</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(84,689)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(84,689)</w:t>
            </w: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60"/>
              <w:spacing w:after="0" w:line="162" w:lineRule="exact"/>
              <w:rPr>
                <w:sz w:val="20"/>
                <w:szCs w:val="20"/>
                <w:color w:val="auto"/>
              </w:rPr>
            </w:pPr>
            <w:r>
              <w:rPr>
                <w:rFonts w:ascii="Times New Roman" w:cs="Times New Roman" w:eastAsia="Times New Roman" w:hAnsi="Times New Roman"/>
                <w:sz w:val="15"/>
                <w:szCs w:val="15"/>
                <w:color w:val="auto"/>
              </w:rPr>
              <w:t>Share-based compensation</w:t>
            </w:r>
          </w:p>
        </w:tc>
        <w:tc>
          <w:tcPr>
            <w:tcW w:w="94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FF0FC"/>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20,606</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6"/>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FF0FC"/>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20,606</w:t>
            </w:r>
          </w:p>
        </w:tc>
        <w:tc>
          <w:tcPr>
            <w:tcW w:w="0" w:type="dxa"/>
            <w:vAlign w:val="bottom"/>
          </w:tcPr>
          <w:p>
            <w:pPr>
              <w:spacing w:after="0"/>
              <w:rPr>
                <w:sz w:val="1"/>
                <w:szCs w:val="1"/>
                <w:color w:val="auto"/>
              </w:rPr>
            </w:pPr>
          </w:p>
        </w:tc>
      </w:tr>
      <w:tr>
        <w:trPr>
          <w:trHeight w:val="145"/>
        </w:trPr>
        <w:tc>
          <w:tcPr>
            <w:tcW w:w="3420" w:type="dxa"/>
            <w:vAlign w:val="bottom"/>
          </w:tcPr>
          <w:p>
            <w:pPr>
              <w:ind w:left="60"/>
              <w:spacing w:after="0" w:line="145" w:lineRule="exact"/>
              <w:rPr>
                <w:sz w:val="20"/>
                <w:szCs w:val="20"/>
                <w:color w:val="auto"/>
              </w:rPr>
            </w:pPr>
            <w:r>
              <w:rPr>
                <w:rFonts w:ascii="Times New Roman" w:cs="Times New Roman" w:eastAsia="Times New Roman" w:hAnsi="Times New Roman"/>
                <w:sz w:val="15"/>
                <w:szCs w:val="15"/>
                <w:color w:val="auto"/>
              </w:rPr>
              <w:t>Unrealized gain on marketable securities, net of tax</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benefit of $8</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53"/>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60"/>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94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6"/>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91,358</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FF0FC"/>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91,358</w:t>
            </w:r>
          </w:p>
        </w:tc>
        <w:tc>
          <w:tcPr>
            <w:tcW w:w="0" w:type="dxa"/>
            <w:vAlign w:val="bottom"/>
          </w:tcPr>
          <w:p>
            <w:pPr>
              <w:spacing w:after="0"/>
              <w:rPr>
                <w:sz w:val="1"/>
                <w:szCs w:val="1"/>
                <w:color w:val="auto"/>
              </w:rPr>
            </w:pPr>
          </w:p>
        </w:tc>
      </w:tr>
      <w:tr>
        <w:trPr>
          <w:trHeight w:val="138"/>
        </w:trPr>
        <w:tc>
          <w:tcPr>
            <w:tcW w:w="3420" w:type="dxa"/>
            <w:vAlign w:val="bottom"/>
            <w:tcBorders>
              <w:top w:val="single" w:sz="8" w:color="CFF0FC"/>
            </w:tcBorders>
          </w:tcPr>
          <w:p>
            <w:pPr>
              <w:spacing w:after="0"/>
              <w:rPr>
                <w:sz w:val="12"/>
                <w:szCs w:val="12"/>
                <w:color w:val="auto"/>
              </w:rPr>
            </w:pPr>
          </w:p>
        </w:tc>
        <w:tc>
          <w:tcPr>
            <w:tcW w:w="940" w:type="dxa"/>
            <w:vAlign w:val="bottom"/>
            <w:tcBorders>
              <w:top w:val="single" w:sz="8" w:color="auto"/>
            </w:tcBorders>
          </w:tcPr>
          <w:p>
            <w:pPr>
              <w:jc w:val="right"/>
              <w:ind w:right="65"/>
              <w:spacing w:after="0" w:line="138" w:lineRule="exact"/>
              <w:rPr>
                <w:sz w:val="20"/>
                <w:szCs w:val="20"/>
                <w:color w:val="auto"/>
              </w:rPr>
            </w:pPr>
            <w:r>
              <w:rPr>
                <w:rFonts w:ascii="Times New Roman" w:cs="Times New Roman" w:eastAsia="Times New Roman" w:hAnsi="Times New Roman"/>
                <w:sz w:val="15"/>
                <w:szCs w:val="15"/>
                <w:color w:val="auto"/>
              </w:rPr>
              <w:t>175,959,2</w:t>
            </w:r>
          </w:p>
        </w:tc>
        <w:tc>
          <w:tcPr>
            <w:tcW w:w="1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45"/>
              <w:spacing w:after="0" w:line="138" w:lineRule="exact"/>
              <w:rPr>
                <w:sz w:val="20"/>
                <w:szCs w:val="20"/>
                <w:color w:val="auto"/>
              </w:rPr>
            </w:pPr>
            <w:r>
              <w:rPr>
                <w:rFonts w:ascii="Times New Roman" w:cs="Times New Roman" w:eastAsia="Times New Roman" w:hAnsi="Times New Roman"/>
                <w:sz w:val="15"/>
                <w:szCs w:val="15"/>
                <w:color w:val="auto"/>
              </w:rPr>
              <w:t>(1,215,3</w:t>
            </w:r>
          </w:p>
        </w:tc>
        <w:tc>
          <w:tcPr>
            <w:tcW w:w="100" w:type="dxa"/>
            <w:vAlign w:val="bottom"/>
            <w:tcBorders>
              <w:top w:val="single" w:sz="8" w:color="CFF0FC"/>
            </w:tcBorders>
          </w:tcPr>
          <w:p>
            <w:pPr>
              <w:spacing w:after="0"/>
              <w:rPr>
                <w:sz w:val="12"/>
                <w:szCs w:val="12"/>
                <w:color w:val="auto"/>
              </w:rPr>
            </w:pPr>
          </w:p>
        </w:tc>
        <w:tc>
          <w:tcPr>
            <w:tcW w:w="900" w:type="dxa"/>
            <w:vAlign w:val="bottom"/>
            <w:tcBorders>
              <w:top w:val="single" w:sz="8" w:color="auto"/>
            </w:tcBorders>
          </w:tcPr>
          <w:p>
            <w:pPr>
              <w:jc w:val="right"/>
              <w:ind w:right="45"/>
              <w:spacing w:after="0" w:line="138" w:lineRule="exact"/>
              <w:rPr>
                <w:sz w:val="20"/>
                <w:szCs w:val="20"/>
                <w:color w:val="auto"/>
              </w:rPr>
            </w:pPr>
            <w:r>
              <w:rPr>
                <w:rFonts w:ascii="Times New Roman" w:cs="Times New Roman" w:eastAsia="Times New Roman" w:hAnsi="Times New Roman"/>
                <w:sz w:val="15"/>
                <w:szCs w:val="15"/>
                <w:color w:val="auto"/>
              </w:rPr>
              <w:t>(10,072,5</w:t>
            </w: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BALANCE — June 30, 2024</w:t>
            </w:r>
          </w:p>
        </w:tc>
        <w:tc>
          <w:tcPr>
            <w:tcW w:w="940" w:type="dxa"/>
            <w:vAlign w:val="bottom"/>
            <w:tcBorders>
              <w:bottom w:val="single" w:sz="8" w:color="auto"/>
            </w:tcBorders>
          </w:tcPr>
          <w:p>
            <w:pPr>
              <w:jc w:val="right"/>
              <w:ind w:right="65"/>
              <w:spacing w:after="0" w:line="159" w:lineRule="exact"/>
              <w:rPr>
                <w:sz w:val="20"/>
                <w:szCs w:val="20"/>
                <w:color w:val="auto"/>
              </w:rPr>
            </w:pPr>
            <w:r>
              <w:rPr>
                <w:rFonts w:ascii="Times New Roman" w:cs="Times New Roman" w:eastAsia="Times New Roman" w:hAnsi="Times New Roman"/>
                <w:sz w:val="15"/>
                <w:szCs w:val="15"/>
                <w:color w:val="auto"/>
              </w:rPr>
              <w:t>72</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tcPr>
          <w:p>
            <w:pPr>
              <w:jc w:val="right"/>
              <w:ind w:right="45"/>
              <w:spacing w:after="0" w:line="159" w:lineRule="exact"/>
              <w:rPr>
                <w:sz w:val="20"/>
                <w:szCs w:val="20"/>
                <w:color w:val="auto"/>
              </w:rPr>
            </w:pPr>
            <w:r>
              <w:rPr>
                <w:rFonts w:ascii="Times New Roman" w:cs="Times New Roman" w:eastAsia="Times New Roman" w:hAnsi="Times New Roman"/>
                <w:sz w:val="15"/>
                <w:szCs w:val="15"/>
                <w:color w:val="auto"/>
              </w:rPr>
              <w:t>1,760</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ind w:right="48"/>
              <w:spacing w:after="0" w:line="159" w:lineRule="exact"/>
              <w:rPr>
                <w:sz w:val="20"/>
                <w:szCs w:val="20"/>
                <w:color w:val="auto"/>
              </w:rPr>
            </w:pPr>
            <w:r>
              <w:rPr>
                <w:rFonts w:ascii="Times New Roman" w:cs="Times New Roman" w:eastAsia="Times New Roman" w:hAnsi="Times New Roman"/>
                <w:sz w:val="15"/>
                <w:szCs w:val="15"/>
                <w:color w:val="auto"/>
              </w:rPr>
              <w:t>$ 2,804,202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line="159"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color w:val="auto"/>
              </w:rPr>
              <w:t>(3,590)</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line="159"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color w:val="auto"/>
              </w:rPr>
              <w:t>42)</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color w:val="auto"/>
              </w:rPr>
              <w:t>83)</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color w:val="auto"/>
              </w:rPr>
              <w:t>(303,025)</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53"/>
              <w:spacing w:after="0" w:line="159" w:lineRule="exact"/>
              <w:rPr>
                <w:sz w:val="20"/>
                <w:szCs w:val="20"/>
                <w:color w:val="auto"/>
              </w:rPr>
            </w:pPr>
            <w:r>
              <w:rPr>
                <w:rFonts w:ascii="Times New Roman" w:cs="Times New Roman" w:eastAsia="Times New Roman" w:hAnsi="Times New Roman"/>
                <w:sz w:val="15"/>
                <w:szCs w:val="15"/>
                <w:color w:val="auto"/>
              </w:rPr>
              <w:t>$ 1,284,005</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-239395</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-239395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-239395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-239395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-239395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-239395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-239395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5"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62"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Alkermes plc is a global biopharmaceutical company that seeks to develop innovative medicines in the field of neuroscience. Alkermes has a portfolio of proprietary commercial products for the treatment of alcohol dependence, opioid dependence, schizophrenia and bipolar I disorder and a pipeline of clinical and preclinical candidates in development for neurological disorders, including narcolepsy and idiopathic hypersomnia. Headquartered in Ireland, Alkermes also has a corporate office and research and development (“R&amp;D”) center in Massachusetts and a manufacturing facility in Ohio.</w:t>
      </w:r>
    </w:p>
    <w:p>
      <w:pPr>
        <w:spacing w:after="0" w:line="112"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In May 2024, the Company completed the sale of its research and development business and manufacturing facility in Athlone, Ireland (the “Athlone Facility”) to Novo Nordisk (“Novo”). The Company and Novo also entered into subcontracting arrangements to continue certain development and manufacturing activities performed at the Athlone Facility for a period of time after the closing of the transaction, which activities may continue through the end of 2025. In connection with the sale of the Athlone Facility, the Company received approximately $97.9 million from Novo, which included a payment of approximately $91.0 million for the facility and certain related assets, and recorded a gain of approximately $1.5 million within “Other income, net” in the accompanying condensed consolidated statements of income and comprehensive income for the three and six months ended June 30,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60"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for the three and six months ended June 30, 2025 and 2024 are unaudited and have been prepared on a basis substantially consistent with the audited financial statements for the year ended December 31, 2024. The year-end consolidated balance sheet data, which is presented for comparative purposes, was derived from audited financial statements, but does not include all disclosures required by accounting principles generally accepted in the U.S. (commonly referred to as “GAAP”). In the opinion of management, the condensed consolidated financial statements include all adjustments of a normal recurring nature that are necessary to state fairly the results of operations for the reported periods.</w:t>
      </w:r>
    </w:p>
    <w:p>
      <w:pPr>
        <w:spacing w:after="0" w:line="106"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should be read in conjunction with the audited consolidated financial statements and notes thereto of the Company, which are contained in the Annual Report. The results of the Company’s operations for any interim period are not necessarily indicative of the results of the Company’s operations for any other interim period or for any full fiscal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60"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 xml:space="preserve">The accompanying condensed consolidated financial statements include the accounts of Alkermes plc and its wholly-owned subsidiaries as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Consolidated Financial Statements” accompanying the Annual Report. Intercompany accounts and transactions have been eliminated. Columns and rows within tables may not sum due to rounding.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160" w:lineRule="exact"/>
        <w:rPr>
          <w:sz w:val="20"/>
          <w:szCs w:val="20"/>
          <w:color w:val="auto"/>
        </w:rPr>
      </w:pPr>
    </w:p>
    <w:p>
      <w:pPr>
        <w:ind w:right="360" w:firstLine="374"/>
        <w:spacing w:after="0" w:line="261" w:lineRule="auto"/>
        <w:rPr>
          <w:sz w:val="20"/>
          <w:szCs w:val="20"/>
          <w:color w:val="auto"/>
        </w:rPr>
      </w:pPr>
      <w:r>
        <w:rPr>
          <w:rFonts w:ascii="Times New Roman" w:cs="Times New Roman" w:eastAsia="Times New Roman" w:hAnsi="Times New Roman"/>
          <w:sz w:val="18"/>
          <w:szCs w:val="18"/>
          <w:color w:val="auto"/>
        </w:rPr>
        <w:t xml:space="preserve">The Company determined that the separation of its oncology business into Mural Oncology plc (“Mural”), a new, independent, publicly-traded company (the “Separation”), completed in November 2023, met the criteria for classification of the oncology business as discontinued operations in accordance with Financial Accounting Standards Board (“FASB”) Accounting Standards Codification (“ASC”) 205,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(“Topic 205”).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60"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accordance with GAAP requires that Company management make estimates, judgments and assumptions that may affect the reported amounts of assets, liabilities, revenues and expenses, and related disclosure of contingent assets and liabilities. On an ongoing basis, the Company evaluates its estimates, judgments and methodologies, including, but not limited to, those related to revenue from contracts with its customers and related allowances, impairment of long-lived assets, share-based compensation, income taxes including the valuation allowance for deferred tax assets, valuation of investments and litigation.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conditions or using different assumptions.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146"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 xml:space="preserve">Operating segments are defined as components of an enterprise engaging in business activities for which separate financial information is available and regularly reviewed by the chief operating decision maker (“CODM”) in deciding how to allocate resources and in assessing performance. The Company has utilized the management approach to determine that the Company is managed as one segment on a consolidated basis and is in the business of developing, manufacturing and commercializing medicines designed to help people living with complex and difficult-to-treat psychiatric and neurological disorders. The Company’s CODM, the Chairman and Chief Executive Officer, reviews the Company’s operating results on an aggregate basis and manages the Company’s operations as a single operating unit. The Company’s CODM measures profitability on a reportable segment basis using net income and utilizes this information in allocating resources and in assessing performance by monitoring budget versus actual results. Please refer to Note 15,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in these “Notes to Condensed Consolidated Financial Statements” in this Form 10-Q for further information.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146" w:lineRule="exact"/>
        <w:rPr>
          <w:sz w:val="20"/>
          <w:szCs w:val="20"/>
          <w:color w:val="auto"/>
        </w:rPr>
      </w:pPr>
    </w:p>
    <w:p>
      <w:pPr>
        <w:jc w:val="both"/>
        <w:ind w:right="160" w:firstLine="374"/>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standard-setting bodies that are adopted by the Company on or prior to the specified effective date. Unless otherwise described in this Form 10-Q, the Company believes that the impact of recently issued standards that are not yet effective will not have a material impact on its financial position or results of operations upon adoption.</w:t>
      </w:r>
    </w:p>
    <w:p>
      <w:pPr>
        <w:spacing w:after="0" w:line="106" w:lineRule="exact"/>
        <w:rPr>
          <w:sz w:val="20"/>
          <w:szCs w:val="20"/>
          <w:color w:val="auto"/>
        </w:rPr>
      </w:pPr>
    </w:p>
    <w:p>
      <w:pPr>
        <w:ind w:right="220" w:firstLine="374"/>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(“ASU”) 2023-09, Income Taxes (Topic 740): I</w:t>
      </w:r>
      <w:r>
        <w:rPr>
          <w:rFonts w:ascii="Times New Roman" w:cs="Times New Roman" w:eastAsia="Times New Roman" w:hAnsi="Times New Roman"/>
          <w:sz w:val="18"/>
          <w:szCs w:val="18"/>
          <w:i w:val="1"/>
          <w:iCs w:val="1"/>
          <w:color w:val="auto"/>
        </w:rPr>
        <w:t>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to enhance the transparency and decision usefulness of income tax disclosures in order to provide information to assist key stakeholders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better assessing how the Company’s operations and related tax risks and tax planning and operational opportunities affect the Company’s tax rate and prospects for future cash flows. This ASU becomes effective for public companies for annual periods beginning after December 15, 2024. This guidance will be applied on a prospective basis. The Company is currently evaluating the impact this ASU will have on its consolidated financial statements and related disclosures.</w:t>
      </w:r>
    </w:p>
    <w:p>
      <w:pPr>
        <w:spacing w:after="0" w:line="115"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Income Statement - Reporting Comprehensive Income-Expense </w:t>
      </w:r>
      <w:r>
        <w:rPr>
          <w:rFonts w:ascii="Times New Roman" w:cs="Times New Roman" w:eastAsia="Times New Roman" w:hAnsi="Times New Roman"/>
          <w:sz w:val="18"/>
          <w:szCs w:val="18"/>
          <w:i w:val="1"/>
          <w:iCs w:val="1"/>
          <w:color w:val="auto"/>
        </w:rPr>
        <w:t>Disaggregation Disclosures</w:t>
      </w:r>
      <w:r>
        <w:rPr>
          <w:rFonts w:ascii="Times New Roman" w:cs="Times New Roman" w:eastAsia="Times New Roman" w:hAnsi="Times New Roman"/>
          <w:sz w:val="18"/>
          <w:szCs w:val="18"/>
          <w:color w:val="auto"/>
        </w:rPr>
        <w:t>, to improve disclosures about public business entity expenses and address requests from investors for more detailed information about the types of expenses (including purchases of inventory, employee compensation, depreciation, amortization and depletion) in commonly-presented expense captions, such as cost of sales, selling, general and administrative expenses, and research and development. All disclosure requirements under this guidance are required for public business entities and will be effective for annual periods beginning after December 15, 2026 and interim periods beginning after December 15, 2027. Early adoption is permitted and the amendments in this guidance will be applied prospectively to financial statements for periods after the effective dates. The Company is currently evaluating the impact this ASU will have on its consolidated financial statements and related disclosures.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DISCONTINUED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Mural Oncology Separation</w:t>
      </w:r>
    </w:p>
    <w:p>
      <w:pPr>
        <w:spacing w:after="0" w:line="160" w:lineRule="exact"/>
        <w:rPr>
          <w:sz w:val="20"/>
          <w:szCs w:val="20"/>
          <w:color w:val="auto"/>
        </w:rPr>
      </w:pPr>
    </w:p>
    <w:p>
      <w:pPr>
        <w:ind w:right="220" w:firstLine="374"/>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Separation, the Company and Mural entered into, among other agreements: a separation agreement; a tax matters agreement; and an employee matters agreement, which are described in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in the “Notes to Consolidated Financial Statements” accompanying the Annual Report.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187" w:lineRule="exact"/>
        <w:rPr>
          <w:sz w:val="20"/>
          <w:szCs w:val="20"/>
          <w:color w:val="auto"/>
        </w:rPr>
      </w:pPr>
    </w:p>
    <w:p>
      <w:pPr>
        <w:ind w:right="420" w:firstLine="374"/>
        <w:spacing w:after="0" w:line="266" w:lineRule="auto"/>
        <w:rPr>
          <w:sz w:val="20"/>
          <w:szCs w:val="20"/>
          <w:color w:val="auto"/>
        </w:rPr>
      </w:pPr>
      <w:r>
        <w:rPr>
          <w:rFonts w:ascii="Times New Roman" w:cs="Times New Roman" w:eastAsia="Times New Roman" w:hAnsi="Times New Roman"/>
          <w:sz w:val="18"/>
          <w:szCs w:val="18"/>
          <w:color w:val="auto"/>
        </w:rPr>
        <w:t>The Company determined that the Separation met the criteria for classification of its former oncology business as discontinued operations in accordance with Topic 205. During the three and six months ended June 30, 2025, the Company recorded no losses from discontinued operations. The following summarizes the loss from discontinued operations for the three and six months ended June 30, 2024:</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72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 from discontinued operations</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manufactured</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3,913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operating expenses from discontinued operations</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3,913</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6,429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from discontinued operations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from discontinued operations</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09"/>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and comprehensive loss from discontinued operations</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-462280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-170815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FROM CONTRACTS WITH CUSTOMERS</w:t>
      </w:r>
    </w:p>
    <w:p>
      <w:pPr>
        <w:spacing w:after="0" w:line="162"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recognizes revenue when its customer obtains control of promised goods or services, in an amount that reflects the consideration which it expects to receive in exchange for those goods or services. The Company recognizes revenue following the five-step model prescribed in accordance with FASB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Topic 606: (i) identify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Product Sales, Net</w:t>
      </w:r>
    </w:p>
    <w:p>
      <w:pPr>
        <w:spacing w:after="0" w:line="158"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The Company’s product sales, net consist of sales in the U.S. of VIVITROL, ARISTADA and ARISTADA INITIO, and LYBALVI, primarily to wholesalers, specialty distributors and pharmacies. Product sales, net are recognized when the customer obtains control of the product, which is when the product has been received by the customer.</w:t>
      </w:r>
    </w:p>
    <w:p>
      <w:pPr>
        <w:spacing w:after="0" w:line="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three and six months ended June 30, 2025 and 2024, the Company recorded product sales, net,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200" w:type="dxa"/>
            <w:vAlign w:val="bottom"/>
            <w:vMerge w:val="continue"/>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VIVITROL</w:t>
            </w:r>
          </w:p>
        </w:tc>
        <w:tc>
          <w:tcPr>
            <w:tcW w:w="2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121,660</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111,873</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222,656</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209,532</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ARISTADA and ARISTADA INITIO</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101,295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86,049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174,770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164,919</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LYBALVI</w:t>
            </w:r>
          </w:p>
        </w:tc>
        <w:tc>
          <w:tcPr>
            <w:tcW w:w="18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84,280</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71,351</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154,302</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128,358</w:t>
            </w:r>
          </w:p>
        </w:tc>
        <w:tc>
          <w:tcPr>
            <w:tcW w:w="0" w:type="dxa"/>
            <w:vAlign w:val="bottom"/>
          </w:tcPr>
          <w:p>
            <w:pPr>
              <w:spacing w:after="0"/>
              <w:rPr>
                <w:sz w:val="1"/>
                <w:szCs w:val="1"/>
                <w:color w:val="auto"/>
              </w:rPr>
            </w:pPr>
          </w:p>
        </w:tc>
      </w:tr>
      <w:tr>
        <w:trPr>
          <w:trHeight w:val="209"/>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product sales, net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307,235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269,273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551,728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502,809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420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-1122045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-1122045</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-1122045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55"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 xml:space="preserve">Revenues from product sales are recorded net of reserves established for applicable discounts and allowances that are offered within contracts with the Company’s customers, healthcare providers or payers. The Company’s process for estimating reserves established for these variable consideration components does not differ materially from historical practices. The transaction price, which includes variable consideration reflecting the impact of discounts and allowances, may be subject to constraint and is included in the net sales price only to the extent that it is probable that a significant reversal of the amount of the cumulative revenues recognized will not occur in a future period. Actual amounts may ultimately differ from the Company’s estimates. If actual results vary, the Company adjusts these estimates, which could have an effect on earnings in the period of adjustment. See the “Revenue from Contracts with Customers” section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Consolidated Financial Statements” in the Annual Report for information with respect to the Company’s significant categories of sales discounts and allowances.</w:t>
      </w:r>
    </w:p>
    <w:p>
      <w:pPr>
        <w:spacing w:after="0" w:line="124"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Actual Medicaid rebates related to VIVITROL and ARISTADA/ARISTADA INITIO during the six months ended June 30, 2025 were lower than original estimates, and as a result the Company reduced its rebate reserve for each product by approximately $17.7 million and $7.2 million, respectively, during the period.</w:t>
      </w:r>
    </w:p>
    <w:p>
      <w:pPr>
        <w:spacing w:after="0" w:line="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rollforward of the Company’s provisions for sales discounts and allowances is as follows:</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jc w:val="right"/>
              <w:ind w:right="235"/>
              <w:spacing w:after="0" w:line="115" w:lineRule="exact"/>
              <w:rPr>
                <w:sz w:val="20"/>
                <w:szCs w:val="20"/>
                <w:color w:val="auto"/>
              </w:rPr>
            </w:pPr>
            <w:r>
              <w:rPr>
                <w:rFonts w:ascii="Times New Roman" w:cs="Times New Roman" w:eastAsia="Times New Roman" w:hAnsi="Times New Roman"/>
                <w:sz w:val="13"/>
                <w:szCs w:val="13"/>
                <w:b w:val="1"/>
                <w:bCs w:val="1"/>
                <w:color w:val="auto"/>
              </w:rPr>
              <w:t>Contractual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Discounts</w:t>
            </w:r>
            <w:r>
              <w:rPr>
                <w:rFonts w:ascii="Times New Roman" w:cs="Times New Roman" w:eastAsia="Times New Roman" w:hAnsi="Times New Roman"/>
                <w:sz w:val="19"/>
                <w:szCs w:val="19"/>
                <w:b w:val="1"/>
                <w:bCs w:val="1"/>
                <w:color w:val="auto"/>
                <w:vertAlign w:val="superscript"/>
              </w:rPr>
              <w:t>(2)</w:t>
            </w: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55"/>
              <w:spacing w:after="0" w:line="175" w:lineRule="exact"/>
              <w:rPr>
                <w:sz w:val="20"/>
                <w:szCs w:val="20"/>
                <w:color w:val="auto"/>
              </w:rPr>
            </w:pPr>
            <w:r>
              <w:rPr>
                <w:rFonts w:ascii="Times New Roman" w:cs="Times New Roman" w:eastAsia="Times New Roman" w:hAnsi="Times New Roman"/>
                <w:sz w:val="14"/>
                <w:szCs w:val="14"/>
                <w:b w:val="1"/>
                <w:bCs w:val="1"/>
                <w:color w:val="auto"/>
                <w:w w:val="96"/>
              </w:rPr>
              <w:t>Adjustments</w:t>
            </w:r>
            <w:r>
              <w:rPr>
                <w:rFonts w:ascii="Times New Roman" w:cs="Times New Roman" w:eastAsia="Times New Roman" w:hAnsi="Times New Roman"/>
                <w:sz w:val="19"/>
                <w:szCs w:val="19"/>
                <w:b w:val="1"/>
                <w:bCs w:val="1"/>
                <w:color w:val="auto"/>
                <w:w w:val="96"/>
                <w:vertAlign w:val="superscript"/>
              </w:rPr>
              <w:t>(1)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Product Returns</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 — December 31, 2024</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228,978</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43,645</w:t>
            </w:r>
          </w:p>
        </w:tc>
        <w:tc>
          <w:tcPr>
            <w:tcW w:w="4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50,507</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13,297</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336,427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Current provisions relating to sales in current year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263,018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196,845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43,096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516,008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Adjustments relating to prior years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Payments relating to sales in current year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(182,256)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Payments relating to sales in prior years</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(128,250)</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(22,941)</w:t>
            </w: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(12,231)</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(168,925)</w:t>
            </w:r>
          </w:p>
        </w:tc>
        <w:tc>
          <w:tcPr>
            <w:tcW w:w="0" w:type="dxa"/>
            <w:vAlign w:val="bottom"/>
          </w:tcPr>
          <w:p>
            <w:pPr>
              <w:spacing w:after="0"/>
              <w:rPr>
                <w:sz w:val="1"/>
                <w:szCs w:val="1"/>
                <w:color w:val="auto"/>
              </w:rPr>
            </w:pPr>
          </w:p>
        </w:tc>
      </w:tr>
      <w:tr>
        <w:trPr>
          <w:trHeight w:val="209"/>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 — June 30, 2025</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212,933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35,445</w:t>
            </w:r>
          </w:p>
        </w:tc>
        <w:tc>
          <w:tcPr>
            <w:tcW w:w="4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53,452</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10,178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312,008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-170815</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-170815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-170815</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-170815</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“Contractual Adjustments” include “Medicaid Rebates” and “Medicare Part D” accruals</w:t>
      </w:r>
    </w:p>
    <w:p>
      <w:pPr>
        <w:spacing w:after="0" w:line="3"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“Discounts” include “Chargebacks” and “Product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1912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91"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Total revenue-related reserves as of June 30, 2025 and December 31, 2024 included in the accompanying consolidated balance sheets are summarized as follows:</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12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Reduction of accounts receivable</w:t>
            </w:r>
          </w:p>
        </w:tc>
        <w:tc>
          <w:tcPr>
            <w:tcW w:w="122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16,658</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22,031</w:t>
            </w: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accrued sales discounts, allowances and reserves</w:t>
            </w: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253,173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272,452</w:t>
            </w:r>
          </w:p>
        </w:tc>
      </w:tr>
      <w:tr>
        <w:trPr>
          <w:trHeight w:val="216"/>
        </w:trPr>
        <w:tc>
          <w:tcPr>
            <w:tcW w:w="20" w:type="dxa"/>
            <w:vAlign w:val="bottom"/>
          </w:tcPr>
          <w:p>
            <w:pPr>
              <w:spacing w:after="0"/>
              <w:rPr>
                <w:sz w:val="18"/>
                <w:szCs w:val="18"/>
                <w:color w:val="auto"/>
              </w:rPr>
            </w:pPr>
          </w:p>
        </w:tc>
        <w:tc>
          <w:tcPr>
            <w:tcW w:w="7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Components of other long-term liabilities</w:t>
            </w:r>
          </w:p>
        </w:tc>
        <w:tc>
          <w:tcPr>
            <w:tcW w:w="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42,177</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41,944</w:t>
            </w:r>
          </w:p>
        </w:tc>
      </w:tr>
      <w:tr>
        <w:trPr>
          <w:trHeight w:val="210"/>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revenue-related reserves</w:t>
            </w:r>
          </w:p>
        </w:tc>
        <w:tc>
          <w:tcPr>
            <w:tcW w:w="1220" w:type="dxa"/>
            <w:vAlign w:val="bottom"/>
            <w:gridSpan w:val="2"/>
          </w:tcPr>
          <w:p>
            <w:pPr>
              <w:jc w:val="right"/>
              <w:ind w:right="104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312,008</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336,427</w:t>
            </w: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-170815</wp:posOffset>
            </wp:positionV>
            <wp:extent cx="1289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Manufacturing and Royalty Revenues</w:t>
      </w:r>
    </w:p>
    <w:p>
      <w:pPr>
        <w:spacing w:after="0" w:line="158" w:lineRule="exact"/>
        <w:rPr>
          <w:sz w:val="20"/>
          <w:szCs w:val="20"/>
          <w:color w:val="auto"/>
        </w:rPr>
      </w:pPr>
    </w:p>
    <w:p>
      <w:pPr>
        <w:ind w:right="340" w:firstLine="374"/>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2025 and 2024, the Company recorded manufacturing and royalty revenues from its collaboration arrangements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960" w:type="dxa"/>
            <w:vAlign w:val="bottom"/>
            <w:tcBorders>
              <w:bottom w:val="single" w:sz="8" w:color="auto"/>
            </w:tcBorders>
          </w:tcPr>
          <w:p>
            <w:pPr>
              <w:spacing w:after="0"/>
              <w:rPr>
                <w:sz w:val="15"/>
                <w:szCs w:val="15"/>
                <w:color w:val="auto"/>
              </w:rPr>
            </w:pPr>
          </w:p>
        </w:tc>
      </w:tr>
      <w:tr>
        <w:trPr>
          <w:trHeight w:val="117"/>
        </w:trPr>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right"/>
              <w:ind w:right="197"/>
              <w:spacing w:after="0" w:line="118"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right"/>
              <w:ind w:right="375"/>
              <w:spacing w:after="0" w:line="118" w:lineRule="exact"/>
              <w:rPr>
                <w:sz w:val="20"/>
                <w:szCs w:val="20"/>
                <w:color w:val="auto"/>
              </w:rPr>
            </w:pPr>
            <w:r>
              <w:rPr>
                <w:rFonts w:ascii="Times New Roman" w:cs="Times New Roman" w:eastAsia="Times New Roman" w:hAnsi="Times New Roman"/>
                <w:sz w:val="13"/>
                <w:szCs w:val="13"/>
                <w:b w:val="1"/>
                <w:bCs w:val="1"/>
                <w:color w:val="auto"/>
              </w:rPr>
              <w:t>Royalty</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jc w:val="right"/>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right"/>
              <w:ind w:right="356"/>
              <w:spacing w:after="0" w:line="118" w:lineRule="exact"/>
              <w:rPr>
                <w:sz w:val="20"/>
                <w:szCs w:val="20"/>
                <w:color w:val="auto"/>
              </w:rPr>
            </w:pPr>
            <w:r>
              <w:rPr>
                <w:rFonts w:ascii="Times New Roman" w:cs="Times New Roman" w:eastAsia="Times New Roman" w:hAnsi="Times New Roman"/>
                <w:sz w:val="13"/>
                <w:szCs w:val="13"/>
                <w:b w:val="1"/>
                <w:bCs w:val="1"/>
                <w:color w:val="auto"/>
              </w:rPr>
              <w:t>Royalty</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73"/>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9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Long-acting INVEGA products</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30,315</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30,315</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48,060</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48,060</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VUMERITY</w:t>
            </w:r>
          </w:p>
        </w:tc>
        <w:tc>
          <w:tcPr>
            <w:tcW w:w="120" w:type="dxa"/>
            <w:vAlign w:val="bottom"/>
          </w:tcPr>
          <w:p>
            <w:pPr>
              <w:spacing w:after="0"/>
              <w:rPr>
                <w:sz w:val="18"/>
                <w:szCs w:val="18"/>
                <w:color w:val="auto"/>
              </w:rPr>
            </w:pP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7,383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32,016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39,399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13,358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53,874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67,232</w:t>
            </w: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RISPERDAL CONSTA</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3,812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3,820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12,927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12,949</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5,372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4,516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9,888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7,609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9,589</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17,198</w:t>
            </w:r>
          </w:p>
        </w:tc>
      </w:tr>
      <w:tr>
        <w:trPr>
          <w:trHeight w:val="249"/>
        </w:trPr>
        <w:tc>
          <w:tcPr>
            <w:tcW w:w="29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16,567</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66,855</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83,422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33,894</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111,545</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145,439</w:t>
            </w:r>
          </w:p>
        </w:tc>
      </w:tr>
      <w:tr>
        <w:trPr>
          <w:trHeight w:val="683"/>
        </w:trPr>
        <w:tc>
          <w:tcPr>
            <w:tcW w:w="29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763"/>
        </w:trPr>
        <w:tc>
          <w:tcPr>
            <w:tcW w:w="2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-967740</wp:posOffset>
            </wp:positionV>
            <wp:extent cx="768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-950595</wp:posOffset>
            </wp:positionV>
            <wp:extent cx="768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-967740</wp:posOffset>
            </wp:positionV>
            <wp:extent cx="77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-950595</wp:posOffset>
            </wp:positionV>
            <wp:extent cx="77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-967740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-950595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-967740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-950595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-967740</wp:posOffset>
            </wp:positionV>
            <wp:extent cx="857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-950595</wp:posOffset>
            </wp:positionV>
            <wp:extent cx="857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960" w:type="dxa"/>
            <w:vAlign w:val="bottom"/>
            <w:tcBorders>
              <w:bottom w:val="single" w:sz="8" w:color="auto"/>
            </w:tcBorders>
          </w:tcPr>
          <w:p>
            <w:pPr>
              <w:spacing w:after="0"/>
              <w:rPr>
                <w:sz w:val="15"/>
                <w:szCs w:val="15"/>
                <w:color w:val="auto"/>
              </w:rPr>
            </w:pPr>
          </w:p>
        </w:tc>
      </w:tr>
      <w:tr>
        <w:trPr>
          <w:trHeight w:val="117"/>
        </w:trPr>
        <w:tc>
          <w:tcPr>
            <w:tcW w:w="2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jc w:val="right"/>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right"/>
              <w:ind w:right="416"/>
              <w:spacing w:after="0" w:line="118" w:lineRule="exact"/>
              <w:rPr>
                <w:sz w:val="20"/>
                <w:szCs w:val="20"/>
                <w:color w:val="auto"/>
              </w:rPr>
            </w:pPr>
            <w:r>
              <w:rPr>
                <w:rFonts w:ascii="Times New Roman" w:cs="Times New Roman" w:eastAsia="Times New Roman" w:hAnsi="Times New Roman"/>
                <w:sz w:val="13"/>
                <w:szCs w:val="13"/>
                <w:b w:val="1"/>
                <w:bCs w:val="1"/>
                <w:color w:val="auto"/>
              </w:rPr>
              <w:t>Royalty</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jc w:val="right"/>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right"/>
              <w:ind w:right="336"/>
              <w:spacing w:after="0" w:line="118" w:lineRule="exact"/>
              <w:rPr>
                <w:sz w:val="20"/>
                <w:szCs w:val="20"/>
                <w:color w:val="auto"/>
              </w:rPr>
            </w:pPr>
            <w:r>
              <w:rPr>
                <w:rFonts w:ascii="Times New Roman" w:cs="Times New Roman" w:eastAsia="Times New Roman" w:hAnsi="Times New Roman"/>
                <w:sz w:val="13"/>
                <w:szCs w:val="13"/>
                <w:b w:val="1"/>
                <w:bCs w:val="1"/>
                <w:color w:val="auto"/>
              </w:rPr>
              <w:t>Royalty</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73"/>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27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Long-acting INVEGA products</w:t>
            </w:r>
            <w:r>
              <w:rPr>
                <w:rFonts w:ascii="Times New Roman" w:cs="Times New Roman" w:eastAsia="Times New Roman" w:hAnsi="Times New Roman"/>
                <w:sz w:val="24"/>
                <w:szCs w:val="24"/>
                <w:color w:val="auto"/>
                <w:vertAlign w:val="superscript"/>
              </w:rPr>
              <w:t>(1)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78,739</w:t>
            </w:r>
          </w:p>
        </w:tc>
        <w:tc>
          <w:tcPr>
            <w:tcW w:w="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78,739</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141,412</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141,412</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VUMERITY</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9,863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25,371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35,234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21,987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44,501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66,488</w:t>
            </w:r>
          </w:p>
        </w:tc>
      </w:tr>
      <w:tr>
        <w:trPr>
          <w:trHeight w:val="216"/>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RISPERDAL CONSTA</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3,428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3,558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6,023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6,276</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6,989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5,338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12,327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22,300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10,215</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32,515</w:t>
            </w:r>
          </w:p>
        </w:tc>
      </w:tr>
      <w:tr>
        <w:trPr>
          <w:trHeight w:val="229"/>
        </w:trPr>
        <w:tc>
          <w:tcPr>
            <w:tcW w:w="2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20,280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109,578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129,858</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50,310</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196,381</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246,691</w:t>
            </w:r>
          </w:p>
        </w:tc>
      </w:tr>
      <w:tr>
        <w:trPr>
          <w:trHeight w:val="20"/>
        </w:trPr>
        <w:tc>
          <w:tcPr>
            <w:tcW w:w="27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-25400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-25400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-25400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857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9" w:lineRule="exact"/>
        <w:rPr>
          <w:sz w:val="20"/>
          <w:szCs w:val="20"/>
          <w:color w:val="auto"/>
        </w:rPr>
      </w:pPr>
    </w:p>
    <w:p>
      <w:pPr>
        <w:ind w:left="760" w:right="360" w:hanging="378"/>
        <w:spacing w:after="0" w:line="298" w:lineRule="auto"/>
        <w:tabs>
          <w:tab w:leader="none" w:pos="7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“long-acting INVEGA products”: INVEGA SUSTENNA/XEPLION (paliperidone palmitate), INVEGA TRINZA/TREVICTA (paliperidone palmitate) and INVEGA HAFYERA/BYANNLI (paliperidone palmitate).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11912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72" w:lineRule="exact"/>
        <w:rPr>
          <w:sz w:val="20"/>
          <w:szCs w:val="20"/>
          <w:color w:val="auto"/>
        </w:rPr>
      </w:pPr>
    </w:p>
    <w:p>
      <w:pPr>
        <w:ind w:right="380" w:firstLine="374"/>
        <w:spacing w:after="0" w:line="266" w:lineRule="auto"/>
        <w:rPr>
          <w:sz w:val="20"/>
          <w:szCs w:val="20"/>
          <w:color w:val="auto"/>
        </w:rPr>
      </w:pPr>
      <w:r>
        <w:rPr>
          <w:rFonts w:ascii="Times New Roman" w:cs="Times New Roman" w:eastAsia="Times New Roman" w:hAnsi="Times New Roman"/>
          <w:sz w:val="18"/>
          <w:szCs w:val="18"/>
          <w:color w:val="auto"/>
        </w:rPr>
        <w:t>In August 2024, the Company’s royalty on U.S. net sales of INVEGA SUSTENNA expired. Accordingly, the Company expects royalty revenues from net sales of the long-acting INVEGA products to continue to be lower in 2025, as the royalty revenues related to U.S. net sales of INVEGA SUSTENNA comprised a significant portion of the overall royalty revenues from the long-acting INVEGA products.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Contract Assets</w:t>
      </w:r>
    </w:p>
    <w:p>
      <w:pPr>
        <w:spacing w:after="0" w:line="144" w:lineRule="exact"/>
        <w:rPr>
          <w:sz w:val="20"/>
          <w:szCs w:val="20"/>
          <w:color w:val="auto"/>
        </w:rPr>
      </w:pPr>
    </w:p>
    <w:p>
      <w:pPr>
        <w:ind w:right="360" w:firstLine="374"/>
        <w:spacing w:after="0" w:line="266" w:lineRule="auto"/>
        <w:rPr>
          <w:sz w:val="20"/>
          <w:szCs w:val="20"/>
          <w:color w:val="auto"/>
        </w:rPr>
      </w:pPr>
      <w:r>
        <w:rPr>
          <w:rFonts w:ascii="Times New Roman" w:cs="Times New Roman" w:eastAsia="Times New Roman" w:hAnsi="Times New Roman"/>
          <w:sz w:val="18"/>
          <w:szCs w:val="18"/>
          <w:color w:val="auto"/>
        </w:rPr>
        <w:t>Contract assets include unbilled amounts related to the manufacture of a product that, once complete, will be sold under certain of the Company’s manufacturing contracts. The amounts included in the contract assets table below are classified as “Current assets” in the accompanying condensed consolidated balance sheets, as they relate to manufacturing processes that are completed in ten days to eight weeks.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contract assets at June 30, 2025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Contract Assets</w:t>
            </w:r>
          </w:p>
        </w:tc>
      </w:tr>
      <w:tr>
        <w:trPr>
          <w:trHeight w:val="20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 at December 31, 2024</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4,990</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280" w:type="dxa"/>
            <w:vAlign w:val="bottom"/>
          </w:tcPr>
          <w:p>
            <w:pPr>
              <w:spacing w:after="0"/>
              <w:rPr>
                <w:sz w:val="18"/>
                <w:szCs w:val="18"/>
                <w:color w:val="auto"/>
              </w:rPr>
            </w:pPr>
          </w:p>
        </w:tc>
        <w:tc>
          <w:tcPr>
            <w:tcW w:w="17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3,766</w:t>
            </w:r>
          </w:p>
        </w:tc>
      </w:tr>
      <w:tr>
        <w:trPr>
          <w:trHeight w:val="216"/>
        </w:trPr>
        <w:tc>
          <w:tcPr>
            <w:tcW w:w="9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Transferred to receivables, net</w:t>
            </w:r>
          </w:p>
        </w:tc>
        <w:tc>
          <w:tcPr>
            <w:tcW w:w="28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(7,332)</w:t>
            </w:r>
          </w:p>
        </w:tc>
      </w:tr>
      <w:tr>
        <w:trPr>
          <w:trHeight w:val="210"/>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at June 30, 2025</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1,424</w:t>
            </w:r>
          </w:p>
        </w:tc>
      </w:tr>
      <w:tr>
        <w:trPr>
          <w:trHeight w:val="20"/>
        </w:trPr>
        <w:tc>
          <w:tcPr>
            <w:tcW w:w="9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Contract Liabilities</w:t>
      </w:r>
    </w:p>
    <w:p>
      <w:pPr>
        <w:spacing w:after="0" w:line="225" w:lineRule="exact"/>
        <w:rPr>
          <w:sz w:val="20"/>
          <w:szCs w:val="20"/>
          <w:color w:val="auto"/>
        </w:rPr>
      </w:pPr>
    </w:p>
    <w:p>
      <w:pPr>
        <w:ind w:right="320" w:firstLine="374"/>
        <w:spacing w:after="0" w:line="261" w:lineRule="auto"/>
        <w:rPr>
          <w:sz w:val="20"/>
          <w:szCs w:val="20"/>
          <w:color w:val="auto"/>
        </w:rPr>
      </w:pPr>
      <w:r>
        <w:rPr>
          <w:rFonts w:ascii="Times New Roman" w:cs="Times New Roman" w:eastAsia="Times New Roman" w:hAnsi="Times New Roman"/>
          <w:sz w:val="18"/>
          <w:szCs w:val="18"/>
          <w:color w:val="auto"/>
        </w:rPr>
        <w:t>Contract liabilities consist of contractual obligations related to deferred revenue. At June 30, 2025 and December 31, 2024, $0.6 million and $1.2 million of the contract liabilities, respectively, were classified as “Contract liabilities–short-term” in the accompanying condensed consolidated balance sheets and none of the contract liabilities in either period were classified as “Other long-term liabilities” in the accompanying condensed consolidated balance sheets.</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contract liabilities at June 30, 2025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9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0" w:type="dxa"/>
            <w:vAlign w:val="bottom"/>
          </w:tcPr>
          <w:p>
            <w:pPr>
              <w:spacing w:after="0"/>
              <w:rPr>
                <w:sz w:val="1"/>
                <w:szCs w:val="1"/>
                <w:color w:val="auto"/>
              </w:rPr>
            </w:pPr>
          </w:p>
        </w:tc>
      </w:tr>
      <w:tr>
        <w:trPr>
          <w:trHeight w:val="21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 at December 31, 2024</w:t>
            </w:r>
          </w:p>
        </w:tc>
        <w:tc>
          <w:tcPr>
            <w:tcW w:w="5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1,313</w:t>
            </w:r>
          </w:p>
        </w:tc>
        <w:tc>
          <w:tcPr>
            <w:tcW w:w="0" w:type="dxa"/>
            <w:vAlign w:val="bottom"/>
          </w:tcPr>
          <w:p>
            <w:pPr>
              <w:spacing w:after="0"/>
              <w:rPr>
                <w:sz w:val="1"/>
                <w:szCs w:val="1"/>
                <w:color w:val="auto"/>
              </w:rPr>
            </w:pPr>
          </w:p>
        </w:tc>
      </w:tr>
      <w:tr>
        <w:trPr>
          <w:trHeight w:val="216"/>
        </w:trPr>
        <w:tc>
          <w:tcPr>
            <w:tcW w:w="4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Amounts recognized into revenue</w:t>
            </w:r>
          </w:p>
        </w:tc>
        <w:tc>
          <w:tcPr>
            <w:tcW w:w="49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0" w:type="dxa"/>
            <w:vAlign w:val="bottom"/>
          </w:tcPr>
          <w:p>
            <w:pPr>
              <w:spacing w:after="0"/>
              <w:rPr>
                <w:sz w:val="1"/>
                <w:szCs w:val="1"/>
                <w:color w:val="auto"/>
              </w:rPr>
            </w:pPr>
          </w:p>
        </w:tc>
      </w:tr>
      <w:tr>
        <w:trPr>
          <w:trHeight w:val="21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at June 30, 2025</w:t>
            </w:r>
          </w:p>
        </w:tc>
        <w:tc>
          <w:tcPr>
            <w:tcW w:w="5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980" w:type="dxa"/>
            <w:vAlign w:val="bottom"/>
            <w:vMerge w:val="restart"/>
          </w:tcPr>
          <w:p>
            <w:pPr>
              <w:jc w:val="right"/>
              <w:ind w:right="343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426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6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Investments consist of the following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Gross Unrealized</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3"/>
                <w:szCs w:val="13"/>
                <w:b w:val="1"/>
                <w:bCs w:val="1"/>
                <w:color w:val="auto"/>
              </w:rPr>
              <w:t>Losses</w:t>
            </w:r>
          </w:p>
        </w:tc>
        <w:tc>
          <w:tcPr>
            <w:tcW w:w="10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232"/>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0" w:type="dxa"/>
            <w:vAlign w:val="bottom"/>
          </w:tcPr>
          <w:p>
            <w:pPr>
              <w:spacing w:after="0"/>
              <w:rPr>
                <w:sz w:val="1"/>
                <w:szCs w:val="1"/>
                <w:color w:val="auto"/>
              </w:rPr>
            </w:pPr>
          </w:p>
        </w:tc>
      </w:tr>
      <w:tr>
        <w:trPr>
          <w:trHeight w:val="125"/>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233"/>
              <w:spacing w:after="0" w:line="126"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ind w:right="152"/>
              <w:spacing w:after="0" w:line="126" w:lineRule="exact"/>
              <w:rPr>
                <w:sz w:val="20"/>
                <w:szCs w:val="20"/>
                <w:color w:val="auto"/>
              </w:rPr>
            </w:pPr>
            <w:r>
              <w:rPr>
                <w:rFonts w:ascii="Times New Roman" w:cs="Times New Roman" w:eastAsia="Times New Roman" w:hAnsi="Times New Roman"/>
                <w:sz w:val="13"/>
                <w:szCs w:val="13"/>
                <w:b w:val="1"/>
                <w:bCs w:val="1"/>
                <w:color w:val="auto"/>
              </w:rPr>
              <w:t>Greater than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040" w:type="dxa"/>
            <w:vAlign w:val="bottom"/>
          </w:tcPr>
          <w:p>
            <w:pPr>
              <w:ind w:left="212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4"/>
                <w:szCs w:val="14"/>
                <w:color w:val="auto"/>
              </w:rPr>
            </w:pPr>
          </w:p>
        </w:tc>
        <w:tc>
          <w:tcPr>
            <w:tcW w:w="940" w:type="dxa"/>
            <w:vAlign w:val="bottom"/>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Gains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One Year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3"/>
                <w:szCs w:val="13"/>
                <w:b w:val="1"/>
                <w:bCs w:val="1"/>
                <w:color w:val="auto"/>
              </w:rPr>
              <w:t>One Year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209"/>
        </w:trPr>
        <w:tc>
          <w:tcPr>
            <w:tcW w:w="5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266,091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892</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266,966</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226,554</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227,574</w:t>
            </w:r>
          </w:p>
        </w:tc>
        <w:tc>
          <w:tcPr>
            <w:tcW w:w="0" w:type="dxa"/>
            <w:vAlign w:val="bottom"/>
          </w:tcPr>
          <w:p>
            <w:pPr>
              <w:spacing w:after="0"/>
              <w:rPr>
                <w:sz w:val="1"/>
                <w:szCs w:val="1"/>
                <w:color w:val="auto"/>
              </w:rPr>
            </w:pPr>
          </w:p>
        </w:tc>
      </w:tr>
      <w:tr>
        <w:trPr>
          <w:trHeight w:val="209"/>
        </w:trPr>
        <w:tc>
          <w:tcPr>
            <w:tcW w:w="50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492,645</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1,919</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494,540</w:t>
            </w: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29,580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29,525</w:t>
            </w: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8,627</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8,599</w:t>
            </w: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38,207</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38,124</w:t>
            </w:r>
          </w:p>
        </w:tc>
        <w:tc>
          <w:tcPr>
            <w:tcW w:w="0" w:type="dxa"/>
            <w:vAlign w:val="bottom"/>
          </w:tcPr>
          <w:p>
            <w:pPr>
              <w:spacing w:after="0"/>
              <w:rPr>
                <w:sz w:val="1"/>
                <w:szCs w:val="1"/>
                <w:color w:val="auto"/>
              </w:rPr>
            </w:pPr>
          </w:p>
        </w:tc>
      </w:tr>
      <w:tr>
        <w:trPr>
          <w:trHeight w:val="209"/>
        </w:trPr>
        <w:tc>
          <w:tcPr>
            <w:tcW w:w="5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0"/>
        </w:trPr>
        <w:tc>
          <w:tcPr>
            <w:tcW w:w="5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38,352</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38,269</w:t>
            </w:r>
          </w:p>
        </w:tc>
        <w:tc>
          <w:tcPr>
            <w:tcW w:w="0" w:type="dxa"/>
            <w:vAlign w:val="bottom"/>
          </w:tcPr>
          <w:p>
            <w:pPr>
              <w:spacing w:after="0"/>
              <w:rPr>
                <w:sz w:val="1"/>
                <w:szCs w:val="1"/>
                <w:color w:val="auto"/>
              </w:rPr>
            </w:pPr>
          </w:p>
        </w:tc>
      </w:tr>
      <w:tr>
        <w:trPr>
          <w:trHeight w:val="20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530,997</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1,919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532,809</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19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5040" w:type="dxa"/>
            <w:vAlign w:val="bottom"/>
            <w:tcBorders>
              <w:bottom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266,506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763</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267,205</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192,617</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193,317</w:t>
            </w:r>
          </w:p>
        </w:tc>
        <w:tc>
          <w:tcPr>
            <w:tcW w:w="0" w:type="dxa"/>
            <w:vAlign w:val="bottom"/>
          </w:tcPr>
          <w:p>
            <w:pPr>
              <w:spacing w:after="0"/>
              <w:rPr>
                <w:sz w:val="1"/>
                <w:szCs w:val="1"/>
                <w:color w:val="auto"/>
              </w:rPr>
            </w:pPr>
          </w:p>
        </w:tc>
      </w:tr>
      <w:tr>
        <w:trPr>
          <w:trHeight w:val="209"/>
        </w:trPr>
        <w:tc>
          <w:tcPr>
            <w:tcW w:w="50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459,123</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1,525</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460,522</w:t>
            </w: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48,856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48,677</w:t>
            </w: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24,484</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24,326</w:t>
            </w: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73,340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73,003</w:t>
            </w:r>
          </w:p>
        </w:tc>
        <w:tc>
          <w:tcPr>
            <w:tcW w:w="0" w:type="dxa"/>
            <w:vAlign w:val="bottom"/>
          </w:tcPr>
          <w:p>
            <w:pPr>
              <w:spacing w:after="0"/>
              <w:rPr>
                <w:sz w:val="1"/>
                <w:szCs w:val="1"/>
                <w:color w:val="auto"/>
              </w:rPr>
            </w:pPr>
          </w:p>
        </w:tc>
      </w:tr>
      <w:tr>
        <w:trPr>
          <w:trHeight w:val="210"/>
        </w:trPr>
        <w:tc>
          <w:tcPr>
            <w:tcW w:w="5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0"/>
        </w:trPr>
        <w:tc>
          <w:tcPr>
            <w:tcW w:w="5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73,485</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73,148</w:t>
            </w: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532,608</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1,525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533,670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3995420</wp:posOffset>
            </wp:positionH>
            <wp:positionV relativeFrom="paragraph">
              <wp:posOffset>-3698240</wp:posOffset>
            </wp:positionV>
            <wp:extent cx="102235" cy="1797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4801235</wp:posOffset>
            </wp:positionH>
            <wp:positionV relativeFrom="paragraph">
              <wp:posOffset>-3698240</wp:posOffset>
            </wp:positionV>
            <wp:extent cx="102870" cy="1797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-3698240</wp:posOffset>
            </wp:positionV>
            <wp:extent cx="93980" cy="1797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-3698240</wp:posOffset>
            </wp:positionV>
            <wp:extent cx="93980" cy="1797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-2995295</wp:posOffset>
            </wp:positionV>
            <wp:extent cx="102235" cy="1797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4801235</wp:posOffset>
            </wp:positionH>
            <wp:positionV relativeFrom="paragraph">
              <wp:posOffset>-2995295</wp:posOffset>
            </wp:positionV>
            <wp:extent cx="102870" cy="1797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-2995295</wp:posOffset>
            </wp:positionV>
            <wp:extent cx="93980" cy="1797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-2995295</wp:posOffset>
            </wp:positionV>
            <wp:extent cx="93980" cy="1797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-2566670</wp:posOffset>
            </wp:positionV>
            <wp:extent cx="102235" cy="1797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4801235</wp:posOffset>
            </wp:positionH>
            <wp:positionV relativeFrom="paragraph">
              <wp:posOffset>-2566670</wp:posOffset>
            </wp:positionV>
            <wp:extent cx="102870" cy="179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-2566670</wp:posOffset>
            </wp:positionV>
            <wp:extent cx="93980" cy="1797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-2566670</wp:posOffset>
            </wp:positionV>
            <wp:extent cx="93980" cy="179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-1460500</wp:posOffset>
            </wp:positionV>
            <wp:extent cx="102235" cy="179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4801235</wp:posOffset>
            </wp:positionH>
            <wp:positionV relativeFrom="paragraph">
              <wp:posOffset>-1460500</wp:posOffset>
            </wp:positionV>
            <wp:extent cx="102870" cy="1797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-1460500</wp:posOffset>
            </wp:positionV>
            <wp:extent cx="93980" cy="1797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-1460500</wp:posOffset>
            </wp:positionV>
            <wp:extent cx="93980" cy="179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-758190</wp:posOffset>
            </wp:positionV>
            <wp:extent cx="102235" cy="179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4801235</wp:posOffset>
            </wp:positionH>
            <wp:positionV relativeFrom="paragraph">
              <wp:posOffset>-758190</wp:posOffset>
            </wp:positionV>
            <wp:extent cx="102870" cy="1797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-758190</wp:posOffset>
            </wp:positionV>
            <wp:extent cx="93980" cy="1797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-758190</wp:posOffset>
            </wp:positionV>
            <wp:extent cx="93980" cy="1797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-329565</wp:posOffset>
            </wp:positionV>
            <wp:extent cx="102235" cy="1797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4801235</wp:posOffset>
            </wp:positionH>
            <wp:positionV relativeFrom="paragraph">
              <wp:posOffset>-329565</wp:posOffset>
            </wp:positionV>
            <wp:extent cx="102870" cy="1797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-329565</wp:posOffset>
            </wp:positionV>
            <wp:extent cx="93980" cy="1797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-329565</wp:posOffset>
            </wp:positionV>
            <wp:extent cx="93980" cy="1797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spacing w:after="0" w:line="178"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At June 30, 2025, the Company’s investments in corporate debt securities had a minimum rating of A2 (Moody’s)/A (Standard and Poor’s), and 52 of the Company’s 330 investment securities were in an unrealized loss position with an aggregate estimated fair value of $99.3 million. The primary reason these securities were in an unrealized loss position is that they are fixed-rate securities that were acquired in a rising interest rate environment. In making the determination whether the decline in fair value of these securities was temporary, the Company evaluated whether it intended to sell the security and whether it was more likely than not that the Company would be required to sell the security before recovering its amortized cost basis. The Company has the intent and ability to hold these investments until recovery, which may be at maturity.</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Realized gains and losses on the sales and maturities of investments, which were identified using the specific identification method,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20" w:type="dxa"/>
            <w:vAlign w:val="bottom"/>
          </w:tcPr>
          <w:p>
            <w:pPr>
              <w:spacing w:after="0"/>
              <w:rPr>
                <w:sz w:val="15"/>
                <w:szCs w:val="15"/>
                <w:color w:val="auto"/>
              </w:rPr>
            </w:pPr>
          </w:p>
        </w:tc>
        <w:tc>
          <w:tcPr>
            <w:tcW w:w="2780" w:type="dxa"/>
            <w:vAlign w:val="bottom"/>
            <w:tcBorders>
              <w:bottom w:val="single" w:sz="8" w:color="auto"/>
            </w:tcBorders>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19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the sales and maturities of investments</w:t>
            </w:r>
          </w:p>
        </w:tc>
        <w:tc>
          <w:tcPr>
            <w:tcW w:w="286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195,078</w:t>
            </w:r>
          </w:p>
        </w:tc>
        <w:tc>
          <w:tcPr>
            <w:tcW w:w="11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138,947</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gains</w:t>
            </w:r>
          </w:p>
        </w:tc>
        <w:tc>
          <w:tcPr>
            <w:tcW w:w="286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Realized losses</w:t>
            </w:r>
          </w:p>
        </w:tc>
        <w:tc>
          <w:tcPr>
            <w:tcW w:w="286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available-for-sale and held-to-maturity securities at June 30, 2025 had contractual maturities in the following periods: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738"/>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778"/>
              <w:spacing w:after="0"/>
              <w:rPr>
                <w:sz w:val="20"/>
                <w:szCs w:val="20"/>
                <w:color w:val="auto"/>
              </w:rPr>
            </w:pPr>
            <w:r>
              <w:rPr>
                <w:rFonts w:ascii="Times New Roman" w:cs="Times New Roman" w:eastAsia="Times New Roman" w:hAnsi="Times New Roman"/>
                <w:sz w:val="14"/>
                <w:szCs w:val="14"/>
                <w:b w:val="1"/>
                <w:bCs w:val="1"/>
                <w:color w:val="auto"/>
              </w:rPr>
              <w:t>Held-to-maturity</w:t>
            </w:r>
          </w:p>
        </w:tc>
      </w:tr>
      <w:tr>
        <w:trPr>
          <w:trHeight w:val="117"/>
        </w:trPr>
        <w:tc>
          <w:tcPr>
            <w:tcW w:w="39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ind w:right="278"/>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right"/>
              <w:ind w:right="298"/>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r>
      <w:tr>
        <w:trPr>
          <w:trHeight w:val="173"/>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283,975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284,485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1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246,877</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248,179</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530,852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532,664</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145</w:t>
            </w: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-25400</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857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0" w:lineRule="exact"/>
        <w:rPr>
          <w:sz w:val="20"/>
          <w:szCs w:val="20"/>
          <w:color w:val="auto"/>
        </w:rPr>
      </w:pPr>
    </w:p>
    <w:p>
      <w:pPr>
        <w:ind w:right="140" w:firstLine="374"/>
        <w:spacing w:after="0" w:line="277" w:lineRule="auto"/>
        <w:rPr>
          <w:sz w:val="20"/>
          <w:szCs w:val="20"/>
          <w:color w:val="auto"/>
        </w:rPr>
      </w:pPr>
      <w:r>
        <w:rPr>
          <w:rFonts w:ascii="Times New Roman" w:cs="Times New Roman" w:eastAsia="Times New Roman" w:hAnsi="Times New Roman"/>
          <w:sz w:val="17"/>
          <w:szCs w:val="17"/>
          <w:color w:val="auto"/>
        </w:rPr>
        <w:t>In February 2025, the Company entered into an agreement whereby it is committed to provide up to €10.0 million to a partnership, Fountain Healthcare Partners Fund IV, L.P. (“Fountain”), which was created to carry on the business of investing exclusively in companies and businesses engaged in the healthcare, pharmaceutical and life sciences sectors. The Company’s commitment represents approximately 9.2% of the partnership’s total funding, and the Company is accounting for its investment in Fountain under the equity method. As of June 30, 2025, the Company had made payments of, and its investment is equal to, $0.6 million (€0.5 million), which is included within “Other assets” in the accompanying condensed consolidated balance sheets.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w:t>
      </w:r>
    </w:p>
    <w:p>
      <w:pPr>
        <w:spacing w:after="0" w:line="162"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and indicates the fair value hierarchy and the valuation techniques that the Company utilized to determine such fair value:</w:t>
      </w:r>
    </w:p>
    <w:p>
      <w:pPr>
        <w:sectPr>
          <w:pgSz w:w="11900" w:h="16838" w:orient="portrait"/>
          <w:cols w:equalWidth="0" w:num="1">
            <w:col w:w="11240"/>
          </w:cols>
          <w:pgMar w:left="320" w:top="941" w:right="339" w:bottom="1440" w:gutter="0" w:footer="0" w:header="0"/>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equivalents</w:t>
      </w:r>
    </w:p>
    <w:p>
      <w:pPr>
        <w:spacing w:after="0" w:line="9" w:lineRule="exact"/>
        <w:rPr>
          <w:sz w:val="20"/>
          <w:szCs w:val="20"/>
          <w:color w:val="auto"/>
        </w:rPr>
      </w:pPr>
    </w:p>
    <w:p>
      <w:pPr>
        <w:ind w:left="120" w:right="1820"/>
        <w:spacing w:after="0" w:line="260" w:lineRule="auto"/>
        <w:rPr>
          <w:sz w:val="20"/>
          <w:szCs w:val="20"/>
          <w:color w:val="auto"/>
        </w:rPr>
      </w:pPr>
      <w:r>
        <w:rPr>
          <w:rFonts w:ascii="Times New Roman" w:cs="Times New Roman" w:eastAsia="Times New Roman" w:hAnsi="Times New Roman"/>
          <w:sz w:val="18"/>
          <w:szCs w:val="18"/>
          <w:color w:val="auto"/>
        </w:rPr>
        <w:t>U.S. government and agency debt securities Corporate debt securities</w:t>
      </w:r>
    </w:p>
    <w:p>
      <w:pPr>
        <w:spacing w:after="0" w:line="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equivalents</w:t>
      </w:r>
    </w:p>
    <w:p>
      <w:pPr>
        <w:spacing w:after="0" w:line="9" w:lineRule="exact"/>
        <w:rPr>
          <w:sz w:val="20"/>
          <w:szCs w:val="20"/>
          <w:color w:val="auto"/>
        </w:rPr>
      </w:pPr>
    </w:p>
    <w:p>
      <w:pPr>
        <w:ind w:left="120" w:right="1820"/>
        <w:spacing w:after="0" w:line="260" w:lineRule="auto"/>
        <w:rPr>
          <w:sz w:val="20"/>
          <w:szCs w:val="20"/>
          <w:color w:val="auto"/>
        </w:rPr>
      </w:pPr>
      <w:r>
        <w:rPr>
          <w:rFonts w:ascii="Times New Roman" w:cs="Times New Roman" w:eastAsia="Times New Roman" w:hAnsi="Times New Roman"/>
          <w:sz w:val="18"/>
          <w:szCs w:val="18"/>
          <w:color w:val="auto"/>
        </w:rPr>
        <w:t>U.S. government and agency debt securities Corporate debt securities</w:t>
      </w:r>
    </w:p>
    <w:p>
      <w:pPr>
        <w:spacing w:after="0" w:line="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17,740</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17,740</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296,491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250,211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46,280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236,173</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235,673</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550,404</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267,951</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281,953</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8,388</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8,388</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315,882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265,090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50,792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217,643</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217,643</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541,913</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273,478</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268,435</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-1773555</wp:posOffset>
            </wp:positionV>
            <wp:extent cx="713232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-1499235</wp:posOffset>
            </wp:positionV>
            <wp:extent cx="713232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-1224915</wp:posOffset>
            </wp:positionV>
            <wp:extent cx="713232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-719455</wp:posOffset>
            </wp:positionV>
            <wp:extent cx="713232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-445135</wp:posOffset>
            </wp:positionV>
            <wp:extent cx="713232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-170815</wp:posOffset>
            </wp:positionV>
            <wp:extent cx="713232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5100" w:space="720"/>
            <w:col w:w="5420"/>
          </w:cols>
          <w:pgMar w:left="320" w:top="941" w:right="339" w:bottom="1440" w:gutter="0" w:footer="0" w:header="0"/>
          <w:type w:val="continuous"/>
        </w:sectPr>
      </w:pPr>
    </w:p>
    <w:p>
      <w:pPr>
        <w:ind w:right="200" w:firstLine="374"/>
        <w:spacing w:after="0" w:line="282" w:lineRule="auto"/>
        <w:rPr>
          <w:sz w:val="20"/>
          <w:szCs w:val="20"/>
          <w:color w:val="auto"/>
        </w:rPr>
      </w:pPr>
      <w:r>
        <w:rPr>
          <w:rFonts w:ascii="Times New Roman" w:cs="Times New Roman" w:eastAsia="Times New Roman" w:hAnsi="Times New Roman"/>
          <w:sz w:val="18"/>
          <w:szCs w:val="18"/>
          <w:color w:val="auto"/>
        </w:rPr>
        <w:t>The Company transfers its financial assets and liabilities, measured at fair value on a recurring basis, between the fair value hierarchies at the end of each reporting period. There were no transfers of any securities between levels during the six months ended June 30, 2025.</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96" w:lineRule="exact"/>
        <w:rPr>
          <w:sz w:val="20"/>
          <w:szCs w:val="20"/>
          <w:color w:val="auto"/>
        </w:rPr>
      </w:pPr>
    </w:p>
    <w:p>
      <w:pPr>
        <w:ind w:right="24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is a rollforward of the fair value of the Company’s assets with fair values that were determined using Level 3 inputs at June 30, 2025:</w:t>
      </w:r>
    </w:p>
    <w:p>
      <w:pPr>
        <w:spacing w:after="0" w:line="88"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20" w:type="dxa"/>
            <w:vAlign w:val="bottom"/>
          </w:tcPr>
          <w:p>
            <w:pPr>
              <w:spacing w:after="0"/>
              <w:rPr>
                <w:sz w:val="18"/>
                <w:szCs w:val="18"/>
                <w:color w:val="auto"/>
              </w:rPr>
            </w:pPr>
          </w:p>
        </w:tc>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2025</w:t>
            </w:r>
          </w:p>
        </w:tc>
        <w:tc>
          <w:tcPr>
            <w:tcW w:w="35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Purchase of a corporate debt security</w:t>
            </w:r>
          </w:p>
        </w:tc>
        <w:tc>
          <w:tcPr>
            <w:tcW w:w="32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500</w:t>
            </w:r>
          </w:p>
        </w:tc>
      </w:tr>
      <w:tr>
        <w:trPr>
          <w:trHeight w:val="250"/>
        </w:trPr>
        <w:tc>
          <w:tcPr>
            <w:tcW w:w="20" w:type="dxa"/>
            <w:vAlign w:val="bottom"/>
          </w:tcPr>
          <w:p>
            <w:pPr>
              <w:spacing w:after="0"/>
              <w:rPr>
                <w:sz w:val="21"/>
                <w:szCs w:val="21"/>
                <w:color w:val="auto"/>
              </w:rPr>
            </w:pPr>
          </w:p>
        </w:tc>
        <w:tc>
          <w:tcPr>
            <w:tcW w:w="6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June 30, 2025</w:t>
            </w:r>
          </w:p>
        </w:tc>
        <w:tc>
          <w:tcPr>
            <w:tcW w:w="3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500</w:t>
            </w:r>
          </w:p>
        </w:tc>
      </w:tr>
    </w:tbl>
    <w:p>
      <w:pPr>
        <w:spacing w:after="0" w:line="130"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The Company’s investments classified as Level 2 within the fair value hierarchy were initially valued at the transaction price and subsequently valued, at the end of each reporting period, utilizing market-observable data. The market-observable data included reportable trades, benchmark yields, credit spreads, broker/dealer quotes, bids, offers, current spot rates and other industry and economic events. The Company validated the prices developed using the market-observable data by obtaining market values from other pricing sources, analyzing pricing data in certain instances and confirming that the relevant markets are active.</w:t>
      </w:r>
    </w:p>
    <w:p>
      <w:pPr>
        <w:spacing w:after="0" w:line="102" w:lineRule="exact"/>
        <w:rPr>
          <w:sz w:val="20"/>
          <w:szCs w:val="20"/>
          <w:color w:val="auto"/>
        </w:rPr>
      </w:pPr>
    </w:p>
    <w:p>
      <w:pPr>
        <w:ind w:right="260" w:firstLine="374"/>
        <w:spacing w:after="0" w:line="266" w:lineRule="auto"/>
        <w:rPr>
          <w:sz w:val="20"/>
          <w:szCs w:val="20"/>
          <w:color w:val="auto"/>
        </w:rPr>
      </w:pPr>
      <w:r>
        <w:rPr>
          <w:rFonts w:ascii="Times New Roman" w:cs="Times New Roman" w:eastAsia="Times New Roman" w:hAnsi="Times New Roman"/>
          <w:sz w:val="18"/>
          <w:szCs w:val="18"/>
          <w:color w:val="auto"/>
        </w:rPr>
        <w:t>The carrying amounts reflected in the accompanying condensed consolidated balance sheets for cash and cash equivalents, accounts receivable, contract assets, other current assets, accounts payable and accrued expenses, sales discounts, allowances and reserves approximate fair value due to their short-term nature.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INVENTORY</w:t>
      </w:r>
    </w:p>
    <w:p>
      <w:pPr>
        <w:spacing w:after="0" w:line="148" w:lineRule="exact"/>
        <w:rPr>
          <w:sz w:val="20"/>
          <w:szCs w:val="20"/>
          <w:color w:val="auto"/>
        </w:rPr>
      </w:pPr>
    </w:p>
    <w:p>
      <w:pPr>
        <w:ind w:right="560" w:firstLine="374"/>
        <w:spacing w:after="0" w:line="282" w:lineRule="auto"/>
        <w:rPr>
          <w:sz w:val="20"/>
          <w:szCs w:val="20"/>
          <w:color w:val="auto"/>
        </w:rPr>
      </w:pPr>
      <w:r>
        <w:rPr>
          <w:rFonts w:ascii="Times New Roman" w:cs="Times New Roman" w:eastAsia="Times New Roman" w:hAnsi="Times New Roman"/>
          <w:sz w:val="18"/>
          <w:szCs w:val="18"/>
          <w:color w:val="auto"/>
        </w:rPr>
        <w:t>Inventory is stated at the lower of cost and net realizable value. Cost is determined using the first-in, first-out method. Inventory consists of the following:</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68,423</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72,139</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tcPr>
          <w:p>
            <w:pPr>
              <w:spacing w:after="0"/>
              <w:rPr>
                <w:sz w:val="18"/>
                <w:szCs w:val="18"/>
                <w:color w:val="auto"/>
              </w:rPr>
            </w:pP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81,390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79,871</w:t>
            </w:r>
          </w:p>
        </w:tc>
      </w:tr>
      <w:tr>
        <w:trPr>
          <w:trHeight w:val="216"/>
        </w:trPr>
        <w:tc>
          <w:tcPr>
            <w:tcW w:w="772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Finished goods</w:t>
            </w:r>
            <w:r>
              <w:rPr>
                <w:rFonts w:ascii="Times New Roman" w:cs="Times New Roman" w:eastAsia="Times New Roman" w:hAnsi="Times New Roman"/>
                <w:sz w:val="24"/>
                <w:szCs w:val="24"/>
                <w:color w:val="auto"/>
                <w:vertAlign w:val="superscript"/>
              </w:rPr>
              <w:t>(1)</w:t>
            </w:r>
          </w:p>
        </w:tc>
        <w:tc>
          <w:tcPr>
            <w:tcW w:w="3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42,111</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30,877</w:t>
            </w:r>
          </w:p>
        </w:tc>
      </w:tr>
      <w:tr>
        <w:trPr>
          <w:trHeight w:val="21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inventory</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191,924</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182,887</w:t>
            </w:r>
          </w:p>
        </w:tc>
      </w:tr>
      <w:tr>
        <w:trPr>
          <w:trHeight w:val="20"/>
        </w:trPr>
        <w:tc>
          <w:tcPr>
            <w:tcW w:w="7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ind w:left="760" w:right="400" w:hanging="378"/>
        <w:spacing w:after="0" w:line="261" w:lineRule="auto"/>
        <w:tabs>
          <w:tab w:leader="none" w:pos="7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June 30, 2025 and December 31, 2024, the Company had $33.5 million and $22.7 million, respectively, of finished goods inventory located at its third-party warehouse and shipping service provider.</w:t>
      </w:r>
    </w:p>
    <w:p>
      <w:pPr>
        <w:spacing w:after="0" w:line="122" w:lineRule="exact"/>
        <w:rPr>
          <w:rFonts w:ascii="Times New Roman" w:cs="Times New Roman" w:eastAsia="Times New Roman" w:hAnsi="Times New Roman"/>
          <w:sz w:val="14"/>
          <w:szCs w:val="14"/>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11912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3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957</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3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149,674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134,699</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274,115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244,113</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42,535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42,416</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37,043</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58,391</w:t>
            </w:r>
          </w:p>
        </w:tc>
        <w:tc>
          <w:tcPr>
            <w:tcW w:w="0" w:type="dxa"/>
            <w:vAlign w:val="bottom"/>
          </w:tcPr>
          <w:p>
            <w:pPr>
              <w:spacing w:after="0"/>
              <w:rPr>
                <w:sz w:val="1"/>
                <w:szCs w:val="1"/>
                <w:color w:val="auto"/>
              </w:rPr>
            </w:pPr>
          </w:p>
        </w:tc>
      </w:tr>
      <w:tr>
        <w:trPr>
          <w:trHeight w:val="210"/>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Subtotal</w:t>
            </w:r>
          </w:p>
        </w:tc>
        <w:tc>
          <w:tcPr>
            <w:tcW w:w="3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504,324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480,576</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(264,925)</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(253,012)</w:t>
            </w:r>
          </w:p>
        </w:tc>
        <w:tc>
          <w:tcPr>
            <w:tcW w:w="0" w:type="dxa"/>
            <w:vAlign w:val="bottom"/>
          </w:tcPr>
          <w:p>
            <w:pPr>
              <w:spacing w:after="0"/>
              <w:rPr>
                <w:sz w:val="1"/>
                <w:szCs w:val="1"/>
                <w:color w:val="auto"/>
              </w:rPr>
            </w:pPr>
          </w:p>
        </w:tc>
      </w:tr>
      <w:tr>
        <w:trPr>
          <w:trHeight w:val="209"/>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239,399</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227,564</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42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43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0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-1396365</wp:posOffset>
            </wp:positionV>
            <wp:extent cx="1111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-1113790</wp:posOffset>
            </wp:positionV>
            <wp:extent cx="1111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Future lease payments under non-cancelable leases at June 30, 2025 consist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9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5,152</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Pr>
          <w:p>
            <w:pPr>
              <w:spacing w:after="0"/>
              <w:rPr>
                <w:sz w:val="18"/>
                <w:szCs w:val="18"/>
                <w:color w:val="auto"/>
              </w:rPr>
            </w:pPr>
          </w:p>
        </w:tc>
        <w:tc>
          <w:tcPr>
            <w:tcW w:w="16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10,380</w:t>
            </w: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9,513</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380" w:type="dxa"/>
            <w:vAlign w:val="bottom"/>
          </w:tcPr>
          <w:p>
            <w:pPr>
              <w:spacing w:after="0"/>
              <w:rPr>
                <w:sz w:val="18"/>
                <w:szCs w:val="18"/>
                <w:color w:val="auto"/>
              </w:rPr>
            </w:pPr>
          </w:p>
        </w:tc>
        <w:tc>
          <w:tcPr>
            <w:tcW w:w="16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9,574</w:t>
            </w:r>
          </w:p>
        </w:tc>
      </w:tr>
      <w:tr>
        <w:trPr>
          <w:trHeight w:val="216"/>
        </w:trPr>
        <w:tc>
          <w:tcPr>
            <w:tcW w:w="9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59,695</w:t>
            </w:r>
          </w:p>
        </w:tc>
      </w:tr>
      <w:tr>
        <w:trPr>
          <w:trHeight w:val="210"/>
        </w:trPr>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94,314</w:t>
            </w:r>
          </w:p>
        </w:tc>
      </w:tr>
      <w:tr>
        <w:trPr>
          <w:trHeight w:val="209"/>
        </w:trPr>
        <w:tc>
          <w:tcPr>
            <w:tcW w:w="92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Less: imputed interest</w:t>
            </w:r>
          </w:p>
        </w:tc>
        <w:tc>
          <w:tcPr>
            <w:tcW w:w="3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(21,636)</w:t>
            </w:r>
          </w:p>
        </w:tc>
      </w:tr>
      <w:tr>
        <w:trPr>
          <w:trHeight w:val="210"/>
        </w:trPr>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72,678</w:t>
            </w:r>
          </w:p>
        </w:tc>
      </w:tr>
      <w:tr>
        <w:trPr>
          <w:trHeight w:val="20"/>
        </w:trPr>
        <w:tc>
          <w:tcPr>
            <w:tcW w:w="9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At June 30, 2025, the weighted average incremental borrowing rate and the weighted average remaining lease term for all operating leases held by the Company were 3.8% and 6.5 years, respectively. Cash paid for lease liabilities was $2.6 million and $5.1 million during the three and six months ended June 30, 2025, respectively, as compared to $2.5 million and $5.0 million during the three and six months ended June 30, 2024, respectively. The Company recorded operating lease expense from continuing operations of $1.9 million and $3.7 million during the three and six months ended June 30, 2025, respectively, as compared to $1.8 million and $3.6 million during the three and six months ended June 30, 2024, respectively.</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ACCOUNTS PAYABLE AND ACCRUED EXPENSES</w:t>
      </w:r>
    </w:p>
    <w:p>
      <w:pPr>
        <w:sectPr>
          <w:pgSz w:w="11900" w:h="16838" w:orient="portrait"/>
          <w:cols w:equalWidth="0" w:num="1">
            <w:col w:w="11240"/>
          </w:cols>
          <w:pgMar w:left="320" w:top="941" w:right="339" w:bottom="1440" w:gutter="0" w:footer="0" w:header="0"/>
        </w:sectPr>
      </w:pP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Accounts payable and accrued expenses consist of the following:</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Accounts payable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Accrued other</w:t>
      </w:r>
    </w:p>
    <w:p>
      <w:pPr>
        <w:spacing w:after="0" w:line="4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accounts payable and accrued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1"/>
        </w:trPr>
        <w:tc>
          <w:tcPr>
            <w:tcW w:w="20" w:type="dxa"/>
            <w:vAlign w:val="bottom"/>
          </w:tcPr>
          <w:p>
            <w:pPr>
              <w:spacing w:after="0"/>
              <w:rPr>
                <w:sz w:val="16"/>
                <w:szCs w:val="16"/>
                <w:color w:val="auto"/>
              </w:rPr>
            </w:pP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ind w:right="16"/>
              <w:spacing w:after="0" w:line="191" w:lineRule="exact"/>
              <w:rPr>
                <w:sz w:val="20"/>
                <w:szCs w:val="20"/>
                <w:color w:val="auto"/>
              </w:rPr>
            </w:pPr>
            <w:r>
              <w:rPr>
                <w:rFonts w:ascii="Times New Roman" w:cs="Times New Roman" w:eastAsia="Times New Roman" w:hAnsi="Times New Roman"/>
                <w:sz w:val="18"/>
                <w:szCs w:val="18"/>
                <w:color w:val="auto"/>
              </w:rPr>
              <w:t>99,206</w:t>
            </w:r>
          </w:p>
        </w:tc>
        <w:tc>
          <w:tcPr>
            <w:tcW w:w="180" w:type="dxa"/>
            <w:vAlign w:val="bottom"/>
          </w:tcPr>
          <w:p>
            <w:pPr>
              <w:spacing w:after="0"/>
              <w:rPr>
                <w:sz w:val="16"/>
                <w:szCs w:val="16"/>
                <w:color w:val="auto"/>
              </w:rPr>
            </w:pPr>
          </w:p>
        </w:tc>
        <w:tc>
          <w:tcPr>
            <w:tcW w:w="220" w:type="dxa"/>
            <w:vAlign w:val="bottom"/>
          </w:tcPr>
          <w:p>
            <w:pPr>
              <w:jc w:val="right"/>
              <w:ind w:right="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ind w:right="16"/>
              <w:spacing w:after="0" w:line="191" w:lineRule="exact"/>
              <w:rPr>
                <w:sz w:val="20"/>
                <w:szCs w:val="20"/>
                <w:color w:val="auto"/>
              </w:rPr>
            </w:pPr>
            <w:r>
              <w:rPr>
                <w:rFonts w:ascii="Times New Roman" w:cs="Times New Roman" w:eastAsia="Times New Roman" w:hAnsi="Times New Roman"/>
                <w:sz w:val="18"/>
                <w:szCs w:val="18"/>
                <w:color w:val="auto"/>
              </w:rPr>
              <w:t>45,630</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56,544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70,960</w:t>
            </w:r>
          </w:p>
        </w:tc>
      </w:tr>
      <w:tr>
        <w:trPr>
          <w:trHeight w:val="234"/>
        </w:trPr>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89,999</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68,742</w:t>
            </w:r>
          </w:p>
        </w:tc>
      </w:tr>
      <w:tr>
        <w:trPr>
          <w:trHeight w:val="210"/>
        </w:trPr>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245,749</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185,332</w:t>
            </w: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ectPr>
          <w:pgSz w:w="11900" w:h="16838" w:orient="portrait"/>
          <w:cols w:equalWidth="0" w:num="2">
            <w:col w:w="7000" w:space="720"/>
            <w:col w:w="3520"/>
          </w:cols>
          <w:pgMar w:left="320" w:top="941" w:right="33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8"/>
          <w:szCs w:val="18"/>
          <w:color w:val="auto"/>
        </w:rPr>
        <w:t>A summary of the Company’s current provision for sales discounts, allowances and reserves was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Medicaid rebates</w:t>
            </w:r>
          </w:p>
        </w:tc>
        <w:tc>
          <w:tcPr>
            <w:tcW w:w="2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189,021</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202,044</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Product discounts</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16,832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19,351</w:t>
            </w: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Medicare Part D</w:t>
            </w:r>
          </w:p>
        </w:tc>
        <w:tc>
          <w:tcPr>
            <w:tcW w:w="1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23,913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26,933</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23,407</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24,124</w:t>
            </w:r>
          </w:p>
        </w:tc>
      </w:tr>
      <w:tr>
        <w:trPr>
          <w:trHeight w:val="229"/>
        </w:trPr>
        <w:tc>
          <w:tcPr>
            <w:tcW w:w="5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accrued sales discounts, allowances and reserves</w:t>
            </w:r>
          </w:p>
        </w:tc>
        <w:tc>
          <w:tcPr>
            <w:tcW w:w="2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253,173</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272,452</w:t>
            </w:r>
          </w:p>
        </w:tc>
      </w:tr>
      <w:tr>
        <w:trPr>
          <w:trHeight w:val="20"/>
        </w:trPr>
        <w:tc>
          <w:tcPr>
            <w:tcW w:w="590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10" w:lineRule="exact"/>
        <w:rPr>
          <w:sz w:val="20"/>
          <w:szCs w:val="20"/>
          <w:color w:val="auto"/>
        </w:rPr>
      </w:pPr>
    </w:p>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Included in accounts payable was approximately $43.3 million and $11.4 million of amounts payable related to state U.S. Medicaid rebates as of June 30, 2025 and December 31, 2024,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SHAREHOLDERS’ EQUITY</w:t>
      </w:r>
    </w:p>
    <w:p>
      <w:pPr>
        <w:spacing w:after="0" w:line="135"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8"/>
          <w:szCs w:val="18"/>
          <w:color w:val="auto"/>
        </w:rPr>
        <w:t>In February 2024, the Company announced approval by its board of directors of a share repurchase program authorizing the Company to repurchase its ordinary shares in an aggregate amount of up to $400.0 million (exclusive of any fees, commissions or other expenses related to such repurchases) from time to time (the “Repurchase Program”), with the specific timing and amounts of repurchases under the Repurchase Program dependent on a variety of factors, including but not limited to ongoing assessments of the Company’s needs, alternative investment opportunities, the market price of its ordinary shares and general market conditions. The Repurchase Program has no set expiration date and may be suspended or discontinued at any time. During the six months ended June 30, 2025, the Company did not repurchase any of its ordinary shares under the Repurchase Program. As of June 30, 2025, the remaining amount authorized under the Repurchase Program was $200.0 million.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SHARE-BASED COMPENSATION</w:t>
      </w:r>
    </w:p>
    <w:p>
      <w:pPr>
        <w:spacing w:after="0" w:line="135" w:lineRule="exact"/>
        <w:rPr>
          <w:sz w:val="20"/>
          <w:szCs w:val="20"/>
          <w:color w:val="auto"/>
        </w:rPr>
      </w:pPr>
    </w:p>
    <w:p>
      <w:pPr>
        <w:ind w:right="40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presents share-based compensation expense included in the accompanying condensed consolidated statements of income and comprehensive income: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manufactured and sold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1,479</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3,261</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2,627</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6,510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6,021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12,401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16,299</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16,977</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14,859</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32,114</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34,430</w:t>
            </w:r>
          </w:p>
        </w:tc>
        <w:tc>
          <w:tcPr>
            <w:tcW w:w="0" w:type="dxa"/>
            <w:vAlign w:val="bottom"/>
          </w:tcPr>
          <w:p>
            <w:pPr>
              <w:spacing w:after="0"/>
              <w:rPr>
                <w:sz w:val="1"/>
                <w:szCs w:val="1"/>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24,966</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20,601</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47,776</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53,356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-170815</wp:posOffset>
            </wp:positionV>
            <wp:extent cx="857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85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857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4"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At each of June 30, 2025 and December 31, 2024, $3.1 million of share-based compensation expense was capitalized and recorded as “Inventory”, and $0.6 million and none, respectively, of share-based compensation expense was capitalized and recorded as “Property, plant and equipment, net” in the accompanying condensed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ORDINARY SHARE</w:t>
      </w:r>
    </w:p>
    <w:p>
      <w:pPr>
        <w:spacing w:after="0" w:line="216"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Basic earnings per ordinary share from continuing operations is calculated based upon net income from continuing operations available to holders of ordinary shares, divided by the weighted average number of ordinary shares outstanding. Basic loss per ordinary share from discontinued operations is calculated based upon net loss from discontinued operations available to holders of ordinary shares, divided by the weighted average number of ordinary shares outstanding. For the calculation of diluted earnings (loss) per ordinary share from continuing operations and discontinuing operations, the Company utilizes the treasury stock method and adjusts the weighted average number of ordinary shares outstanding for the potential dilutive effect of outstanding ordinary share equivalents such as stock options and restricted stock unit awards.</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6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80" w:type="dxa"/>
            <w:vAlign w:val="bottom"/>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87,098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94,658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109,562</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133,606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6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87,098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91,358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109,562</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128,186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164,959</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168,321</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164,188</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168,152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Effect of dilutive securities:</w:t>
            </w: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options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1,649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1,967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Restricted stock unit awards</w:t>
            </w:r>
          </w:p>
        </w:tc>
        <w:tc>
          <w:tcPr>
            <w:tcW w:w="6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1,749</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1,817</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2,315</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2,524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ordinary share equivalents</w:t>
            </w:r>
          </w:p>
        </w:tc>
        <w:tc>
          <w:tcPr>
            <w:tcW w:w="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3,398</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2,656</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4,282</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3,808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used in calculating diluted earnings per ordinary share</w:t>
            </w:r>
          </w:p>
        </w:tc>
        <w:tc>
          <w:tcPr>
            <w:tcW w:w="6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168,357</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170,977</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168,470</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171,960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-1199515</wp:posOffset>
            </wp:positionV>
            <wp:extent cx="857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-1199515</wp:posOffset>
            </wp:positionV>
            <wp:extent cx="857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-1199515</wp:posOffset>
            </wp:positionV>
            <wp:extent cx="857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-316230</wp:posOffset>
            </wp:positionV>
            <wp:extent cx="85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-316230</wp:posOffset>
            </wp:positionV>
            <wp:extent cx="85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-316230</wp:posOffset>
            </wp:positionV>
            <wp:extent cx="85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-24765</wp:posOffset>
            </wp:positionV>
            <wp:extent cx="857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857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857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857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857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85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4" w:lineRule="exact"/>
        <w:rPr>
          <w:sz w:val="20"/>
          <w:szCs w:val="20"/>
          <w:color w:val="auto"/>
        </w:rPr>
      </w:pPr>
    </w:p>
    <w:p>
      <w:pPr>
        <w:jc w:val="both"/>
        <w:ind w:right="120" w:firstLine="374"/>
        <w:spacing w:after="0" w:line="282" w:lineRule="auto"/>
        <w:rPr>
          <w:sz w:val="20"/>
          <w:szCs w:val="20"/>
          <w:color w:val="auto"/>
        </w:rPr>
      </w:pPr>
      <w:r>
        <w:rPr>
          <w:rFonts w:ascii="Times New Roman" w:cs="Times New Roman" w:eastAsia="Times New Roman" w:hAnsi="Times New Roman"/>
          <w:sz w:val="18"/>
          <w:szCs w:val="18"/>
          <w:color w:val="auto"/>
        </w:rPr>
        <w:t>The following potential ordinary share equivalents were not included in the net earnings per ordinary share calculation because the effect would have been anti-dilutive: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840" w:type="dxa"/>
            <w:vAlign w:val="bottom"/>
            <w:gridSpan w:val="4"/>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880" w:type="dxa"/>
            <w:vAlign w:val="bottom"/>
            <w:gridSpan w:val="3"/>
          </w:tcPr>
          <w:p>
            <w:pPr>
              <w:jc w:val="center"/>
              <w:ind w:left="66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80" w:type="dxa"/>
            <w:vAlign w:val="bottom"/>
          </w:tcPr>
          <w:p>
            <w:pPr>
              <w:spacing w:after="0"/>
              <w:rPr>
                <w:sz w:val="15"/>
                <w:szCs w:val="15"/>
                <w:color w:val="auto"/>
              </w:rPr>
            </w:pPr>
          </w:p>
        </w:tc>
        <w:tc>
          <w:tcPr>
            <w:tcW w:w="1780" w:type="dxa"/>
            <w:vAlign w:val="bottom"/>
            <w:tcBorders>
              <w:bottom w:val="single" w:sz="8" w:color="auto"/>
            </w:tcBorders>
            <w:gridSpan w:val="3"/>
          </w:tcPr>
          <w:p>
            <w:pPr>
              <w:jc w:val="center"/>
              <w:ind w:left="8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Borders>
              <w:bottom w:val="single" w:sz="8" w:color="auto"/>
            </w:tcBorders>
            <w:gridSpan w:val="3"/>
          </w:tcPr>
          <w:p>
            <w:pPr>
              <w:jc w:val="center"/>
              <w:ind w:left="6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80" w:type="dxa"/>
            <w:vAlign w:val="bottom"/>
            <w:vMerge w:val="continue"/>
          </w:tcPr>
          <w:p>
            <w:pPr>
              <w:spacing w:after="0"/>
              <w:rPr>
                <w:sz w:val="12"/>
                <w:szCs w:val="12"/>
                <w:color w:val="auto"/>
              </w:rPr>
            </w:pPr>
          </w:p>
        </w:tc>
        <w:tc>
          <w:tcPr>
            <w:tcW w:w="1780" w:type="dxa"/>
            <w:vAlign w:val="bottom"/>
          </w:tcPr>
          <w:p>
            <w:pPr>
              <w:spacing w:after="0"/>
              <w:rPr>
                <w:sz w:val="12"/>
                <w:szCs w:val="12"/>
                <w:color w:val="auto"/>
              </w:rPr>
            </w:pPr>
          </w:p>
        </w:tc>
        <w:tc>
          <w:tcPr>
            <w:tcW w:w="1380" w:type="dxa"/>
            <w:vAlign w:val="bottom"/>
            <w:tcBorders>
              <w:bottom w:val="single" w:sz="8" w:color="auto"/>
            </w:tcBorders>
          </w:tcPr>
          <w:p>
            <w:pPr>
              <w:jc w:val="right"/>
              <w:ind w:right="54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340" w:type="dxa"/>
            <w:vAlign w:val="bottom"/>
            <w:tcBorders>
              <w:bottom w:val="single" w:sz="8" w:color="auto"/>
            </w:tcBorders>
          </w:tcPr>
          <w:p>
            <w:pPr>
              <w:jc w:val="right"/>
              <w:ind w:right="50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1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9,901</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14,049</w:t>
            </w:r>
          </w:p>
        </w:tc>
        <w:tc>
          <w:tcPr>
            <w:tcW w:w="14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8,919</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12,339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 awards</w:t>
            </w:r>
          </w:p>
        </w:tc>
        <w:tc>
          <w:tcPr>
            <w:tcW w:w="1780" w:type="dxa"/>
            <w:vAlign w:val="bottom"/>
          </w:tcPr>
          <w:p>
            <w:pPr>
              <w:spacing w:after="0"/>
              <w:rPr>
                <w:sz w:val="18"/>
                <w:szCs w:val="18"/>
                <w:color w:val="auto"/>
              </w:rPr>
            </w:pPr>
          </w:p>
        </w:tc>
        <w:tc>
          <w:tcPr>
            <w:tcW w:w="13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8"/>
                <w:szCs w:val="18"/>
                <w:color w:val="auto"/>
              </w:rPr>
              <w:t>2,505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2,765</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49"/>
        </w:trPr>
        <w:tc>
          <w:tcPr>
            <w:tcW w:w="37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12,406</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16,814</w:t>
            </w:r>
          </w:p>
        </w:tc>
        <w:tc>
          <w:tcPr>
            <w:tcW w:w="10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11,305</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14,846</w:t>
            </w:r>
          </w:p>
        </w:tc>
        <w:tc>
          <w:tcPr>
            <w:tcW w:w="0" w:type="dxa"/>
            <w:vAlign w:val="bottom"/>
          </w:tcPr>
          <w:p>
            <w:pPr>
              <w:spacing w:after="0"/>
              <w:rPr>
                <w:sz w:val="1"/>
                <w:szCs w:val="1"/>
                <w:color w:val="auto"/>
              </w:rPr>
            </w:pPr>
          </w:p>
        </w:tc>
      </w:tr>
      <w:tr>
        <w:trPr>
          <w:trHeight w:val="683"/>
        </w:trPr>
        <w:tc>
          <w:tcPr>
            <w:tcW w:w="3780" w:type="dxa"/>
            <w:vAlign w:val="bottom"/>
          </w:tcPr>
          <w:p>
            <w:pPr>
              <w:spacing w:after="0"/>
              <w:rPr>
                <w:sz w:val="24"/>
                <w:szCs w:val="24"/>
                <w:color w:val="auto"/>
              </w:rPr>
            </w:pPr>
          </w:p>
        </w:tc>
        <w:tc>
          <w:tcPr>
            <w:tcW w:w="3160" w:type="dxa"/>
            <w:vAlign w:val="bottom"/>
            <w:gridSpan w:val="2"/>
          </w:tcPr>
          <w:p>
            <w:pPr>
              <w:jc w:val="right"/>
              <w:ind w:right="114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7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-967740</wp:posOffset>
            </wp:positionV>
            <wp:extent cx="774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-950595</wp:posOffset>
            </wp:positionV>
            <wp:extent cx="774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-967740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-950595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-967740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-950595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62"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The Company recognizes income taxes under the asset and liability method. Deferred income taxes are recognized for differences between the financial reporting and tax bases of assets and liabilities at enacted statutory tax rates in effect for the years in which the differences are expected to reverse. The effect on deferred taxes of a change in tax rates is recognized in income in the period that includes the enactment date. In determining future taxable income, the Company is responsible for assumptions that it utilizes, including the amount of Irish and non-Irish pre-tax operating income, the reversal of temporary differences and the implementation of feasible and prudent tax planning strategies. These assumptions require significant judgment about the forecasts of future taxable income and are consistent with the plans and estimates that the Company uses to manage the underlying business.</w:t>
      </w:r>
    </w:p>
    <w:p>
      <w:pPr>
        <w:spacing w:after="0" w:line="187"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The Company recorded income tax provisions on income from continuing operations of $17.7 million and $20.8 million during the three and six months ended June 30, 2025, respectively, and of $22.1 million and $30.0 million during the three and six months ended June 30, 2024, respectively. The income tax provisions during each of the three and six months ended June 30, 2025 and 2024 were primarily attributable to taxes on income earned in Ireland.</w:t>
      </w:r>
    </w:p>
    <w:p>
      <w:pPr>
        <w:spacing w:after="0" w:line="180"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The Company’s effective tax rate during the six months ended June 30, 2025 and 2024 was 15.9% and 18.3%, respectively. The decrease in the effective tax rate was primarily due to an increase in windfall benefits from employee equity activity and an expense recorded in 2024 related to the sale of the Athlone Facility. The effective tax rates during the six months ended June 30, 2025 and 2024 exceeded the Irish statutory tax rate of 12.5%, primarily due to non-deductible expenses and income that was taxable at rates higher than the Irish statutory tax rate.</w:t>
      </w:r>
    </w:p>
    <w:p>
      <w:pPr>
        <w:spacing w:after="0" w:line="180"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(the “OBB Bill”) was signed into law. This legislation permanently extends, with modifications, several individual, business, and international tax provisions originally enacted under the Tax Cuts and Jobs Act of 2017. The Company performed an initial assessment of the OBB Bill and expects this legislation to result in a material increase in cash flows provided by operating activities and a material decrease in net U.S. deferred tax assets over the next number of years.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Following the adoption of ASU 2023-07, the Company is required to disclose significant segment expenses that are regularly provided to its CODM. The Company’s CODM is periodically provided R&amp;D expenses, selling and marketing expenses, and general and administrative expenses. Other external R&amp;D expenses are composed of general research and development expenses and other external projects. Other internal R&amp;D expenses include allocation expenses, travel expenses, and fees, taxes and dues.</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significant segment expenses are as follows:</w:t>
      </w: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2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390,657</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399,131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697,167</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749,503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Cost of goods manufactured and sold (exclusive of amortization of acquired</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shown below)</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49,460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61,472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98,657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External R&amp;D expenses:</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Development programs: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Alixorexton</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23,795</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12,589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41,649</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LYBALVI</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5,050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8,901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Other external R&amp;D expenses</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10,589</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10,014</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21,562</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18,803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external R&amp;D expenses</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39,434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26,313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72,112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50,599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Internal R&amp;D expenses:</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Employee-related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30,651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26,235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62,005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3,308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2,720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6,455</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2,942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Other internal R&amp;D expenses</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2,503</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3,006</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5,673</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7,310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internal R&amp;D expenses</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37,936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33,336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77,075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76,661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R&amp;D expenses</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77,370</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59,649</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149,187</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127,260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121,175</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119,667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244,109</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245,284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49,674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48,446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98,444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102,578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170,849</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168,113</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342,553</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347,862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Pr>
          <w:p>
            <w:pPr>
              <w:ind w:left="140"/>
              <w:spacing w:after="0" w:line="210" w:lineRule="exact"/>
              <w:rPr>
                <w:sz w:val="20"/>
                <w:szCs w:val="20"/>
                <w:color w:val="auto"/>
              </w:rPr>
            </w:pPr>
            <w:r>
              <w:rPr>
                <w:rFonts w:ascii="Times New Roman" w:cs="Times New Roman" w:eastAsia="Times New Roman" w:hAnsi="Times New Roman"/>
                <w:sz w:val="18"/>
                <w:szCs w:val="18"/>
                <w:color w:val="auto"/>
              </w:rPr>
              <w:t>Other segment income (expenses)</w:t>
            </w:r>
            <w:r>
              <w:rPr>
                <w:rFonts w:ascii="Times New Roman" w:cs="Times New Roman" w:eastAsia="Times New Roman" w:hAnsi="Times New Roman"/>
                <w:sz w:val="24"/>
                <w:szCs w:val="24"/>
                <w:color w:val="auto"/>
                <w:vertAlign w:val="superscript"/>
              </w:rPr>
              <w:t>(1)</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2,792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87,098</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94,658</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109,562</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133,606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LOSS ON DISCONTINUED OPERATIONS, NET OF TAX</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87,098</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91,358</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109,562</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128,186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-3556635</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-3556635</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-3556635</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-2305050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-2305050</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-2305050</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-1465580</wp:posOffset>
            </wp:positionV>
            <wp:extent cx="768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-1465580</wp:posOffset>
            </wp:positionV>
            <wp:extent cx="774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-1465580</wp:posOffset>
            </wp:positionV>
            <wp:extent cx="774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-1174115</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-1174115</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-1174115</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-608330</wp:posOffset>
            </wp:positionV>
            <wp:extent cx="768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-608330</wp:posOffset>
            </wp:positionV>
            <wp:extent cx="774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-608330</wp:posOffset>
            </wp:positionV>
            <wp:extent cx="7747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-316865</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-316865</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-316865</wp:posOffset>
            </wp:positionV>
            <wp:extent cx="774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-25400</wp:posOffset>
            </wp:positionV>
            <wp:extent cx="768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-8255</wp:posOffset>
            </wp:positionV>
            <wp:extent cx="768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-25400</wp:posOffset>
            </wp:positionV>
            <wp:extent cx="774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774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-25400</wp:posOffset>
            </wp:positionV>
            <wp:extent cx="774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-8255</wp:posOffset>
            </wp:positionV>
            <wp:extent cx="7747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119126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27" w:lineRule="exact"/>
        <w:rPr>
          <w:sz w:val="20"/>
          <w:szCs w:val="20"/>
          <w:color w:val="auto"/>
        </w:rPr>
      </w:pPr>
    </w:p>
    <w:p>
      <w:pPr>
        <w:ind w:left="600" w:right="280" w:hanging="292"/>
        <w:spacing w:after="0" w:line="261" w:lineRule="auto"/>
        <w:tabs>
          <w:tab w:leader="none" w:pos="60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income (expenses)” during the three and six months ended June 30, 2025 and 2024, includes “Amortization of acquired intangible assets”, “Other income, net” and “Income tax provision”.</w:t>
      </w:r>
    </w:p>
    <w:p>
      <w:pPr>
        <w:spacing w:after="0" w:line="136"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CONTINGENT LIABILITIES</w:t>
      </w:r>
    </w:p>
    <w:p>
      <w:pPr>
        <w:spacing w:after="0" w:line="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60"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in the ordinary course of business.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would accrue a liability for the estimated loss. Because of uncertainties related to claims and litigation, accruals are based on the Company’s best estimates, utilizing all available information. On a periodic basis, as additional information becomes available, or based on specific events such as the outcome of litigation or settlement of claims, the Company may reassess the potential liability related to these matters and may revise these estimates, which could result in material adverse adjustments to the Company’s operating results. At June 30, 2025, there were no potential material losses from claims, asserted or unasserted, or legal proceedings that the Company determined were probable of occurring.</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INVEGA TRINZA ANDA Litigation</w:t>
      </w:r>
    </w:p>
    <w:p>
      <w:pPr>
        <w:spacing w:after="0" w:line="162"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In September 2020, Janssen Pharmaceutica, Janssen Pharmaceuticals, Inc., and Janssen Research &amp; Development, LLC initiated a patent infringement lawsuit in the U.S. District Court for the District of New Jersey (the “NJ District Court”) against Mylan Laboratories Limited (“Mylan Labs”) and other Mylan entities following the filing by Mylan Labs of an abbreviated new drug application (“ANDA”) seeking approval from the U.S. Food and Drug Administration (“FDA”) to market a generic version of INVEGA TRINZA before the expiration of U.S. Patent No. 10,143,693 (the “’693 Patent”). Requested judicial remedies include recovery of litigation costs and injunctive relief. In May 2023, the NJ District Court issued an opinion in favor of the Janssen entities on the issues of infringement and validity of the ’693 Patent and the Mylan entities filed a notice of appeal of the decision. In March, 2025, the U.S. Court of Appeals for the Federal Circuit (the “Federal Circuit Court”) issued a decision affirming the NJ District Court opinion and in May 2025, Mylan Labs filed a petition for panel rehearing or rehearing en banc. The Company is not a party to this proceeding.</w:t>
      </w:r>
    </w:p>
    <w:p>
      <w:pPr>
        <w:spacing w:after="0" w:line="1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VUMERITY ANDA Litigation</w:t>
      </w:r>
    </w:p>
    <w:p>
      <w:pPr>
        <w:spacing w:after="0" w:line="162"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In July 2023, Biogen Inc., Biogen Swiss Manufacturing GmbH and Alkermes Pharma Ireland Limited (“APIL”) filed a patent infringement lawsuit in the U.S. District Court for the District of Delaware (the “DE District Court”) against Zydus Worldwide DMCC, Zydus Pharmaceuticals (USA) Inc. and Zydus Lifesciences Limited (collectively, “Zydus”) following the filing by Zydus of an ANDA seeking approval from the FDA to engage in the commercial manufacture, use or sale of a generic version of VUMERITY (diroximel fumarate) delayed-release capsules for oral use, 231 mg, before expiration of the Company’s U.S. Patent Nos. 8,669,281; 9,090,558; and 10,080,733 (the “VUMERITY patents”). The filing of the lawsuit triggered a stay of FDA approval of the ANDA for up to 30 months in accordance with the U.S. Drug Price Competition and Patent Term Restoration Act of 1984 (the “Hatch-Waxman Act”). On July 21, 2025, the parties entered into a confidential settlement agreement, pursuant to which Zydus was granted a license under the VUMERITY patents to engage in the commercial manufacture, use or sale of a generic version of VUMERITY in the United States beginning on an agreed date immediately prior to expiration of the latest to expire of the VUMERITY patents, or earlier under certain customary circumstances. In connection with the settlement agreement, the DE District Court dismissed the litigation pursuant to the parties’ stipulation of dismissal.</w:t>
      </w:r>
    </w:p>
    <w:p>
      <w:pPr>
        <w:spacing w:after="0" w:line="1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Government Matters</w:t>
      </w:r>
    </w:p>
    <w:p>
      <w:pPr>
        <w:spacing w:after="0" w:line="189" w:lineRule="exact"/>
        <w:rPr>
          <w:sz w:val="20"/>
          <w:szCs w:val="20"/>
          <w:color w:val="auto"/>
        </w:rPr>
      </w:pPr>
    </w:p>
    <w:p>
      <w:pPr>
        <w:ind w:right="80" w:firstLine="374"/>
        <w:spacing w:after="0" w:line="282" w:lineRule="auto"/>
        <w:rPr>
          <w:sz w:val="20"/>
          <w:szCs w:val="20"/>
          <w:color w:val="auto"/>
        </w:rPr>
      </w:pPr>
      <w:r>
        <w:rPr>
          <w:rFonts w:ascii="Times New Roman" w:cs="Times New Roman" w:eastAsia="Times New Roman" w:hAnsi="Times New Roman"/>
          <w:sz w:val="18"/>
          <w:szCs w:val="18"/>
          <w:color w:val="auto"/>
        </w:rPr>
        <w:t>The Company has received a subpoena and civil investigative demands from U.S. state and federal governmental authorities for documents related to VIVITROL. The Company is cooperating with the investigations.</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Product Liability and Other Legal Proceedings</w:t>
      </w:r>
    </w:p>
    <w:p>
      <w:pPr>
        <w:spacing w:after="0" w:line="162"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The Company is involved in litigation and other legal proceedings incidental to its normal business activities, including a product liability case alleging that the FDA-approved VIVITROL labeling was inadequate and that VIVITROL caused the individual to suffer from opioid overdose and death. The Company intends to vigorously defend itself in these matters.</w:t>
      </w:r>
    </w:p>
    <w:p>
      <w:pPr>
        <w:spacing w:after="0" w:line="176"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In addition, in January 2023, Acorda Therapeutics, Inc. (“Acorda”) filed a petition with the U.S. District Court for the Southern District of New York (the “NY Southern District Court”) asking the court to confirm in part and modify in part the final arbitral award rendered by an arbitration panel in October 2022 and, as part of the requested modification, seeking an additional approximately $66.0 million in damages. In August 2023, the NY Southern District Court confirmed the final arbitral award and declined to modify the final award to increase the damages awarded thereunder. In September 2023, Acorda filed a notice of appeal of the NY Southern District Court decision to the Federal Circuit Court. On July 25, 2025, the Federal Circuit Court transferred the appeal due to lack of jurisdiction to the U.S. Court of Appeals for the Second Circuit.</w:t>
      </w:r>
    </w:p>
    <w:p>
      <w:pPr>
        <w:spacing w:after="0" w:line="1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Guarantees</w:t>
      </w:r>
    </w:p>
    <w:p>
      <w:pPr>
        <w:spacing w:after="0" w:line="162" w:lineRule="exact"/>
        <w:rPr>
          <w:sz w:val="20"/>
          <w:szCs w:val="20"/>
          <w:color w:val="auto"/>
        </w:rPr>
      </w:pPr>
    </w:p>
    <w:p>
      <w:pPr>
        <w:jc w:val="both"/>
        <w:ind w:right="40" w:firstLine="374"/>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Separation, the Company entered into an assignment and assumption of lease agreement (the “Assignment”) pursuant to which Alkermes, Inc., a wholly owned subsidiary of the Company, assigned to Mural Oncology, Inc. (“Mural US”), a subsidiary of Mural, an operating lease for approximately 180,000 square feet of corporate office space, administrative areas and laboratories located at 852 Winter Street in Waltham, Massachusetts (the “852 Winter Street Lease”), as described in more detail in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the “Notes to Consolidated Financial Statements” in the Annual Report. Although all of the rights, title and interest in, to and under the 852 Winter Street</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sectPr>
      </w:pPr>
    </w:p>
    <w:bookmarkStart w:id="22" w:name="page23"/>
    <w:bookmarkEnd w:id="2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Lease were transferred to Mural US as of November 15, 2023 pursuant to the Assignment, the Company ratified and reaffirmed for the remainder of the lease term its guarantor obligations in respect of the lease under that certain Guaranty dated as of May 16, 2014. Upon completion of the Separation, the Assignment was accounted for as a termination of the original lease and the Company de-recognized the right-of-use asset and lease liability related to the 852 Winter Street Lease. At June 30, 2025, the fair value of the guarantee was not material to the Company.</w:t>
      </w:r>
    </w:p>
    <w:p>
      <w:pPr>
        <w:spacing w:after="0" w:line="24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41"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accompanying condensed consolidated financial statements and related notes beginning on page 5 in this Form 10-Q, and “Part II, Item 7—Management’s Discussion and Analysis of Financial Condition and Results of Operations” and the audited financial statements and notes thereto accompanying our Annual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89"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Net income from continuing operations was $87.1 million and $109.6 million or $0.53 and $0.67 per ordinary share—basic and $0.52 and $0.65 per ordinary share—diluted, for the three and six months ended June 30, 2025, respectively, compared to net income from continuing operations of $94.7 million and $133.6 million or $0.56 per and $0.79 ordinary share—basic and $0.55 and $0.78 per ordinary share—diluted, for the three and six months ended June 30, 2024, respectively.</w:t>
      </w:r>
    </w:p>
    <w:p>
      <w:pPr>
        <w:spacing w:after="0" w:line="153"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The decreases in net income from continuing operations of $7.6 million and $24.0 million during the three and six months ended June 30, 2025, as compared to the three and six months ended June 30, 2024, respectively, were primarily due to decreases of $8.5 million and $52.3 million, respectively, in revenues, primarily related to lower manufacturing and royalty revenues, partially offset by increases in product sales, net. During the three and six months ended June 30, 2025, as compared to the three and six months ended June 30, 2024, total expenses increased by $8.4 million and decreased by $5.9 million, respectively, and income tax provision decreased by $4.4 million and $9.2 million, respectively.</w:t>
      </w:r>
    </w:p>
    <w:p>
      <w:pPr>
        <w:spacing w:after="0" w:line="143"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These items are discussed in greater detail later in the “Results of Operations” section in this “Part I, Item 2—Management’s Discussion and Analysis of Financial Condition and Results of Operations” in this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Marketed Products</w:t>
      </w:r>
    </w:p>
    <w:p>
      <w:pPr>
        <w:spacing w:after="0" w:line="198"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The key marketed products discussed below have generated, or are expected to generate, significant revenues for us. See the descriptions of the marketed products below and “Part I, Item 1A—Risk Factors” in our Annual Report and “Part II, Item 1A—Risk Factors” in this Form 10-Q for important factors that could adversely affect our marketed products. See the “Patents and Proprietary Rights” section in “Part I, Item 1—Business” in our Annual Report for information with respect to the IP protection for these marketed products.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24" w:name="page25"/>
    <w:bookmarkEnd w:id="24"/>
    <w:p>
      <w:pPr>
        <w:ind w:left="380"/>
        <w:spacing w:after="0"/>
        <w:rPr>
          <w:sz w:val="20"/>
          <w:szCs w:val="20"/>
          <w:color w:val="auto"/>
        </w:rPr>
      </w:pPr>
      <w:r>
        <w:rPr>
          <w:rFonts w:ascii="Times New Roman" w:cs="Times New Roman" w:eastAsia="Times New Roman" w:hAnsi="Times New Roman"/>
          <w:sz w:val="18"/>
          <w:szCs w:val="18"/>
          <w:color w:val="auto"/>
        </w:rPr>
        <w:t>The following provides summary information regarding our proprietary products that we commercialize: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Proprietary Products</w:t>
      </w:r>
    </w:p>
    <w:p>
      <w:pPr>
        <w:spacing w:after="0" w:line="225" w:lineRule="exact"/>
        <w:rPr>
          <w:sz w:val="20"/>
          <w:szCs w:val="20"/>
          <w:color w:val="auto"/>
        </w:rPr>
      </w:pPr>
    </w:p>
    <w:p>
      <w:pPr>
        <w:ind w:left="2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Product</w:t>
      </w:r>
      <w:r>
        <w:rPr>
          <w:sz w:val="20"/>
          <w:szCs w:val="20"/>
          <w:color w:val="auto"/>
        </w:rPr>
        <w:tab/>
      </w:r>
      <w:r>
        <w:rPr>
          <w:rFonts w:ascii="Times New Roman" w:cs="Times New Roman" w:eastAsia="Times New Roman" w:hAnsi="Times New Roman"/>
          <w:sz w:val="18"/>
          <w:szCs w:val="18"/>
          <w:b w:val="1"/>
          <w:bCs w:val="1"/>
          <w:color w:val="auto"/>
        </w:rPr>
        <w:t>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36638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366385" cy="17145"/>
                    </a:xfrm>
                    <a:prstGeom prst="rect">
                      <a:avLst/>
                    </a:prstGeom>
                    <a:noFill/>
                  </pic:spPr>
                </pic:pic>
              </a:graphicData>
            </a:graphic>
          </wp:anchor>
        </w:drawing>
      </w:r>
    </w:p>
    <w:p>
      <w:pPr>
        <w:spacing w:after="0" w:line="2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Initiation or re-initiation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-119380</wp:posOffset>
            </wp:positionV>
            <wp:extent cx="2151380" cy="27000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1380" cy="270002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ARISTADA for the treatment of</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Schizophrenia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Schizophrenia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-127635</wp:posOffset>
            </wp:positionV>
            <wp:extent cx="156845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568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1140460</wp:posOffset>
            </wp:positionV>
            <wp:extent cx="536638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Schizophrenia;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-119380</wp:posOffset>
            </wp:positionV>
            <wp:extent cx="2194560" cy="15944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94560" cy="159448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Bipolar I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1463040</wp:posOffset>
            </wp:positionV>
            <wp:extent cx="536638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Alcohol 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-119380</wp:posOffset>
            </wp:positionV>
            <wp:extent cx="2580005" cy="1148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580005" cy="114871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Opioid 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27305</wp:posOffset>
            </wp:positionV>
            <wp:extent cx="162877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-127635</wp:posOffset>
            </wp:positionV>
            <wp:extent cx="162877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628775" cy="8890"/>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1140460</wp:posOffset>
            </wp:positionV>
            <wp:extent cx="162877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1611630</wp:posOffset>
            </wp:positionV>
            <wp:extent cx="162877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w:t>
      </w:r>
    </w:p>
    <w:p>
      <w:pPr>
        <w:sectPr>
          <w:pgSz w:w="11900" w:h="16838" w:orient="portrait"/>
          <w:cols w:equalWidth="0" w:num="2">
            <w:col w:w="8880" w:space="720"/>
            <w:col w:w="720"/>
          </w:cols>
          <w:pgMar w:left="320" w:top="1255" w:right="1259" w:bottom="1440" w:gutter="0" w:footer="0" w:header="0"/>
        </w:sectPr>
      </w:pPr>
    </w:p>
    <w:bookmarkStart w:id="25" w:name="page26"/>
    <w:bookmarkEnd w:id="25"/>
    <w:p>
      <w:pPr>
        <w:ind w:right="100" w:firstLine="374"/>
        <w:spacing w:after="0" w:line="282" w:lineRule="auto"/>
        <w:rPr>
          <w:sz w:val="20"/>
          <w:szCs w:val="20"/>
          <w:color w:val="auto"/>
        </w:rPr>
      </w:pPr>
      <w:r>
        <w:rPr>
          <w:rFonts w:ascii="Times New Roman" w:cs="Times New Roman" w:eastAsia="Times New Roman" w:hAnsi="Times New Roman"/>
          <w:sz w:val="18"/>
          <w:szCs w:val="18"/>
          <w:color w:val="auto"/>
        </w:rPr>
        <w:t>The following provides summary information regarding certain key third-party products using our proprietary technologies under license and our key licensed product, that are commercialized by our licensees: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Key Third-Party Products Using Our Proprietary Technologies</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Licensed Territory</w:t>
            </w:r>
          </w:p>
        </w:tc>
        <w:tc>
          <w:tcPr>
            <w:tcW w:w="0" w:type="dxa"/>
            <w:vAlign w:val="bottom"/>
          </w:tcPr>
          <w:p>
            <w:pPr>
              <w:spacing w:after="0"/>
              <w:rPr>
                <w:sz w:val="1"/>
                <w:szCs w:val="1"/>
                <w:color w:val="auto"/>
              </w:rPr>
            </w:pPr>
          </w:p>
        </w:tc>
      </w:tr>
      <w:tr>
        <w:trPr>
          <w:trHeight w:val="407"/>
        </w:trPr>
        <w:tc>
          <w:tcPr>
            <w:tcW w:w="4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70AD47"/>
              </w:rPr>
              <w:t>INVEGA SUSTENNA / XEPLION</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INVEGA SUSTENNA</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Janssen Pharmaceutica</w:t>
            </w: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Schizophrenia;</w:t>
            </w:r>
          </w:p>
        </w:tc>
        <w:tc>
          <w:tcPr>
            <w:tcW w:w="1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(together with Janssen</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Schizoaffective</w:t>
            </w:r>
          </w:p>
        </w:tc>
        <w:tc>
          <w:tcPr>
            <w:tcW w:w="1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Pharmaceuticals, Inc.,</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disorder</w:t>
            </w:r>
          </w:p>
        </w:tc>
        <w:tc>
          <w:tcPr>
            <w:tcW w:w="1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Janssen International and</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XEPLION</w:t>
            </w: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their affiliates “Janssen”)</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Schizophrenia</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70AD47"/>
              </w:rPr>
              <w:t>INVEGA TRINZA / TREVICTA</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Schizophrenia</w:t>
            </w: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Janssen</w:t>
            </w: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824"/>
        </w:trPr>
        <w:tc>
          <w:tcPr>
            <w:tcW w:w="4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70AD47"/>
              </w:rPr>
              <w:t>INVEGA HAFYERA / BYANNLI</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Schizophrenia</w:t>
            </w: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Janssen</w:t>
            </w: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85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Our Key Licensed Product</w:t>
            </w: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Licensed Territory</w:t>
            </w:r>
          </w:p>
        </w:tc>
        <w:tc>
          <w:tcPr>
            <w:tcW w:w="0" w:type="dxa"/>
            <w:vAlign w:val="bottom"/>
          </w:tcPr>
          <w:p>
            <w:pPr>
              <w:spacing w:after="0"/>
              <w:rPr>
                <w:sz w:val="1"/>
                <w:szCs w:val="1"/>
                <w:color w:val="auto"/>
              </w:rPr>
            </w:pPr>
          </w:p>
        </w:tc>
      </w:tr>
      <w:tr>
        <w:trPr>
          <w:trHeight w:val="425"/>
        </w:trPr>
        <w:tc>
          <w:tcPr>
            <w:tcW w:w="4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70AD47"/>
              </w:rPr>
              <w:t>VUMERITY</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Multiple sclerosis</w:t>
            </w: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Biogen</w:t>
            </w: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432"/>
        </w:trPr>
        <w:tc>
          <w:tcPr>
            <w:tcW w:w="450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Proprietary Products</w:t>
            </w: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We have developed and now commercialize products designed to help address the unmet needs of people living with opioid dependence, alcohol dependence, schizophrenia and bipolar I disorder. See the “Patents and Proprietary Rights” section in “Part I, Item 1—Business” in our Annual Report for information with respect to the IP protection for our proprietary products.</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ARISTADA and ARISTADA INITIO</w:t>
      </w:r>
    </w:p>
    <w:p>
      <w:pPr>
        <w:spacing w:after="0" w:line="162"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ARISTADA (aripiprazole lauroxil) is an extended-release intramuscular injectable suspension approved in the U.S. for the treatment of schizophrenia. ARISTADA utilizes our proprietary LinkeRx technology. ARISTADA is a prodrug; once in the body, ARISTADA is likely converted by enzyme-mediated hydrolysis to N-hydroxymethyl aripiprazole, which is then hydrolyzed to aripiprazole. ARISTADA is available in four dose strengths with once-monthly dosing options (441 mg, 662 mg and 882 mg), a six-week dosing option (882 mg) and a two-month dosing option (1064 mg). ARISTADA is packaged in a ready-to-use, pre-filled syringe product format. We exclusively manufacture and commercialize ARISTADA in the U.S.</w:t>
      </w:r>
    </w:p>
    <w:p>
      <w:pPr>
        <w:spacing w:after="0" w:line="183" w:lineRule="exact"/>
        <w:rPr>
          <w:sz w:val="20"/>
          <w:szCs w:val="20"/>
          <w:color w:val="auto"/>
        </w:rPr>
      </w:pPr>
    </w:p>
    <w:p>
      <w:pPr>
        <w:ind w:right="400" w:firstLine="374"/>
        <w:spacing w:after="0" w:line="282" w:lineRule="auto"/>
        <w:rPr>
          <w:sz w:val="20"/>
          <w:szCs w:val="20"/>
          <w:color w:val="auto"/>
        </w:rPr>
      </w:pPr>
      <w:r>
        <w:rPr>
          <w:rFonts w:ascii="Times New Roman" w:cs="Times New Roman" w:eastAsia="Times New Roman" w:hAnsi="Times New Roman"/>
          <w:sz w:val="18"/>
          <w:szCs w:val="18"/>
          <w:color w:val="auto"/>
        </w:rPr>
        <w:t>In May 2025, U.S. Patent No. 12,311,027 relating to ARISTADA was granted. The patent has claims to pharmaceutical compositions that confer long-term stability of the ARISTADA formulation and methods of treating schizophrenia and expires in 2033.</w:t>
      </w:r>
    </w:p>
    <w:p>
      <w:pPr>
        <w:spacing w:after="0" w:line="162"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ARISTADA INITIO (aripiprazole lauroxil) leverages our proprietary LinkeRx and NanoCrystal technologies and provides an extended-release formulation of aripiprazole lauroxil in a smaller particle size compared to ARISTADA, thereby enabling faster dissolution and more rapid achievement of relevant levels of aripiprazole in the body. ARISTADA INITIO, combined with a single 30 mg dose of oral aripiprazole, is indicated for the initiation of ARISTADA when used for the treatment of schizophrenia in adults. The first ARISTADA dose may be administered on the same day as the ARISTADA INITIO regimen or up to 10 days thereafter. We exclusively manufacture and commercialize ARISTADA INITIO in the U.S.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6" w:name="page27"/>
    <w:bookmarkEnd w:id="26"/>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LYBALVI</w:t>
      </w:r>
    </w:p>
    <w:p>
      <w:pPr>
        <w:spacing w:after="0" w:line="229"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LYBALVI (olanzapine and samidorphan) is a once-daily, oral atypical antipsychotic drug approved in the U.S. for the treatment of adults with schizophrenia and for the treatment of adults with bipolar I disorder, as a maintenance monotherapy or for the acute treatment of manic or mixed episodes, as monotherapy or an adjunct to lithium or valproate. LYBALVI is a combination of olanzapine, an atypical antipsychotic, and samidorphan, an opioid antagonist, in a single bilayer tablet. LYBALVI is available in fixed dosage strengths composed of 10 mg of samidorphan and 5 mg, 10 mg, 15 mg or 20 mg of olanzapine. We exclusively manufacture and commercialize LYBALVI in the U.S.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VIVITROL</w:t>
      </w:r>
    </w:p>
    <w:p>
      <w:pPr>
        <w:spacing w:after="0" w:line="229"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VIVITROL (naltrexone for extended-release injectable suspension) is a once-monthly, non-narcotic, injectable medication approved in the U.S. for the treatment of alcohol dependence in patients able to abstain from alcohol in an outpatient setting prior to initiation of treatment with VIVITROL and for the prevention of relapse to opioid dependence, following opioid detoxification. VIVITROL uses our polymer-based microsphere injectable extended-release technology to deliver and maintain therapeutic medication levels in the body through one intramuscular injection every four weeks. We exclusively manufacture and commercialize VIVITROL in the U.S.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Products Using Our Proprietary Technologies and Licensed Product</w:t>
      </w:r>
    </w:p>
    <w:p>
      <w:pPr>
        <w:spacing w:after="0" w:line="227"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We have licensed products to third parties for commercialization and have licensed our proprietary technologies to third parties to enable them to develop, commercialize and/or manufacture products. See the “Proprietary Technology Platforms” and “Patents and Proprietary Rights” sections in “Part I, Item 1—Business” in our Annual Report for information with respect to our proprietary technologies and the IP protection for these products. We receive royalties and/or manufacturing and other revenues from the commercialization of these products under our collaborative arrangements with these third parties. Such arrangements, among others, include the following:</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Products Using Our Proprietary Technologies</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INVEGA SUSTENNA/XEPLION, INVEGA TRINZA/TREVICTA and INVEGA HAFYERA/BYANNLI</w:t>
      </w:r>
    </w:p>
    <w:p>
      <w:pPr>
        <w:spacing w:after="0" w:line="229" w:lineRule="exact"/>
        <w:rPr>
          <w:sz w:val="20"/>
          <w:szCs w:val="20"/>
          <w:color w:val="auto"/>
        </w:rPr>
      </w:pPr>
    </w:p>
    <w:p>
      <w:pPr>
        <w:ind w:right="200" w:firstLine="374"/>
        <w:spacing w:after="0" w:line="282" w:lineRule="auto"/>
        <w:rPr>
          <w:sz w:val="20"/>
          <w:szCs w:val="20"/>
          <w:color w:val="auto"/>
        </w:rPr>
      </w:pPr>
      <w:r>
        <w:rPr>
          <w:rFonts w:ascii="Times New Roman" w:cs="Times New Roman" w:eastAsia="Times New Roman" w:hAnsi="Times New Roman"/>
          <w:sz w:val="18"/>
          <w:szCs w:val="18"/>
          <w:color w:val="auto"/>
        </w:rPr>
        <w:t>The long-acting INVEGA products are long-acting atypical antipsychotics owned and commercialized worldwide by Janssen. We believe that these products incorporate our technologies.</w:t>
      </w:r>
    </w:p>
    <w:p>
      <w:pPr>
        <w:spacing w:after="0" w:line="162" w:lineRule="exact"/>
        <w:rPr>
          <w:sz w:val="20"/>
          <w:szCs w:val="20"/>
          <w:color w:val="auto"/>
        </w:rPr>
      </w:pPr>
    </w:p>
    <w:p>
      <w:pPr>
        <w:ind w:right="320" w:firstLine="374"/>
        <w:spacing w:after="0" w:line="261" w:lineRule="auto"/>
        <w:rPr>
          <w:sz w:val="20"/>
          <w:szCs w:val="20"/>
          <w:color w:val="auto"/>
        </w:rPr>
      </w:pPr>
      <w:r>
        <w:rPr>
          <w:rFonts w:ascii="Times New Roman" w:cs="Times New Roman" w:eastAsia="Times New Roman" w:hAnsi="Times New Roman"/>
          <w:sz w:val="18"/>
          <w:szCs w:val="18"/>
          <w:color w:val="auto"/>
        </w:rPr>
        <w:t>INVEGA SUSTENNA is approved in the U.S. for the treatment of schizophrenia and for the treatment of schizoaffective disorder as either a monotherapy or adjunctive therapy. Paliperidone palmitate extended-release injectable suspension is approved in the European Union (“EU”) and other countries outside of the U.S. for the treatment of schizophrenia and is marketed and sold under the trade name XEPLION. INVEGA SUSTENNA/XEPLION is manufactured by Janssen.</w:t>
      </w:r>
    </w:p>
    <w:p>
      <w:pPr>
        <w:spacing w:after="0" w:line="180"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INVEGA TRINZA is approved in the U.S. for the treatment of schizophrenia in patients who have been adequately treated with INVEGA SUSTENNA for at least four months. TREVICTA is approved in the EU for the maintenance treatment of schizophrenia in adult patients who are clinically stable on XEPLION. INVEGA TRINZA/TREVICTA is manufactured by Janssen.</w:t>
      </w:r>
    </w:p>
    <w:p>
      <w:pPr>
        <w:spacing w:after="0" w:line="176" w:lineRule="exact"/>
        <w:rPr>
          <w:sz w:val="20"/>
          <w:szCs w:val="20"/>
          <w:color w:val="auto"/>
        </w:rPr>
      </w:pPr>
    </w:p>
    <w:p>
      <w:pPr>
        <w:ind w:right="240" w:firstLine="374"/>
        <w:spacing w:after="0" w:line="266" w:lineRule="auto"/>
        <w:rPr>
          <w:sz w:val="20"/>
          <w:szCs w:val="20"/>
          <w:color w:val="auto"/>
        </w:rPr>
      </w:pPr>
      <w:r>
        <w:rPr>
          <w:rFonts w:ascii="Times New Roman" w:cs="Times New Roman" w:eastAsia="Times New Roman" w:hAnsi="Times New Roman"/>
          <w:sz w:val="18"/>
          <w:szCs w:val="18"/>
          <w:color w:val="auto"/>
        </w:rPr>
        <w:t>INVEGA HAFYERA is approved in the U.S. for the treatment of schizophrenia in patients who have been adequately treated with INVEGA SUSTENNA for at least four months or INVEGA TRINZA for at least three months. BYANNLI is approved in the EU for the maintenance treatment of schizophrenia in adult patients who are clinically stable on XEPLION or TREVICTA. INVEGA HAFYERA/BYANNLI is manufactured by Janssen.</w:t>
      </w:r>
    </w:p>
    <w:p>
      <w:pPr>
        <w:spacing w:after="0" w:line="174"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 xml:space="preserve">For a discussion of legal proceedings related to certain of the patents covering INVEGA TRINZA, see Note 16, </w:t>
      </w:r>
      <w:r>
        <w:rPr>
          <w:rFonts w:ascii="Times New Roman" w:cs="Times New Roman" w:eastAsia="Times New Roman" w:hAnsi="Times New Roman"/>
          <w:sz w:val="18"/>
          <w:szCs w:val="18"/>
          <w:i w:val="1"/>
          <w:iCs w:val="1"/>
          <w:color w:val="auto"/>
        </w:rPr>
        <w:t>Commitments and Contingent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in the “Notes to Condensed Consolidated Financial Statements” in this Form 10-Q and for information about risks relating to such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proceedings, see “Part I, Item 1A—Risk Factors” in our Annual Report and specifically the section entitled “Uncertainty over IP in the biopharmaceutical industry has been the source of litigation and other legal proceedings, and we or our licensees may face claims against IP rights covering our products and competition from generic drug manufacturers.”</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7" w:name="page28"/>
    <w:bookmarkEnd w:id="27"/>
    <w:p>
      <w:pPr>
        <w:ind w:left="380"/>
        <w:spacing w:after="0"/>
        <w:rPr>
          <w:sz w:val="20"/>
          <w:szCs w:val="20"/>
          <w:color w:val="auto"/>
        </w:rPr>
      </w:pPr>
      <w:r>
        <w:rPr>
          <w:rFonts w:ascii="Times New Roman" w:cs="Times New Roman" w:eastAsia="Times New Roman" w:hAnsi="Times New Roman"/>
          <w:sz w:val="18"/>
          <w:szCs w:val="18"/>
          <w:i w:val="1"/>
          <w:iCs w:val="1"/>
          <w:color w:val="auto"/>
        </w:rPr>
        <w:t>Licensed Product</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VUMERITY</w:t>
      </w:r>
    </w:p>
    <w:p>
      <w:pPr>
        <w:spacing w:after="0" w:line="148"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VUMERITY (diroximel fumarate) is a novel, oral fumarate with a distinct chemical structure that is approved in the U.S., the EU and several other countries for the treatment of relapsing forms of multiple sclerosis in adults, including clinically isolated syndrome, relapsing-remitting disease and active secondary progressive disease.</w:t>
      </w:r>
    </w:p>
    <w:p>
      <w:pPr>
        <w:spacing w:after="0" w:line="108"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 xml:space="preserve">Under our license and collaboration agreement with Biogen, Biogen holds the exclusive, worldwide license to develop and commercialize VUMERITY. For more information about the license and collaboration agreement with Biogen, see the “Collaborative Arrangements—Biogen” section in “Part I, Item 1—Business” in our Annual Report. For a discussion of legal proceedings related to certain of the patents covering VUMERITY, see Note 16, </w:t>
      </w:r>
      <w:r>
        <w:rPr>
          <w:rFonts w:ascii="Times New Roman" w:cs="Times New Roman" w:eastAsia="Times New Roman" w:hAnsi="Times New Roman"/>
          <w:sz w:val="18"/>
          <w:szCs w:val="18"/>
          <w:i w:val="1"/>
          <w:iCs w:val="1"/>
          <w:color w:val="auto"/>
        </w:rPr>
        <w:t xml:space="preserve">Commitments and Contingent Liabilities </w:t>
      </w:r>
      <w:r>
        <w:rPr>
          <w:rFonts w:ascii="Times New Roman" w:cs="Times New Roman" w:eastAsia="Times New Roman" w:hAnsi="Times New Roman"/>
          <w:sz w:val="18"/>
          <w:szCs w:val="18"/>
          <w:color w:val="auto"/>
        </w:rPr>
        <w:t>in the “Notes to Condensed Consolidated Financial Statements” in this Form 10-Q, and for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risks relating to such legal proceedings, see “Part I, Item 1A—Risk Factors” in our Annual Report and specifically the section entitled “Uncertainty over IP in the biopharmaceutical industry has been the source of litigation and other legal proceedings, and we or our licensees may face claims against IP rights covering our products and competition from generic drug manufacturers.”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Key Development Program</w:t>
      </w:r>
    </w:p>
    <w:p>
      <w:pPr>
        <w:spacing w:after="0" w:line="144"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Our R&amp;D is focused on the development of innovative medicines in the field of neuroscience that are designed to address unmet patient needs. As part of our ongoing R&amp;D efforts, we have devoted, and will continue to devote, significant resources to conducting preclinical work and clinical studies to advance the development of new pharmaceutical products. The discussion below highlights our current key development program. Drug development involves a high degree of risk and investment, and the status, timing and scope of our development programs are subject to change. Important factors that could adversely affect our drug development efforts are discussed in “Part I, Item 1A—Risk Factors” in our Annual Report and “Part II, Item 1A—Risk Factors” in this Form 10-Q. See the “Patents and Proprietary Rights” section in “Part I, Item 1—Business” in our Annual Report for information with respect to the IP protection for our key development program.</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Alixorexton (formerly referred to as ALKS 2680)</w:t>
      </w:r>
    </w:p>
    <w:p>
      <w:pPr>
        <w:spacing w:after="0" w:line="162" w:lineRule="exact"/>
        <w:rPr>
          <w:sz w:val="20"/>
          <w:szCs w:val="20"/>
          <w:color w:val="auto"/>
        </w:rPr>
      </w:pPr>
    </w:p>
    <w:p>
      <w:pPr>
        <w:ind w:right="160" w:firstLine="374"/>
        <w:spacing w:after="0" w:line="254" w:lineRule="auto"/>
        <w:rPr>
          <w:sz w:val="20"/>
          <w:szCs w:val="20"/>
          <w:color w:val="auto"/>
        </w:rPr>
      </w:pPr>
      <w:r>
        <w:rPr>
          <w:rFonts w:ascii="Times New Roman" w:cs="Times New Roman" w:eastAsia="Times New Roman" w:hAnsi="Times New Roman"/>
          <w:sz w:val="18"/>
          <w:szCs w:val="18"/>
          <w:color w:val="auto"/>
        </w:rPr>
        <w:t>Alixorexton is a novel, investigational, oral, selective orexin 2 receptor agonist in development as a once-daily treatment for narcolepsy type 1 (“NT1”), narcolepsy type 2 (“NT2”) and idiopathic hypersomnia (“IH”). Orexin, a neuropeptide produced in the lateral hypothalamus, is considered to be the master regulator of wakefulness due to its activation of multiple, downstream wake-promoting pathways that project widely throughout the brain. Targeting the orexin system may address excessive daytime sleepiness across hypersomnolence disorders, whether or not deficient orexin signaling is the underlying cause of disease. Once-daily oral administration of alixorexton was previously evaluated in a phase 1 study in healthy volunteers and patients with NT1, NT2 and IH and is currently being evaluated in the phase 2 Vibrance-1, Vibrance-2 and Vibrance-3 studies in patients with NT1, NT2 and IH, respectively. In July 2025, we announced that alixorexton achieved the primary endpoint in the Vibrance-1 study in patients with NT1 and that we are proceeding with plans for initiation of a phase 3 program in narcolepsy.</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200" w:lineRule="exact"/>
        <w:rPr>
          <w:sz w:val="20"/>
          <w:szCs w:val="20"/>
          <w:color w:val="auto"/>
        </w:rPr>
      </w:pPr>
    </w:p>
    <w:p>
      <w:pPr>
        <w:jc w:val="both"/>
        <w:ind w:right="360" w:firstLine="374"/>
        <w:spacing w:after="0" w:line="266" w:lineRule="auto"/>
        <w:rPr>
          <w:sz w:val="20"/>
          <w:szCs w:val="20"/>
          <w:color w:val="auto"/>
        </w:rPr>
      </w:pPr>
      <w:r>
        <w:rPr>
          <w:rFonts w:ascii="Times New Roman" w:cs="Times New Roman" w:eastAsia="Times New Roman" w:hAnsi="Times New Roman"/>
          <w:sz w:val="18"/>
          <w:szCs w:val="18"/>
          <w:color w:val="auto"/>
        </w:rPr>
        <w:t>Our product sales, net, consist of sales of VIVITROL, ARISTADA and ARISTADA INITIO, and LYBALVI, primarily to wholesalers, specialty distributors and pharmacies. The following table presents the adjustments deducted from product sales, gross to arrive at product sales, net, for sales of VIVITROL, ARISTADA and ARISTADA INITIO, and LYBALVI during the three and six months ended June 30, 2025 and 2024:</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4"/>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4"/>
          </w:tcPr>
          <w:p>
            <w:pPr>
              <w:jc w:val="right"/>
              <w:ind w:right="421"/>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8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millions, except for % of Sales)</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860" w:type="dxa"/>
            <w:vAlign w:val="bottom"/>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8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1"/>
                <w:szCs w:val="11"/>
                <w:color w:val="auto"/>
              </w:rPr>
            </w:pPr>
          </w:p>
        </w:tc>
        <w:tc>
          <w:tcPr>
            <w:tcW w:w="980" w:type="dxa"/>
            <w:vAlign w:val="bottom"/>
            <w:tcBorders>
              <w:bottom w:val="single" w:sz="8" w:color="auto"/>
            </w:tcBorders>
          </w:tcPr>
          <w:p>
            <w:pPr>
              <w:jc w:val="right"/>
              <w:ind w:right="188"/>
              <w:spacing w:after="0" w:line="129" w:lineRule="exact"/>
              <w:rPr>
                <w:sz w:val="20"/>
                <w:szCs w:val="20"/>
                <w:color w:val="auto"/>
              </w:rPr>
            </w:pPr>
            <w:r>
              <w:rPr>
                <w:rFonts w:ascii="Times New Roman" w:cs="Times New Roman" w:eastAsia="Times New Roman" w:hAnsi="Times New Roman"/>
                <w:sz w:val="13"/>
                <w:szCs w:val="13"/>
                <w:b w:val="1"/>
                <w:bCs w:val="1"/>
                <w:color w:val="auto"/>
              </w:rPr>
              <w:t>% of Sales</w:t>
            </w: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41"/>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1"/>
                <w:szCs w:val="11"/>
                <w:color w:val="auto"/>
              </w:rPr>
            </w:pPr>
          </w:p>
        </w:tc>
        <w:tc>
          <w:tcPr>
            <w:tcW w:w="920" w:type="dxa"/>
            <w:vAlign w:val="bottom"/>
            <w:tcBorders>
              <w:bottom w:val="single" w:sz="8" w:color="auto"/>
            </w:tcBorders>
          </w:tcPr>
          <w:p>
            <w:pPr>
              <w:jc w:val="right"/>
              <w:ind w:right="165"/>
              <w:spacing w:after="0" w:line="129" w:lineRule="exact"/>
              <w:rPr>
                <w:sz w:val="20"/>
                <w:szCs w:val="20"/>
                <w:color w:val="auto"/>
              </w:rPr>
            </w:pPr>
            <w:r>
              <w:rPr>
                <w:rFonts w:ascii="Times New Roman" w:cs="Times New Roman" w:eastAsia="Times New Roman" w:hAnsi="Times New Roman"/>
                <w:sz w:val="13"/>
                <w:szCs w:val="13"/>
                <w:b w:val="1"/>
                <w:bCs w:val="1"/>
                <w:color w:val="auto"/>
              </w:rPr>
              <w:t>% of Sales</w:t>
            </w: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6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1"/>
                <w:szCs w:val="11"/>
                <w:color w:val="auto"/>
              </w:rPr>
            </w:pPr>
          </w:p>
        </w:tc>
        <w:tc>
          <w:tcPr>
            <w:tcW w:w="940" w:type="dxa"/>
            <w:vAlign w:val="bottom"/>
            <w:tcBorders>
              <w:bottom w:val="single" w:sz="8" w:color="auto"/>
            </w:tcBorders>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 of Sales</w:t>
            </w: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61"/>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1"/>
                <w:szCs w:val="11"/>
                <w:color w:val="auto"/>
              </w:rPr>
            </w:pPr>
          </w:p>
        </w:tc>
        <w:tc>
          <w:tcPr>
            <w:tcW w:w="940" w:type="dxa"/>
            <w:vAlign w:val="bottom"/>
            <w:tcBorders>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 of Sales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 sales, gross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564.8</w:t>
            </w:r>
          </w:p>
        </w:tc>
        <w:tc>
          <w:tcPr>
            <w:tcW w:w="1100" w:type="dxa"/>
            <w:vAlign w:val="bottom"/>
            <w:tcBorders>
              <w:right w:val="single" w:sz="8" w:color="CFF0FC"/>
            </w:tcBorders>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tcBorders>
              <w:right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533.0</w:t>
            </w:r>
          </w:p>
        </w:tc>
        <w:tc>
          <w:tcPr>
            <w:tcW w:w="1040" w:type="dxa"/>
            <w:vAlign w:val="bottom"/>
            <w:tcBorders>
              <w:right w:val="single" w:sz="8" w:color="CFF0FC"/>
            </w:tcBorders>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100.0</w:t>
            </w:r>
          </w:p>
        </w:tc>
        <w:tc>
          <w:tcPr>
            <w:tcW w:w="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1,037.6</w:t>
            </w:r>
          </w:p>
        </w:tc>
        <w:tc>
          <w:tcPr>
            <w:tcW w:w="10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100.0</w:t>
            </w:r>
          </w:p>
        </w:tc>
        <w:tc>
          <w:tcPr>
            <w:tcW w:w="260" w:type="dxa"/>
            <w:vAlign w:val="bottom"/>
            <w:tcBorders>
              <w:right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1,000.3</w:t>
            </w:r>
          </w:p>
        </w:tc>
        <w:tc>
          <w:tcPr>
            <w:tcW w:w="1040" w:type="dxa"/>
            <w:vAlign w:val="bottom"/>
            <w:tcBorders>
              <w:right w:val="single" w:sz="8" w:color="CFF0FC"/>
            </w:tcBorders>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2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Adjustments to product sales, gross: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Medicaid rebates</w:t>
            </w: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11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280" w:type="dxa"/>
            <w:vAlign w:val="bottom"/>
            <w:tcBorders>
              <w:right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130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(23.0) %</w:t>
            </w: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1300" w:type="dxa"/>
            <w:vAlign w:val="bottom"/>
            <w:tcBorders>
              <w:right w:val="single" w:sz="8" w:color="CFF0FC"/>
            </w:tcBorders>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(19.2) %</w:t>
            </w: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 %</w:t>
            </w:r>
          </w:p>
        </w:tc>
        <w:tc>
          <w:tcPr>
            <w:tcW w:w="0" w:type="dxa"/>
            <w:vAlign w:val="bottom"/>
          </w:tcPr>
          <w:p>
            <w:pPr>
              <w:spacing w:after="0"/>
              <w:rPr>
                <w:sz w:val="1"/>
                <w:szCs w:val="1"/>
                <w:color w:val="auto"/>
              </w:rPr>
            </w:pPr>
          </w:p>
        </w:tc>
      </w:tr>
      <w:tr>
        <w:trPr>
          <w:trHeight w:val="203"/>
        </w:trPr>
        <w:tc>
          <w:tcPr>
            <w:tcW w:w="2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Chargebacks</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30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(10.6) %</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30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(11.4) %</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0" w:type="dxa"/>
            <w:vAlign w:val="bottom"/>
          </w:tcPr>
          <w:p>
            <w:pPr>
              <w:spacing w:after="0"/>
              <w:rPr>
                <w:sz w:val="1"/>
                <w:szCs w:val="1"/>
                <w:color w:val="auto"/>
              </w:rPr>
            </w:pPr>
          </w:p>
        </w:tc>
      </w:tr>
      <w:tr>
        <w:trPr>
          <w:trHeight w:val="203"/>
        </w:trPr>
        <w:tc>
          <w:tcPr>
            <w:tcW w:w="2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Product discounts</w:t>
            </w: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1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80" w:type="dxa"/>
            <w:vAlign w:val="bottom"/>
            <w:tcBorders>
              <w:right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30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 %</w:t>
            </w: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300" w:type="dxa"/>
            <w:vAlign w:val="bottom"/>
            <w:tcBorders>
              <w:right w:val="single" w:sz="8" w:color="CFF0FC"/>
            </w:tcBorders>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 %</w:t>
            </w: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0" w:type="dxa"/>
            <w:vAlign w:val="bottom"/>
          </w:tcPr>
          <w:p>
            <w:pPr>
              <w:spacing w:after="0"/>
              <w:rPr>
                <w:sz w:val="1"/>
                <w:szCs w:val="1"/>
                <w:color w:val="auto"/>
              </w:rPr>
            </w:pPr>
          </w:p>
        </w:tc>
      </w:tr>
      <w:tr>
        <w:trPr>
          <w:trHeight w:val="203"/>
        </w:trPr>
        <w:tc>
          <w:tcPr>
            <w:tcW w:w="2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Medicare Part D</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30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(4.0) %</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30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(3.7) %</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203"/>
        </w:trPr>
        <w:tc>
          <w:tcPr>
            <w:tcW w:w="2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shd w:val="clear" w:color="auto" w:fill="CFF0FC"/>
          </w:tcPr>
          <w:p>
            <w:pPr>
              <w:spacing w:after="0"/>
              <w:rPr>
                <w:sz w:val="17"/>
                <w:szCs w:val="17"/>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80" w:type="dxa"/>
            <w:vAlign w:val="bottom"/>
            <w:tcBorders>
              <w:right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 %</w:t>
            </w: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300" w:type="dxa"/>
            <w:vAlign w:val="bottom"/>
            <w:tcBorders>
              <w:right w:val="single" w:sz="8" w:color="CFF0FC"/>
            </w:tcBorders>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 %</w:t>
            </w: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0" w:type="dxa"/>
            <w:vAlign w:val="bottom"/>
          </w:tcPr>
          <w:p>
            <w:pPr>
              <w:spacing w:after="0"/>
              <w:rPr>
                <w:sz w:val="1"/>
                <w:szCs w:val="1"/>
                <w:color w:val="auto"/>
              </w:rPr>
            </w:pPr>
          </w:p>
        </w:tc>
      </w:tr>
      <w:tr>
        <w:trPr>
          <w:trHeight w:val="20"/>
        </w:trPr>
        <w:tc>
          <w:tcPr>
            <w:tcW w:w="28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adjustments</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w:t>
            </w:r>
          </w:p>
        </w:tc>
        <w:tc>
          <w:tcPr>
            <w:tcW w:w="120" w:type="dxa"/>
            <w:vAlign w:val="bottom"/>
          </w:tcPr>
          <w:p>
            <w:pPr>
              <w:spacing w:after="0"/>
              <w:rPr>
                <w:sz w:val="17"/>
                <w:szCs w:val="17"/>
                <w:color w:val="auto"/>
              </w:rPr>
            </w:pPr>
          </w:p>
        </w:tc>
        <w:tc>
          <w:tcPr>
            <w:tcW w:w="11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(49.5) %</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(485.9)</w:t>
            </w:r>
          </w:p>
        </w:tc>
        <w:tc>
          <w:tcPr>
            <w:tcW w:w="130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(46.8) %</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(49.8) %</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Product sales, net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307.2</w:t>
            </w:r>
          </w:p>
        </w:tc>
        <w:tc>
          <w:tcPr>
            <w:tcW w:w="12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6"/>
                <w:szCs w:val="16"/>
                <w:color w:val="auto"/>
              </w:rPr>
              <w:t>54.4</w:t>
            </w:r>
          </w:p>
        </w:tc>
        <w:tc>
          <w:tcPr>
            <w:tcW w:w="280" w:type="dxa"/>
            <w:vAlign w:val="bottom"/>
            <w:tcBorders>
              <w:right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269.3</w:t>
            </w:r>
          </w:p>
        </w:tc>
        <w:tc>
          <w:tcPr>
            <w:tcW w:w="1040" w:type="dxa"/>
            <w:vAlign w:val="bottom"/>
            <w:tcBorders>
              <w:right w:val="single" w:sz="8" w:color="CFF0FC"/>
            </w:tcBorders>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50.5</w:t>
            </w:r>
          </w:p>
        </w:tc>
        <w:tc>
          <w:tcPr>
            <w:tcW w:w="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551.7</w:t>
            </w:r>
          </w:p>
        </w:tc>
        <w:tc>
          <w:tcPr>
            <w:tcW w:w="10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53.2</w:t>
            </w:r>
          </w:p>
        </w:tc>
        <w:tc>
          <w:tcPr>
            <w:tcW w:w="260" w:type="dxa"/>
            <w:vAlign w:val="bottom"/>
            <w:tcBorders>
              <w:right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502.8</w:t>
            </w:r>
          </w:p>
        </w:tc>
        <w:tc>
          <w:tcPr>
            <w:tcW w:w="1040" w:type="dxa"/>
            <w:vAlign w:val="bottom"/>
            <w:tcBorders>
              <w:right w:val="single" w:sz="8" w:color="CFF0FC"/>
            </w:tcBorders>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50.2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8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-299720</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-299720</wp:posOffset>
            </wp:positionV>
            <wp:extent cx="1028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-299720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-299720</wp:posOffset>
            </wp:positionV>
            <wp:extent cx="9461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-299720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-299720</wp:posOffset>
            </wp:positionV>
            <wp:extent cx="939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-299720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-299720</wp:posOffset>
            </wp:positionV>
            <wp:extent cx="939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-25400</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-7620</wp:posOffset>
            </wp:positionV>
            <wp:extent cx="768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-25400</wp:posOffset>
            </wp:positionV>
            <wp:extent cx="1028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-7620</wp:posOffset>
            </wp:positionV>
            <wp:extent cx="1028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-25400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-25400</wp:posOffset>
            </wp:positionV>
            <wp:extent cx="9461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9461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939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939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-25400</wp:posOffset>
            </wp:positionV>
            <wp:extent cx="939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-7620</wp:posOffset>
            </wp:positionV>
            <wp:extent cx="939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jc w:val="both"/>
        <w:ind w:right="140" w:firstLine="374"/>
        <w:spacing w:after="0" w:line="272" w:lineRule="auto"/>
        <w:rPr>
          <w:sz w:val="20"/>
          <w:szCs w:val="20"/>
          <w:color w:val="auto"/>
        </w:rPr>
      </w:pPr>
      <w:r>
        <w:rPr>
          <w:rFonts w:ascii="Times New Roman" w:cs="Times New Roman" w:eastAsia="Times New Roman" w:hAnsi="Times New Roman"/>
          <w:sz w:val="17"/>
          <w:szCs w:val="17"/>
          <w:color w:val="auto"/>
        </w:rPr>
        <w:t>The increase in product sales, gross during the three months ended June 30, 2025, as compared to the three months ended June 30, 2024, was due to increases of 14% and 2% in the number of units sold for LYBALVI and ARISTADA/ARISTADA INITIO, respectively, and a 3% price increase for each of our proprietary products that went into effect on January 1, 2025. These increases were partially offset by a 1% decrease in the number of units sold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VIVITROL.</w:t>
      </w:r>
    </w:p>
    <w:p>
      <w:pPr>
        <w:spacing w:after="0" w:line="207" w:lineRule="exact"/>
        <w:rPr>
          <w:sz w:val="20"/>
          <w:szCs w:val="20"/>
          <w:color w:val="auto"/>
        </w:rPr>
      </w:pPr>
    </w:p>
    <w:p>
      <w:pPr>
        <w:ind w:right="20" w:firstLine="374"/>
        <w:spacing w:after="0" w:line="289" w:lineRule="auto"/>
        <w:rPr>
          <w:sz w:val="20"/>
          <w:szCs w:val="20"/>
          <w:color w:val="auto"/>
        </w:rPr>
      </w:pPr>
      <w:r>
        <w:rPr>
          <w:rFonts w:ascii="Times New Roman" w:cs="Times New Roman" w:eastAsia="Times New Roman" w:hAnsi="Times New Roman"/>
          <w:sz w:val="17"/>
          <w:szCs w:val="17"/>
          <w:color w:val="auto"/>
        </w:rPr>
        <w:t>The increase in product sales, gross during the six months ended June 30, 2025, as compared to the six months ended June 30, 2024, was primarily due to a 17% increase in the number of LYBALVI units sold and the 3% price increase for each of our proprietary products that went into effect on January 1, 2025. These increases were partially offset by 3% decreases in the number of units sold for each of VIVITROL and ARISTADA/ARISTADA INITIO.</w:t>
      </w:r>
    </w:p>
    <w:p>
      <w:pPr>
        <w:spacing w:after="0" w:line="158" w:lineRule="exact"/>
        <w:rPr>
          <w:sz w:val="20"/>
          <w:szCs w:val="20"/>
          <w:color w:val="auto"/>
        </w:rPr>
      </w:pPr>
    </w:p>
    <w:p>
      <w:pPr>
        <w:ind w:right="300" w:firstLine="374"/>
        <w:spacing w:after="0" w:line="261" w:lineRule="auto"/>
        <w:rPr>
          <w:sz w:val="20"/>
          <w:szCs w:val="20"/>
          <w:color w:val="auto"/>
        </w:rPr>
      </w:pPr>
      <w:r>
        <w:rPr>
          <w:rFonts w:ascii="Times New Roman" w:cs="Times New Roman" w:eastAsia="Times New Roman" w:hAnsi="Times New Roman"/>
          <w:sz w:val="18"/>
          <w:szCs w:val="18"/>
          <w:color w:val="auto"/>
        </w:rPr>
        <w:t>The decreases in Medicaid rebates, as a percentage of sales, during the three and six months ended June 30, 2025, as compared to the three and six months ended June 30, 2024, were primarily due to actual Medicaid rebates related to VIVITROL and ARISTADA/ARISTADA INITIO, which were lower than original estimates by approximately $9.0 million and $17.7 million for VIVITROL during the three and six months ended June 30, 2025, respectively, and by approximately $7.2 million for ARISTADA/ARISTADA INITIO during the three months ended June 30, 2025.</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compares product sales, net earned during the three and six months ended June 30, 2025 and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gridSpan w:val="4"/>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ind w:left="39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44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VIVITROL</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121.7</w:t>
            </w:r>
          </w:p>
        </w:tc>
        <w:tc>
          <w:tcPr>
            <w:tcW w:w="3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111.9</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222.7</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209.5</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ARISTADA and ARISTADA INITIO</w:t>
            </w:r>
          </w:p>
        </w:tc>
        <w:tc>
          <w:tcPr>
            <w:tcW w:w="200" w:type="dxa"/>
            <w:vAlign w:val="bottom"/>
          </w:tcPr>
          <w:p>
            <w:pPr>
              <w:spacing w:after="0"/>
              <w:rPr>
                <w:sz w:val="18"/>
                <w:szCs w:val="18"/>
                <w:color w:val="auto"/>
              </w:rPr>
            </w:pPr>
          </w:p>
        </w:tc>
        <w:tc>
          <w:tcPr>
            <w:tcW w:w="8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174.8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LYBALVI</w:t>
            </w: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09"/>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tcPr>
          <w:p>
            <w:pPr>
              <w:spacing w:after="0"/>
              <w:rPr>
                <w:sz w:val="18"/>
                <w:szCs w:val="18"/>
                <w:color w:val="auto"/>
              </w:rPr>
            </w:pPr>
          </w:p>
        </w:tc>
        <w:tc>
          <w:tcPr>
            <w:tcW w:w="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269.3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551.7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502.8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-1113790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-1113790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-1113790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-1113790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-1113790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9" w:name="page30"/>
    <w:bookmarkEnd w:id="29"/>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and Royalty Revenues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compares manufacturing and royalty revenues earned during the three and six months ended June 30, 2025 and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4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and royalty revenues:</w:t>
            </w: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Long-acting INVEGA products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30.3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78.7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48.1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141.4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VUMERITY</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RISPERDAL CONSTA</w:t>
            </w:r>
          </w:p>
        </w:tc>
        <w:tc>
          <w:tcPr>
            <w:tcW w:w="200" w:type="dxa"/>
            <w:vAlign w:val="bottom"/>
          </w:tcPr>
          <w:p>
            <w:pPr>
              <w:spacing w:after="0"/>
              <w:rPr>
                <w:sz w:val="18"/>
                <w:szCs w:val="18"/>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0"/>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Manufacturing and royalty revenues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83.4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129.9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145.4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246.7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-170815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-170815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-170815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-170815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-170815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 xml:space="preserve">The decreases in royalty revenues related to the long-acting INVEGA products during the three and six months ended June 30, 2025, as compared to the three and six months ended June 30, 2024, were primarily due to the expiration of our royalty on net sales of INVEGA SUSTENNA in the U.S. in August 2024. We expect royalty revenues from net sales of the long-acting INVEGA products to continue to be lower for the remainder of 2025, as the royalty revenues related to net sales of INVEGA SUSTENNA in the U.S. comprised a significant portion of the overall royalty revenues for the long-acting INVEGA products. In addition, each of INVEGA SUSTENNA and INVEGA TRINZA is currently subject to Paragraph IV litigation in response to companies seeking to market generic versions of such product. Increased competition from new products or generic versions of any one or more of the long-acting INVEGA products may lead to reduced unit sales of the long-acting INVEGA products, including those not yet genericized, and increased pricing pressure. For a discussion of the legal proceedings related to INVEGA TRINZA, see Note 16,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Condensed Consolidated Financial Statements” in this Form 10-Q, and for information about risks relating to these legal proceedings, see “Part I, Item 1A—Risk Factors” in our Annual Report, and specifically the section entitled “Uncertainty over IP in the biopharmaceutical industry has been the source of litigation and other legal proceedings, and we or our licensees may face claims against IP rights covering our products and competition from generic drug manufacturers.”</w:t>
      </w:r>
    </w:p>
    <w:p>
      <w:pPr>
        <w:spacing w:after="0" w:line="190"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The increases in VUMERITY revenue during the three and six months ended June 30, 2025, as compared to the three and six months ended June 30, 2024, were due to increases of $6.6 million and $9.4 million, respectively, in royalty revenue, offset by decreases of $2.5 million and $8.6 million, respectively, in manufacturing revenue. The increases in VUMERITY royalty revenue were primarily due to increases in end-market sales of the product. The decreases in VUMERITY manufacturing revenue were primarily due to reductions in the number of batches manufactured for sale to Biogen. The increase in RISPERDAL CONSTA revenue during the six months ended June 30, 2025, as compared to the six months ended June 30, 2024, was due to a $6.9 million increase in manufacturing revenue, primarily due to an increase in the number of batches made available to Janssen for sale in the U.S., which has a higher selling price than product sold outside of the U.S. The decreases in Other manufacturing and royalty revenue during the three and six months ended June 30, 2025, as compared to the three and six months ended June 30, 2024, were primarily due to decreases of $3.1 million and $13.6 million, respectively, in revenue from FAMPYRA, as our manufacturing obligations for FAMPYRA concluded on December 31,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Manufactured and Sold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860" w:type="dxa"/>
            <w:vAlign w:val="bottom"/>
            <w:gridSpan w:val="4"/>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4"/>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200" w:type="dxa"/>
            <w:vAlign w:val="bottom"/>
            <w:vMerge w:val="continue"/>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manufactured and sold</w:t>
            </w:r>
          </w:p>
        </w:tc>
        <w:tc>
          <w:tcPr>
            <w:tcW w:w="640" w:type="dxa"/>
            <w:vAlign w:val="bottom"/>
            <w:shd w:val="clear" w:color="auto" w:fill="CFF0FC"/>
          </w:tcPr>
          <w:p>
            <w:pPr>
              <w:jc w:val="right"/>
              <w:ind w:right="48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95"/>
              </w:rPr>
              <w:t>49.5</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98.7</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120.1</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-25400</wp:posOffset>
            </wp:positionV>
            <wp:extent cx="7747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-8255</wp:posOffset>
            </wp:positionV>
            <wp:extent cx="7747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-25400</wp:posOffset>
            </wp:positionV>
            <wp:extent cx="7747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-8255</wp:posOffset>
            </wp:positionV>
            <wp:extent cx="7747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-25400</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-25400</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-8255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-25400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-8255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The decreases in the cost of goods manufactured and sold during the three and six months ended June 30, 2025, as compared to the three and six months ended June 30, 2024, were primarily related to decreases of $13.7 million and $20.7 million, respectively, in the cost of goods manufactured for certain legacy products following the sale of the Athlone Facility in May 2024 and decreases in the cost of goods sold for VIVITROL during each period due to decreases in the number of units sold, as discussed above. These decreases were partially offset by increases in the cost of goods sold for LYBALVI due to increases in the number of units sold in each period, as discussed above.</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60"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For each of our R&amp;D programs, we incur both external and internal expenses. External R&amp;D expenses include fees for clinical and preclinical activities performed by contract research organizations, consulting fees, and costs related to laboratory services, the purchase of drug product materials and third-party manufacturing development activities. Internal R&amp;D expenses include employee-related expenses, occupancy costs, depreciation and general overhead. We track external R&amp;D expenses for each of our development programs; however, internal R&amp;D expenses are not tracked by individual program as they can benefit multiple development programs or our products or technologies in general.</w:t>
      </w:r>
    </w:p>
    <w:p>
      <w:pPr>
        <w:spacing w:after="0" w:line="102" w:lineRule="exact"/>
        <w:rPr>
          <w:sz w:val="20"/>
          <w:szCs w:val="20"/>
          <w:color w:val="auto"/>
        </w:rPr>
      </w:pPr>
    </w:p>
    <w:p>
      <w:pPr>
        <w:ind w:right="40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external R&amp;D expenses for the three and six months ended June 30, 2025 and 2024 relating to our then-current development programs and our internal R&amp;D expenses, listed by the nature of such expenses: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3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R&amp;D expenses:</w:t>
            </w: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Development programs: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Alixorexton</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23.8</w:t>
            </w: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41.6</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LYBALVI</w:t>
            </w:r>
          </w:p>
        </w:tc>
        <w:tc>
          <w:tcPr>
            <w:tcW w:w="20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external R&amp;D expenses</w:t>
            </w: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external R&amp;D expenses</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R&amp;D expenses:</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Employee-related</w:t>
            </w:r>
          </w:p>
        </w:tc>
        <w:tc>
          <w:tcPr>
            <w:tcW w:w="20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Occupancy</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9"/>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internal R&amp;D expenses</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59.6</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149.2</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127.3</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-1156970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-1156970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-1156970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-1156970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-1156970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-316230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-316230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-316230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-316230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-316230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-24765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-24765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These amounts are not necessarily predictive of future R&amp;D expenses. In an effort to allocate our spending most effectively, we continually evaluate our products under development based on the performance of such products in preclinical and/or clinical trials, our expectations regarding the likelihood of their regulatory approval and our view of their future potential commercial viability, among other factors.</w:t>
      </w:r>
    </w:p>
    <w:p>
      <w:pPr>
        <w:spacing w:after="0" w:line="95"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The increases in expenses related to alixorexton during the three and six months ended June 30, 2025, as compared to the three and six months ended June 30, 2024, were primarily due to increased spend related to the advancement of the development program for the product, including initiation of our Vibrance-3 phase 2 clinical study and costs related to our long-term extension study for the product, partially offset by the completion of our first-in-human phase 1 clinical study for the product in the first half of 2024. The increase in expenses related to LYBALVI during the three months ended June 30, 2025, as compared to the three months ended June 30, 2024, was primarily due to increased spend on our pediatric program related to the product. The increase in other external R&amp;D expenses during the six months ended June 30, 2025, as compared to the six months ended June 30, 2024, was primarily due to activities associated with our preclinical development programs. The increases in employee-related expenses during the three and six months ended June 30, 2025, as compared to the three and six months ended June 30, 2024, were primarily due to increases in labor and benefits expense related to a 10% increase in R&amp;D-related headcount. The increase in employee-related expenses during the six months ended June 30, 2025, as compared to the six months ended June 30, 2024, was partially offset by a decrease in share-based compensation expense.</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vMerge w:val="restart"/>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30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121.2</w:t>
            </w: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119.7</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244.1</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245.3</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168.1</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342.6</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347.9</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-25400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-8255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-25400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-8255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-25400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-8255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The increase in selling and marketing expense during the three months ended June 30, 2025, as compared to the three months ended June 30, 2024, was primarily due to an increase of $10.4 million in employee-related expenses, primarily due to a 13% increase in sales and marketing-related headcount, partially offset by a decrease of $8.9 million in marketing spend, primarily related to decreases in media spend for our proprietary products.</w:t>
      </w:r>
    </w:p>
    <w:p>
      <w:pPr>
        <w:spacing w:after="0" w:line="176"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The decrease in selling and marketing expense during the six months ended June 30, 2025, as compared to the six months ended June 30, 2024, was primarily due to a decrease of $13.3 million in in marketing spend, primarily related to decreases in media spend for our proprietary products, partially offset by an increase of $12.1 million in employee-related expenses, primarily due to the increase in sales and marketing-related headcount noted above.</w:t>
      </w:r>
    </w:p>
    <w:p>
      <w:pPr>
        <w:spacing w:after="0" w:line="176"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The increase in general and administrative expense during the three months ended June 30, 2025, as compared to the three months ended June 30, 2024, was primarily due to an increase of $2.0 million in employee-related expenses, primarily due to a 6% increase in general and administrative-related headcount and an increase of $1.0 million in professional services fees, primarily related to an increase in legal expenses. These increases were offset by a decrease of $1.4 million related to branded prescription drug fees.</w:t>
      </w:r>
    </w:p>
    <w:p>
      <w:pPr>
        <w:spacing w:after="0" w:line="180"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The decrease in general and administrative expense during the six months ended June 30, 2025, as compared to the six months ended June 30, 2024, was primarily due to a decrease of $1.4 million related to branded prescription drug fees, a decrease of $1.2 million in professional service fees and a decrease of $0.7 million in share-based compensation expense. The decrease in professional service fees was primarily related to the timing of legal expenses. The decrease in share-based compensation expense was partially offset by a $1.1 million increase in salary expense, primarily due to the increase in general and administrative-related headcount noted above.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vMerge w:val="restart"/>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30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21.2</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8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0"/>
        </w:trPr>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other income,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11.9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23.6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-170815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-170815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-170815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-170815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-170815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 xml:space="preserve">Interest income consists of interest earned on our cash and available-for-sale investments. Interest expense consists of interest incurred on our previously outstanding term loans (the “Former Term Loans”) that were scheduled to become due in 2026 under our former amended and restated credit agreement, which we prepaid in full and terminated in December 2024. See Note 12,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 the “Notes to Consolidated Financial Statements” accompanying our Annual Report for additional information regarding our Former Term Loans.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840" w:type="dxa"/>
            <w:vAlign w:val="bottom"/>
            <w:gridSpan w:val="4"/>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4"/>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vMerge w:val="restart"/>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240" w:type="dxa"/>
            <w:vAlign w:val="bottom"/>
            <w:vMerge w:val="continue"/>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6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w w:val="95"/>
              </w:rPr>
              <w:t>17.7</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5"/>
              </w:rPr>
              <w:t>22.1</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20.8</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424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-24765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-7620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-24765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The income tax provisions in each of the three and six months ended June 30, 2025 and 2024 were primarily attributable to taxes on income earned in Ireland.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32" w:name="page33"/>
    <w:bookmarkEnd w:id="32"/>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0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Ireland</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Ireland</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106.4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414.8</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521.2</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70.3</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220.8</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291.1</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Investments—short-term</w:t>
            </w:r>
          </w:p>
        </w:tc>
        <w:tc>
          <w:tcPr>
            <w:tcW w:w="22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460.5</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Investments—long-term</w:t>
            </w: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0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Total cash and investments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329.1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724.9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1,054.0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298.5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526.2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824.7</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-170815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-170815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-170815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-170815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-170815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 June 30, 2025 our investments consisted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3"/>
        </w:trPr>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42"/>
        </w:trPr>
        <w:tc>
          <w:tcPr>
            <w:tcW w:w="42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8"/>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Credit Losses</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Investments—short-term available-for-sale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492.6</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494.5</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Investments—long-term available-for-sale</w:t>
            </w:r>
          </w:p>
        </w:tc>
        <w:tc>
          <w:tcPr>
            <w:tcW w:w="220" w:type="dxa"/>
            <w:vAlign w:val="bottom"/>
          </w:tcPr>
          <w:p>
            <w:pPr>
              <w:spacing w:after="0"/>
              <w:rPr>
                <w:sz w:val="18"/>
                <w:szCs w:val="18"/>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38.2</w:t>
            </w:r>
          </w:p>
        </w:tc>
      </w:tr>
      <w:tr>
        <w:trPr>
          <w:trHeight w:val="216"/>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Investments—long-term held-to-maturity</w:t>
            </w: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r>
      <w:tr>
        <w:trPr>
          <w:trHeight w:val="20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531.0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532.8</w:t>
            </w:r>
          </w:p>
        </w:tc>
      </w:tr>
      <w:tr>
        <w:trPr>
          <w:trHeight w:val="20"/>
        </w:trPr>
        <w:tc>
          <w:tcPr>
            <w:tcW w:w="4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-170815</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-170815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-170815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-170815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Cash</w:t>
      </w:r>
    </w:p>
    <w:p>
      <w:pPr>
        <w:spacing w:after="0" w:line="200"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We generated $249.0 million and $167.1 million of cash from operating activities during the six months ended June 30, 2025 and 2024, respectively. We expect that our existing cash, cash equivalents and investments will be sufficient to finance our anticipated working capital and other cash requirements, including capital expenditures, for not less than twelve months following the date from which our financial statements were issued. Subject to market conditions, interest rates and other factors, we may pursue opportunities to obtain financing in the future, including debt and equity offerings, corporate collaborations, bank borrowings, arrangements relating to assets or other financing methods or structures.</w:t>
      </w:r>
    </w:p>
    <w:p>
      <w:pPr>
        <w:spacing w:after="0" w:line="143" w:lineRule="exact"/>
        <w:rPr>
          <w:sz w:val="20"/>
          <w:szCs w:val="20"/>
          <w:color w:val="auto"/>
        </w:rPr>
      </w:pPr>
    </w:p>
    <w:p>
      <w:pPr>
        <w:jc w:val="both"/>
        <w:ind w:right="140" w:firstLine="374"/>
        <w:spacing w:after="0" w:line="261" w:lineRule="auto"/>
        <w:rPr>
          <w:sz w:val="20"/>
          <w:szCs w:val="20"/>
          <w:color w:val="auto"/>
        </w:rPr>
      </w:pPr>
      <w:r>
        <w:rPr>
          <w:rFonts w:ascii="Times New Roman" w:cs="Times New Roman" w:eastAsia="Times New Roman" w:hAnsi="Times New Roman"/>
          <w:sz w:val="18"/>
          <w:szCs w:val="18"/>
          <w:color w:val="auto"/>
        </w:rPr>
        <w:t>Our investment objectives are, first, to preserve liquidity and conserve capital and, second, to generate investment income. We mitigate credit risk in our cash reserves by maintaining a well-diversified portfolio that limits the amount of investment exposure as to institution, maturity and investment type. Our available-for-sale investments consist primarily of short and long-term U.S. government and agency debt securities and corporate debt securities. Our held-to-maturity investments consist of investments that are held as collateral under certain letters of credit related to certain of our lease agreements.</w:t>
      </w:r>
    </w:p>
    <w:p>
      <w:pPr>
        <w:spacing w:after="0" w:line="139"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We classify available-for-sale investments in an unrealized loss position that do not mature within 12 months as long-term investments. We have the intent and ability to hold these investments until recovery, which may be at maturity, and it is more-likely-than-not that we would not be required to sell these securities before recovery of their amortized cost.</w:t>
      </w:r>
    </w:p>
    <w:p>
      <w:pPr>
        <w:spacing w:after="0" w:line="149" w:lineRule="exact"/>
        <w:rPr>
          <w:sz w:val="20"/>
          <w:szCs w:val="20"/>
          <w:color w:val="auto"/>
        </w:rPr>
      </w:pPr>
    </w:p>
    <w:p>
      <w:pPr>
        <w:ind w:right="620" w:firstLine="374"/>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are reasonably likely to have a material effect on our financial condition, changes in financial condition, revenues or expenses, results of operations, liquidity, capital expenditures, or capital resources in the next 12 months.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5"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Information about our cash flows, by category, is presented in the accompanying condensed consolidated statements of cash flows. The discussion of our cash flows that follows does not include the impact of any adjustments to remove discontinued operations and is stated on a total company consolidated basis. The following table summarizes our cash flows for the six months ended June 30, 2025 and 2024:</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center"/>
        <w:ind w:right="358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p>
      <w:pPr>
        <w:spacing w:after="0" w:line="7" w:lineRule="exact"/>
        <w:rPr>
          <w:sz w:val="20"/>
          <w:szCs w:val="20"/>
          <w:color w:val="auto"/>
        </w:rPr>
      </w:pPr>
    </w:p>
    <w:p>
      <w:pPr>
        <w:jc w:val="center"/>
        <w:ind w:right="3580"/>
        <w:spacing w:after="0"/>
        <w:rPr>
          <w:sz w:val="20"/>
          <w:szCs w:val="20"/>
          <w:color w:val="auto"/>
        </w:rPr>
      </w:pPr>
      <w:r>
        <w:rPr>
          <w:rFonts w:ascii="Times New Roman" w:cs="Times New Roman" w:eastAsia="Times New Roman" w:hAnsi="Times New Roman"/>
          <w:sz w:val="18"/>
          <w:szCs w:val="18"/>
          <w:color w:val="auto"/>
        </w:rPr>
        <w:t>Cash flows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Cash flows (used in) provided by investing activities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Cash flows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91"/>
        </w:trPr>
        <w:tc>
          <w:tcPr>
            <w:tcW w:w="20" w:type="dxa"/>
            <w:vAlign w:val="bottom"/>
          </w:tcPr>
          <w:p>
            <w:pPr>
              <w:spacing w:after="0"/>
              <w:rPr>
                <w:sz w:val="16"/>
                <w:szCs w:val="16"/>
                <w:color w:val="auto"/>
              </w:rPr>
            </w:pP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33"/>
              <w:spacing w:after="0" w:line="191" w:lineRule="exact"/>
              <w:rPr>
                <w:sz w:val="20"/>
                <w:szCs w:val="20"/>
                <w:color w:val="auto"/>
              </w:rPr>
            </w:pPr>
            <w:r>
              <w:rPr>
                <w:rFonts w:ascii="Times New Roman" w:cs="Times New Roman" w:eastAsia="Times New Roman" w:hAnsi="Times New Roman"/>
                <w:sz w:val="18"/>
                <w:szCs w:val="18"/>
                <w:color w:val="auto"/>
              </w:rPr>
              <w:t>291.1</w:t>
            </w:r>
          </w:p>
        </w:tc>
        <w:tc>
          <w:tcPr>
            <w:tcW w:w="180" w:type="dxa"/>
            <w:vAlign w:val="bottom"/>
          </w:tcPr>
          <w:p>
            <w:pPr>
              <w:spacing w:after="0"/>
              <w:rPr>
                <w:sz w:val="16"/>
                <w:szCs w:val="16"/>
                <w:color w:val="auto"/>
              </w:rPr>
            </w:pPr>
          </w:p>
        </w:tc>
        <w:tc>
          <w:tcPr>
            <w:tcW w:w="360" w:type="dxa"/>
            <w:vAlign w:val="bottom"/>
          </w:tcPr>
          <w:p>
            <w:pPr>
              <w:jc w:val="right"/>
              <w:ind w:right="1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ind w:right="53"/>
              <w:spacing w:after="0" w:line="191" w:lineRule="exact"/>
              <w:rPr>
                <w:sz w:val="20"/>
                <w:szCs w:val="20"/>
                <w:color w:val="auto"/>
              </w:rPr>
            </w:pPr>
            <w:r>
              <w:rPr>
                <w:rFonts w:ascii="Times New Roman" w:cs="Times New Roman" w:eastAsia="Times New Roman" w:hAnsi="Times New Roman"/>
                <w:sz w:val="18"/>
                <w:szCs w:val="18"/>
                <w:color w:val="auto"/>
              </w:rPr>
              <w:t>457.5</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249.0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167.1</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12.0</w:t>
            </w:r>
          </w:p>
        </w:tc>
      </w:tr>
      <w:tr>
        <w:trPr>
          <w:trHeight w:val="234"/>
        </w:trPr>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09"/>
        </w:trPr>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521.2</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535.2</w:t>
            </w: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481" w:lineRule="exact"/>
        <w:rPr>
          <w:sz w:val="20"/>
          <w:szCs w:val="20"/>
          <w:color w:val="auto"/>
        </w:rPr>
      </w:pPr>
    </w:p>
    <w:p>
      <w:pPr>
        <w:sectPr>
          <w:pgSz w:w="11900" w:h="16838" w:orient="portrait"/>
          <w:cols w:equalWidth="0" w:num="2">
            <w:col w:w="7000" w:space="720"/>
            <w:col w:w="3520"/>
          </w:cols>
          <w:pgMar w:left="320" w:top="1440" w:right="339" w:bottom="1440" w:gutter="0" w:footer="0" w:header="0"/>
          <w:type w:val="continuous"/>
        </w:sect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Cash flows provided by operating activities represent the cash receipts and disbursements related to all of our activities other than investing and financing activities. Operating cash flow is derived by adjusting our net income for non-cash operating items such as depreciation, amortization and share-based compensation and changes in operating assets and liabilities, which reflect timing differences between the receipt and payment of cash associated with transactions and when they are recognized in our results of operations.</w:t>
      </w:r>
    </w:p>
    <w:p>
      <w:pPr>
        <w:spacing w:after="0" w:line="112"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Cash flows provided by operating activities for the six months ended June 30, 2025 primarily consisted of $109.6 million of net income, adjusted for non-cash items, including $47.8 million of share-based compensation, $15.2 million of depreciation and amortization and changes of $74.1 million in working capital.</w:t>
      </w:r>
    </w:p>
    <w:p>
      <w:pPr>
        <w:spacing w:after="0" w:line="108"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Cash flows provided by operating activities for the six months ended June 30, 2024 primarily consisted of $128.2 million of net income, adjusted for non-cash items, including $53.4 million of share-based compensation, $14.7 million of depreciation and amortization, $21.7 million of deferred income taxes and a gain of $1.5 million on the sale of the Athlone Facility, partially offset by changes of $51.5 million in working capital.</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60"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Cash flows used in investing activities for the six months ended June 30, 2025 were primarily due to the purchase of $23.1 million of property, plant and equipment, partially offset by $1.3 million in net sales of investments. Cash flows provided by investing activities for the six months ended June 30, 2024 were primarily due to proceeds of approximately $97.9 million related to the sale of the Athlone Facility, which included a payment of approximately $91.0 million for the facility and certain related assets, partially offset by $71.0 million in net purchase of investments and the purchase of $15.5 million of property, plant and equipment.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46"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Cash flows provided by financing activities for the six months ended June 30, 2025 were due to $31.6 million of cash that we received upon exercises of employee stock options, offset by $30.4 million of employee taxes paid related to the net share settlement of equity awards. Cash flows used in financing activities for the six months ended June 30, 2024 primarily related to $84.7 million used to repurchase our ordinary shares under the Repurchase Program and $29.0 million of employee taxes paid related to the net share settlement of equity awards, partially offset by $13.8 million of cash that we received upon exercises of employee stock options.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Estimates</w:t>
      </w:r>
    </w:p>
    <w:p>
      <w:pPr>
        <w:spacing w:after="0" w:line="160"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our financial statements, and the reported amounts of revenues and expenses during the reporting period. Actual results may differ from these estimates under different conditions or using different assumptions.</w:t>
      </w:r>
    </w:p>
    <w:p>
      <w:pPr>
        <w:spacing w:after="0" w:line="180"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See the “Critical Accounting Estimates” section in “Part II, Item 7—Management’s Discussion and Analysis of Financial Condition and Results of Operations” in our Annual Report for a discussion of our critical accounting estimates.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New Accounting Standards</w:t>
      </w:r>
    </w:p>
    <w:p>
      <w:pPr>
        <w:spacing w:after="0" w:line="225" w:lineRule="exact"/>
        <w:rPr>
          <w:sz w:val="20"/>
          <w:szCs w:val="20"/>
          <w:color w:val="auto"/>
        </w:rPr>
      </w:pPr>
    </w:p>
    <w:p>
      <w:pPr>
        <w:ind w:right="100" w:firstLine="374"/>
        <w:spacing w:after="0" w:line="284" w:lineRule="auto"/>
        <w:rPr>
          <w:sz w:val="20"/>
          <w:szCs w:val="20"/>
          <w:color w:val="auto"/>
        </w:rPr>
      </w:pPr>
      <w:r>
        <w:rPr>
          <w:rFonts w:ascii="Times New Roman" w:cs="Times New Roman" w:eastAsia="Times New Roman" w:hAnsi="Times New Roman"/>
          <w:sz w:val="18"/>
          <w:szCs w:val="18"/>
          <w:color w:val="auto"/>
        </w:rPr>
        <w:t xml:space="preserve">See the “New Accounting Pronouncements” section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Condensed Consolidated Financial Statements” in this Form 10-Q for discussion of certain recent accounting standards applicable to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89" w:lineRule="exact"/>
        <w:rPr>
          <w:sz w:val="20"/>
          <w:szCs w:val="20"/>
          <w:color w:val="auto"/>
        </w:rPr>
      </w:pPr>
    </w:p>
    <w:p>
      <w:pPr>
        <w:ind w:right="180" w:firstLine="374"/>
        <w:spacing w:after="0" w:line="256" w:lineRule="auto"/>
        <w:rPr>
          <w:sz w:val="20"/>
          <w:szCs w:val="20"/>
          <w:color w:val="auto"/>
        </w:rPr>
      </w:pPr>
      <w:r>
        <w:rPr>
          <w:rFonts w:ascii="Times New Roman" w:cs="Times New Roman" w:eastAsia="Times New Roman" w:hAnsi="Times New Roman"/>
          <w:sz w:val="18"/>
          <w:szCs w:val="18"/>
          <w:color w:val="auto"/>
        </w:rPr>
        <w:t>Market risks related to our investment portfolio, and the ways we manage such risks, are summarized in “Part II, Item 7A—Quantitative and Qualitative Disclosures About Market Risk” in our Annual Report. We regularly review our marketable securities holdings and shift our investment holdings to those that best meet our investment objectives, which are to preserve capital, provide sufficient liquidity to satisfy operating requirements and generate investment income. Apart from such adjustments to our investment portfolio, there have been no material changes to our market risks since December 31, 2024, and we do not anticipate any near-term changes in the nature of our market risk exposures or in our management’s objectives and strategies with respect to managing such exposures.</w:t>
      </w:r>
    </w:p>
    <w:p>
      <w:pPr>
        <w:spacing w:after="0" w:line="147"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We are exposed to non-U.S. currency exchange risk related primarily to royalty revenues that we receive on certain of our products, partially offset by certain operating costs arising from expenses and payables in connection with our Irish operations that are settled predominantly in euro. These non-U.S. currency exchange rate risks are summarized in “Part II, Item 7A—Quantitative and Qualitative Disclosures About Market Risk” in our Annual Report. There has been no material change in our assessment of our sensitivity to non-U.S. currency exchange rate risk since December 31,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Evaluation of Disclosure Controls and Procedures</w:t>
      </w:r>
    </w:p>
    <w:p>
      <w:pPr>
        <w:spacing w:after="0" w:line="187"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Our management has evaluated, with the participation of our principal executive officer and interim principal financial officer, the effectiveness of our disclosure controls and procedures (as defined in Rules 13a-15(e) and 15d-15(e) under the Exchange Act) as of June 30, 2025. Based upon that evaluation, our principal executive officer and interim principal financial officer each concluded that, as of the end of the period covered by this report, our disclosure controls and procedures were effective to provide reasonable assurance that (a) the information required to be disclosed by us in the reports that we file or submit under the Exchange Act is recorded, processed, summarized and reported within the time periods specified in the SEC’s rules and forms, and (b) such information is accumulated and communicated to our management, including our principal executive officer and interim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Change in Internal Control Over Financial Reporting</w:t>
      </w:r>
    </w:p>
    <w:p>
      <w:pPr>
        <w:spacing w:after="0" w:line="187"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there have been no changes in our internal control over financial reporting that have materially affected, or are reasonably likely to materially affect, our internal control over financial reporting.</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46" w:lineRule="exact"/>
        <w:rPr>
          <w:sz w:val="20"/>
          <w:szCs w:val="20"/>
          <w:color w:val="auto"/>
        </w:rPr>
      </w:pPr>
    </w:p>
    <w:p>
      <w:pPr>
        <w:ind w:right="520" w:firstLine="374"/>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legal proceedings, see the discussion of legal proceedings in Note 16,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Condensed Consolidated Financial Statements” in this Form 10-Q, which discussion is incorporated into this Part II, Item 1 by reference.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below risk factor should be read in conjunction with the risk factors disclosed in “Part I, Item 1A—Risk Factors” of our Annual Report.</w:t>
      </w:r>
    </w:p>
    <w:p>
      <w:pPr>
        <w:spacing w:after="0" w:line="19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b w:val="1"/>
          <w:bCs w:val="1"/>
          <w:i w:val="1"/>
          <w:iCs w:val="1"/>
          <w:color w:val="auto"/>
        </w:rPr>
        <w:t>hanges in global trade or other policies, including tariffs or other restrictions imposed by the U.S. government or governments of other nations, could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have an adverse effect on our business, results of operations, or financial condition.</w:t>
      </w:r>
    </w:p>
    <w:p>
      <w:pPr>
        <w:spacing w:after="0" w:line="78"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As a global biopharmaceutical company, changes in and uncertainties from global trade or other policies, including tariffs or other restrictions imposed by the U.S. government or governments of other nations, may have an adverse effect on us. For example, in April 2025, the U.S. government announced the imposition of a baseline 10% tariff on imports from virtually all countries and additional customized tariffs on certain imports (including country-specific and product-specific tariffs), following its imposition of a 25% tariff on certain imports from Mexico and Canada earlier in 2025. In response, certain countries have imposed, or announced intentions to impose, tariffs on U.S. imports. Although some of these tariffs are temporarily paused, their impact has already been seen, and we expect will continue to be seen, in global markets. Our proprietary products are manufactured at our manufacturing facility in the U.S. and are sold exclusively in the U.S.; however, certain materials in our supply chain are sourced internationally and certain of the third-party products from which we derive revenue are manufactured outside the U.S. Our related costs, revenues and/or profits may be impacted to varying degrees by recent or future changes in global trade or other policies. In addition, the recent changes, tensions and uncertainties related to global trade policies have caused, and may continue to cause, significant volatility in global markets, including the market for our ordinary shares. The price of our ordinary shares has fluctuated significantly, and may continue to fluctuate, as a result of these and similar developments. The U.S. government has also indicated that it may impose a supplemental tariff on all pharmaceutical imports or take additional actions in respect of pharmaceutical companies incorporated outside of the U.S., which has caused, and may continue to cause, uncertainty as to the extent of the impacts of changes in global trade on the pharmaceutical industry as a whole and on our business. Additional changes to the policies of the U.S. or other nations that affect the geopolitical landscape or global trade, economic or market conditions, and other direct or indirect impacts of such policies, are uncertain and unpredictable, and could, in the future, have a material adverse effect on our business, results of operations, or financial condition and the market price of our ordinary shares.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purchases of our ordinary shares made by or on behalf of us or any of our affiliated purchasers, as defined in Rule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10b-18(a)(3) under the Exchange Act, during the three months ended June 30, 2025:</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vMerge w:val="restart"/>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jc w:val="center"/>
              <w:ind w:left="72"/>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jc w:val="center"/>
              <w:ind w:right="164"/>
              <w:spacing w:after="0" w:line="149" w:lineRule="exact"/>
              <w:rPr>
                <w:sz w:val="20"/>
                <w:szCs w:val="20"/>
                <w:color w:val="auto"/>
              </w:rPr>
            </w:pPr>
            <w:r>
              <w:rPr>
                <w:rFonts w:ascii="Times New Roman" w:cs="Times New Roman" w:eastAsia="Times New Roman" w:hAnsi="Times New Roman"/>
                <w:sz w:val="14"/>
                <w:szCs w:val="14"/>
                <w:b w:val="1"/>
                <w:bCs w:val="1"/>
                <w:color w:val="auto"/>
              </w:rPr>
              <w:t>Value (in millions) of</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2"/>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00" w:type="dxa"/>
            <w:vAlign w:val="bottom"/>
          </w:tcPr>
          <w:p>
            <w:pPr>
              <w:spacing w:after="0"/>
              <w:rPr>
                <w:sz w:val="12"/>
                <w:szCs w:val="12"/>
                <w:color w:val="auto"/>
              </w:rPr>
            </w:pPr>
          </w:p>
        </w:tc>
        <w:tc>
          <w:tcPr>
            <w:tcW w:w="1420" w:type="dxa"/>
            <w:vAlign w:val="bottom"/>
          </w:tcPr>
          <w:p>
            <w:pPr>
              <w:jc w:val="center"/>
              <w:ind w:left="72"/>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jc w:val="center"/>
              <w:ind w:right="164"/>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 that</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jc w:val="center"/>
              <w:ind w:right="109"/>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2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jc w:val="center"/>
              <w:ind w:left="72"/>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2"/>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3440" w:type="dxa"/>
            <w:vAlign w:val="bottom"/>
            <w:gridSpan w:val="2"/>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2"/>
                <w:szCs w:val="12"/>
                <w:color w:val="auto"/>
              </w:rPr>
            </w:pPr>
          </w:p>
        </w:tc>
        <w:tc>
          <w:tcPr>
            <w:tcW w:w="1740" w:type="dxa"/>
            <w:vAlign w:val="bottom"/>
          </w:tcPr>
          <w:p>
            <w:pPr>
              <w:jc w:val="center"/>
              <w:ind w:right="69"/>
              <w:spacing w:after="0" w:line="146"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236"/>
              <w:spacing w:after="0" w:line="146" w:lineRule="exact"/>
              <w:rPr>
                <w:sz w:val="20"/>
                <w:szCs w:val="20"/>
                <w:color w:val="auto"/>
              </w:rPr>
            </w:pPr>
            <w:r>
              <w:rPr>
                <w:rFonts w:ascii="Times New Roman" w:cs="Times New Roman" w:eastAsia="Times New Roman" w:hAnsi="Times New Roman"/>
                <w:sz w:val="14"/>
                <w:szCs w:val="14"/>
                <w:b w:val="1"/>
                <w:bCs w:val="1"/>
                <w:color w:val="auto"/>
              </w:rPr>
              <w:t>Ordinary Share</w:t>
            </w:r>
          </w:p>
        </w:tc>
        <w:tc>
          <w:tcPr>
            <w:tcW w:w="200" w:type="dxa"/>
            <w:vAlign w:val="bottom"/>
          </w:tcPr>
          <w:p>
            <w:pPr>
              <w:spacing w:after="0"/>
              <w:rPr>
                <w:sz w:val="12"/>
                <w:szCs w:val="12"/>
                <w:color w:val="auto"/>
              </w:rPr>
            </w:pPr>
          </w:p>
        </w:tc>
        <w:tc>
          <w:tcPr>
            <w:tcW w:w="1420" w:type="dxa"/>
            <w:vAlign w:val="bottom"/>
          </w:tcPr>
          <w:p>
            <w:pPr>
              <w:jc w:val="center"/>
              <w:ind w:left="112"/>
              <w:spacing w:after="0" w:line="146" w:lineRule="exact"/>
              <w:rPr>
                <w:sz w:val="20"/>
                <w:szCs w:val="20"/>
                <w:color w:val="auto"/>
              </w:rPr>
            </w:pPr>
            <w:r>
              <w:rPr>
                <w:rFonts w:ascii="Times New Roman" w:cs="Times New Roman" w:eastAsia="Times New Roman" w:hAnsi="Times New Roman"/>
                <w:sz w:val="14"/>
                <w:szCs w:val="14"/>
                <w:b w:val="1"/>
                <w:bCs w:val="1"/>
                <w:color w:val="auto"/>
              </w:rPr>
              <w:t>Program</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jc w:val="center"/>
              <w:ind w:right="164"/>
              <w:spacing w:after="0" w:line="146" w:lineRule="exact"/>
              <w:rPr>
                <w:sz w:val="20"/>
                <w:szCs w:val="20"/>
                <w:color w:val="auto"/>
              </w:rPr>
            </w:pPr>
            <w:r>
              <w:rPr>
                <w:rFonts w:ascii="Times New Roman" w:cs="Times New Roman" w:eastAsia="Times New Roman" w:hAnsi="Times New Roman"/>
                <w:sz w:val="14"/>
                <w:szCs w:val="14"/>
                <w:b w:val="1"/>
                <w:bCs w:val="1"/>
                <w:color w:val="auto"/>
              </w:rPr>
              <w:t>Under the Program</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44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Borders>
              <w:bottom w:val="single" w:sz="8" w:color="auto"/>
            </w:tcBorders>
          </w:tcPr>
          <w:p>
            <w:pPr>
              <w:jc w:val="center"/>
              <w:ind w:right="69"/>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(a)</w:t>
            </w:r>
            <w:r>
              <w:rPr>
                <w:rFonts w:ascii="Times New Roman" w:cs="Times New Roman" w:eastAsia="Times New Roman" w:hAnsi="Times New Roman"/>
                <w:sz w:val="10"/>
                <w:szCs w:val="10"/>
                <w:b w:val="1"/>
                <w:bCs w:val="1"/>
                <w:color w:val="auto"/>
              </w:rPr>
              <w:t>(1)</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(b)</w:t>
            </w:r>
          </w:p>
        </w:tc>
        <w:tc>
          <w:tcPr>
            <w:tcW w:w="200" w:type="dxa"/>
            <w:vAlign w:val="bottom"/>
          </w:tcPr>
          <w:p>
            <w:pPr>
              <w:spacing w:after="0"/>
              <w:rPr>
                <w:sz w:val="15"/>
                <w:szCs w:val="15"/>
                <w:color w:val="auto"/>
              </w:rPr>
            </w:pPr>
          </w:p>
        </w:tc>
        <w:tc>
          <w:tcPr>
            <w:tcW w:w="1420" w:type="dxa"/>
            <w:vAlign w:val="bottom"/>
            <w:tcBorders>
              <w:bottom w:val="single" w:sz="8" w:color="auto"/>
            </w:tcBorders>
          </w:tcPr>
          <w:p>
            <w:pPr>
              <w:jc w:val="center"/>
              <w:ind w:left="132"/>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(c)</w:t>
            </w:r>
            <w:r>
              <w:rPr>
                <w:rFonts w:ascii="Times New Roman" w:cs="Times New Roman" w:eastAsia="Times New Roman" w:hAnsi="Times New Roman"/>
                <w:sz w:val="10"/>
                <w:szCs w:val="10"/>
                <w:b w:val="1"/>
                <w:bCs w:val="1"/>
                <w:color w:val="auto"/>
              </w:rPr>
              <w:t>(2)</w:t>
            </w:r>
          </w:p>
        </w:tc>
        <w:tc>
          <w:tcPr>
            <w:tcW w:w="3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24"/>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(d)</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2025 – April 30, 2025</w:t>
            </w:r>
          </w:p>
        </w:tc>
        <w:tc>
          <w:tcPr>
            <w:tcW w:w="1840" w:type="dxa"/>
            <w:vAlign w:val="bottom"/>
            <w:gridSpan w:val="2"/>
            <w:shd w:val="clear" w:color="auto" w:fill="CFF0FC"/>
          </w:tcPr>
          <w:p>
            <w:pPr>
              <w:jc w:val="right"/>
              <w:ind w:right="69"/>
              <w:spacing w:after="0"/>
              <w:rPr>
                <w:sz w:val="20"/>
                <w:szCs w:val="20"/>
                <w:color w:val="auto"/>
              </w:rPr>
            </w:pPr>
            <w:r>
              <w:rPr>
                <w:rFonts w:ascii="Times New Roman" w:cs="Times New Roman" w:eastAsia="Times New Roman" w:hAnsi="Times New Roman"/>
                <w:sz w:val="18"/>
                <w:szCs w:val="18"/>
                <w:color w:val="auto"/>
              </w:rPr>
              <w:t>21,598</w:t>
            </w:r>
          </w:p>
        </w:tc>
        <w:tc>
          <w:tcPr>
            <w:tcW w:w="44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28.12</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 2025 – May 31, 2025</w:t>
            </w:r>
          </w:p>
        </w:tc>
        <w:tc>
          <w:tcPr>
            <w:tcW w:w="1840" w:type="dxa"/>
            <w:vAlign w:val="bottom"/>
            <w:gridSpan w:val="2"/>
          </w:tcPr>
          <w:p>
            <w:pPr>
              <w:jc w:val="right"/>
              <w:ind w:right="69"/>
              <w:spacing w:after="0"/>
              <w:rPr>
                <w:sz w:val="20"/>
                <w:szCs w:val="20"/>
                <w:color w:val="auto"/>
              </w:rPr>
            </w:pPr>
            <w:r>
              <w:rPr>
                <w:rFonts w:ascii="Times New Roman" w:cs="Times New Roman" w:eastAsia="Times New Roman" w:hAnsi="Times New Roman"/>
                <w:sz w:val="18"/>
                <w:szCs w:val="18"/>
                <w:color w:val="auto"/>
              </w:rPr>
              <w:t>30,590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30.59</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1, 2025 – June 30, 2025</w:t>
            </w:r>
          </w:p>
        </w:tc>
        <w:tc>
          <w:tcPr>
            <w:tcW w:w="1840" w:type="dxa"/>
            <w:vAlign w:val="bottom"/>
            <w:gridSpan w:val="2"/>
            <w:shd w:val="clear" w:color="auto" w:fill="CFF0FC"/>
          </w:tcPr>
          <w:p>
            <w:pPr>
              <w:jc w:val="right"/>
              <w:ind w:right="69"/>
              <w:spacing w:after="0"/>
              <w:rPr>
                <w:sz w:val="20"/>
                <w:szCs w:val="20"/>
                <w:color w:val="auto"/>
              </w:rPr>
            </w:pPr>
            <w:r>
              <w:rPr>
                <w:rFonts w:ascii="Times New Roman" w:cs="Times New Roman" w:eastAsia="Times New Roman" w:hAnsi="Times New Roman"/>
                <w:sz w:val="18"/>
                <w:szCs w:val="18"/>
                <w:color w:val="auto"/>
              </w:rPr>
              <w:t>4,269</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31.52</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Totals</w:t>
            </w:r>
          </w:p>
        </w:tc>
        <w:tc>
          <w:tcPr>
            <w:tcW w:w="100" w:type="dxa"/>
            <w:vAlign w:val="bottom"/>
          </w:tcPr>
          <w:p>
            <w:pPr>
              <w:spacing w:after="0"/>
              <w:rPr>
                <w:sz w:val="18"/>
                <w:szCs w:val="18"/>
                <w:color w:val="auto"/>
              </w:rPr>
            </w:pPr>
          </w:p>
        </w:tc>
        <w:tc>
          <w:tcPr>
            <w:tcW w:w="17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8"/>
                <w:szCs w:val="18"/>
                <w:color w:val="auto"/>
              </w:rPr>
              <w:t>56,457</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29.72</w:t>
            </w:r>
          </w:p>
        </w:tc>
        <w:tc>
          <w:tcPr>
            <w:tcW w:w="200" w:type="dxa"/>
            <w:vAlign w:val="bottom"/>
          </w:tcPr>
          <w:p>
            <w:pPr>
              <w:spacing w:after="0"/>
              <w:rPr>
                <w:sz w:val="18"/>
                <w:szCs w:val="18"/>
                <w:color w:val="auto"/>
              </w:rPr>
            </w:pPr>
          </w:p>
        </w:tc>
        <w:tc>
          <w:tcPr>
            <w:tcW w:w="14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520" w:hanging="377"/>
        <w:spacing w:after="0"/>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ordinary shares acquired during the three months ended June 30, 2025 to satisfy tax withholding obligations related to the vesting of equity awards.</w:t>
      </w:r>
    </w:p>
    <w:p>
      <w:pPr>
        <w:spacing w:after="0" w:line="126" w:lineRule="exact"/>
        <w:rPr>
          <w:rFonts w:ascii="Times New Roman" w:cs="Times New Roman" w:eastAsia="Times New Roman" w:hAnsi="Times New Roman"/>
          <w:sz w:val="16"/>
          <w:szCs w:val="16"/>
          <w:color w:val="auto"/>
        </w:rPr>
      </w:pPr>
    </w:p>
    <w:p>
      <w:pPr>
        <w:ind w:left="520" w:right="40" w:hanging="377"/>
        <w:spacing w:after="0" w:line="272" w:lineRule="auto"/>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February 2024, we announced approval by our board of directors of the Repurchase Program, which authorized the repurchase of our ordinary shares in an aggregate amount of up to $400.0 million (exclusive of any fees, commissions or other expenses related to such repurchases) from time to time. The specific timing and amounts of repurchases under the Repurchase Program will depend on a variety of factors, including but not limited to ongoing assessments of our needs, alternative investment opportunities, the market price of our ordinary shares and general market conditions. The Repurchase Program has no set expiration date and may be suspended or discontinued at any time.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89"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2025, the following contracts, instructions or written plans for the purchase or sale of the Company’s securities that are or were intended to satisfy the affirmative defense conditions of Rule 10b5-1(c) under the Exchange Act (each, a “Rule 10b5-1 plan”) were adopted by the officers (as defined in Rule 16a-1(f) under the Exchange Act) and directors of the Company: on June 13, 2025, Nancy Lurker, a director, adopted a Rule 10b5-1 plan providing for the sale of up to 2,000 ordinary shares of the Company; this plan is scheduled to expire on December 11, 2025. During the three months ended June 30, 2025, no other directors or officers of the Company adopted, modified or terminated a Rule 10b5-1 plan or a trading plan not intended to satisfy the affirmative defense conditions of Rule 10b5-1(c) under the Exchange Act.</w:t>
      </w: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0"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exhibits are filed or furnished as part of this Form 10-Q:</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94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gridSpan w:val="4"/>
          </w:tcPr>
          <w:p>
            <w:pPr>
              <w:ind w:left="12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1360" w:type="dxa"/>
            <w:vAlign w:val="bottom"/>
            <w:tcBorders>
              <w:bottom w:val="single" w:sz="8" w:color="CFF0FC"/>
            </w:tcBorders>
            <w:shd w:val="clear" w:color="auto" w:fill="CFF0FC"/>
          </w:tcPr>
          <w:p>
            <w:pPr>
              <w:ind w:left="100"/>
              <w:spacing w:after="0" w:line="169" w:lineRule="exact"/>
              <w:rPr>
                <w:sz w:val="20"/>
                <w:szCs w:val="20"/>
                <w:color w:val="auto"/>
              </w:rPr>
            </w:pPr>
            <w:r>
              <w:rPr>
                <w:rFonts w:ascii="Times New Roman" w:cs="Times New Roman" w:eastAsia="Times New Roman" w:hAnsi="Times New Roman"/>
                <w:sz w:val="18"/>
                <w:szCs w:val="18"/>
                <w:color w:val="auto"/>
              </w:rPr>
              <w:t>10.1 †</w:t>
            </w:r>
          </w:p>
        </w:tc>
        <w:tc>
          <w:tcPr>
            <w:tcW w:w="100" w:type="dxa"/>
            <w:vAlign w:val="bottom"/>
            <w:tcBorders>
              <w:bottom w:val="single" w:sz="8" w:color="CFF0FC"/>
            </w:tcBorders>
            <w:shd w:val="clear" w:color="auto" w:fill="CFF0FC"/>
          </w:tcPr>
          <w:p>
            <w:pPr>
              <w:spacing w:after="0"/>
              <w:rPr>
                <w:sz w:val="14"/>
                <w:szCs w:val="14"/>
                <w:color w:val="auto"/>
              </w:rPr>
            </w:pPr>
          </w:p>
        </w:tc>
        <w:tc>
          <w:tcPr>
            <w:tcW w:w="9480" w:type="dxa"/>
            <w:vAlign w:val="bottom"/>
            <w:tcBorders>
              <w:bottom w:val="single" w:sz="8" w:color="0000FF"/>
            </w:tcBorders>
            <w:gridSpan w:val="5"/>
            <w:shd w:val="clear" w:color="auto" w:fill="CFF0FC"/>
          </w:tcPr>
          <w:p>
            <w:pPr>
              <w:spacing w:after="0" w:line="169" w:lineRule="exact"/>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Alkermes plc 2018 Stock Option and Incentive Plan, as amended (incorporated by reference from Exhibit 10.1 to the Alkermes plc</w:t>
              </w:r>
            </w:hyperlink>
          </w:p>
        </w:tc>
        <w:tc>
          <w:tcPr>
            <w:tcW w:w="300" w:type="dxa"/>
            <w:vAlign w:val="bottom"/>
            <w:tcBorders>
              <w:bottom w:val="single" w:sz="8" w:color="CFF0FC"/>
            </w:tcBorders>
            <w:shd w:val="clear" w:color="auto" w:fill="CFF0FC"/>
          </w:tcPr>
          <w:p>
            <w:pPr>
              <w:spacing w:after="0"/>
              <w:rPr>
                <w:sz w:val="14"/>
                <w:szCs w:val="14"/>
                <w:color w:val="auto"/>
              </w:rPr>
            </w:pPr>
          </w:p>
        </w:tc>
      </w:tr>
      <w:tr>
        <w:trPr>
          <w:trHeight w:val="196"/>
        </w:trPr>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780" w:type="dxa"/>
            <w:vAlign w:val="bottom"/>
            <w:gridSpan w:val="6"/>
            <w:shd w:val="clear" w:color="auto" w:fill="CFF0FC"/>
          </w:tcPr>
          <w:p>
            <w:pPr>
              <w:spacing w:after="0" w:line="196" w:lineRule="exact"/>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Current Report on Form 8-K (File No. 001-35299) filed on May 21, 2025.</w:t>
              </w:r>
            </w:hyperlink>
          </w:p>
        </w:tc>
      </w:tr>
      <w:tr>
        <w:trPr>
          <w:trHeight w:val="196"/>
        </w:trPr>
        <w:tc>
          <w:tcPr>
            <w:tcW w:w="1360" w:type="dxa"/>
            <w:vAlign w:val="bottom"/>
            <w:tcBorders>
              <w:top w:val="single" w:sz="8" w:color="CFF0FC"/>
            </w:tcBorders>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31.1 #</w:t>
            </w:r>
          </w:p>
        </w:tc>
        <w:tc>
          <w:tcPr>
            <w:tcW w:w="100" w:type="dxa"/>
            <w:vAlign w:val="bottom"/>
            <w:tcBorders>
              <w:top w:val="single" w:sz="8" w:color="CFF0FC"/>
            </w:tcBorders>
            <w:shd w:val="clear" w:color="auto" w:fill="CFF0FC"/>
          </w:tcPr>
          <w:p>
            <w:pPr>
              <w:spacing w:after="0"/>
              <w:rPr>
                <w:sz w:val="17"/>
                <w:szCs w:val="17"/>
                <w:color w:val="auto"/>
              </w:rPr>
            </w:pPr>
          </w:p>
        </w:tc>
        <w:tc>
          <w:tcPr>
            <w:tcW w:w="5340" w:type="dxa"/>
            <w:vAlign w:val="bottom"/>
            <w:tcBorders>
              <w:top w:val="single" w:sz="8" w:color="0000FF"/>
            </w:tcBorders>
            <w:gridSpan w:val="3"/>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0000FF"/>
              </w:rPr>
              <w:t>Rule 13a-14(a)/15d-14(a) Certification.</w:t>
            </w:r>
          </w:p>
        </w:tc>
        <w:tc>
          <w:tcPr>
            <w:tcW w:w="4440" w:type="dxa"/>
            <w:vAlign w:val="bottom"/>
            <w:tcBorders>
              <w:top w:val="single" w:sz="8" w:color="CFF0FC"/>
            </w:tcBorders>
            <w:gridSpan w:val="3"/>
            <w:shd w:val="clear" w:color="auto" w:fill="CFF0FC"/>
          </w:tcPr>
          <w:p>
            <w:pPr>
              <w:spacing w:after="0"/>
              <w:rPr>
                <w:sz w:val="17"/>
                <w:szCs w:val="17"/>
                <w:color w:val="auto"/>
              </w:rPr>
            </w:pPr>
          </w:p>
        </w:tc>
      </w:tr>
      <w:tr>
        <w:trPr>
          <w:trHeight w:val="21"/>
        </w:trPr>
        <w:tc>
          <w:tcPr>
            <w:tcW w:w="1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0000FF"/>
            </w:tcBorders>
            <w:shd w:val="clear" w:color="auto" w:fill="CFF0FC"/>
          </w:tcPr>
          <w:p>
            <w:pPr>
              <w:spacing w:after="0" w:line="20" w:lineRule="exact"/>
              <w:rPr>
                <w:sz w:val="1"/>
                <w:szCs w:val="1"/>
                <w:color w:val="auto"/>
              </w:rPr>
            </w:pPr>
          </w:p>
        </w:tc>
        <w:tc>
          <w:tcPr>
            <w:tcW w:w="2420" w:type="dxa"/>
            <w:vAlign w:val="bottom"/>
            <w:tcBorders>
              <w:top w:val="single" w:sz="8" w:color="0000FF"/>
            </w:tcBorders>
            <w:shd w:val="clear" w:color="auto" w:fill="CFF0FC"/>
          </w:tcPr>
          <w:p>
            <w:pPr>
              <w:spacing w:after="0" w:line="20" w:lineRule="exact"/>
              <w:rPr>
                <w:sz w:val="1"/>
                <w:szCs w:val="1"/>
                <w:color w:val="auto"/>
              </w:rPr>
            </w:pPr>
          </w:p>
        </w:tc>
        <w:tc>
          <w:tcPr>
            <w:tcW w:w="2500" w:type="dxa"/>
            <w:vAlign w:val="bottom"/>
            <w:tcBorders>
              <w:top w:val="single" w:sz="8" w:color="CFF0FC"/>
            </w:tcBorders>
            <w:shd w:val="clear" w:color="auto" w:fill="CFF0FC"/>
          </w:tcPr>
          <w:p>
            <w:pPr>
              <w:spacing w:after="0" w:line="20" w:lineRule="exact"/>
              <w:rPr>
                <w:sz w:val="1"/>
                <w:szCs w:val="1"/>
                <w:color w:val="auto"/>
              </w:rPr>
            </w:pPr>
          </w:p>
        </w:tc>
        <w:tc>
          <w:tcPr>
            <w:tcW w:w="33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136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31.2 #</w:t>
            </w:r>
          </w:p>
        </w:tc>
        <w:tc>
          <w:tcPr>
            <w:tcW w:w="100" w:type="dxa"/>
            <w:vAlign w:val="bottom"/>
          </w:tcPr>
          <w:p>
            <w:pPr>
              <w:spacing w:after="0"/>
              <w:rPr>
                <w:sz w:val="15"/>
                <w:szCs w:val="15"/>
                <w:color w:val="auto"/>
              </w:rPr>
            </w:pPr>
          </w:p>
        </w:tc>
        <w:tc>
          <w:tcPr>
            <w:tcW w:w="97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FF"/>
              </w:rPr>
              <w:t>Rule 13a-14(a)/15d-14(a) Certification.</w:t>
            </w: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20" w:type="dxa"/>
            <w:vAlign w:val="bottom"/>
            <w:tcBorders>
              <w:top w:val="single" w:sz="8" w:color="0000FF"/>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360" w:type="dxa"/>
            <w:vAlign w:val="bottom"/>
            <w:tcBorders>
              <w:bottom w:val="single" w:sz="8" w:color="CFF0FC"/>
            </w:tcBorders>
            <w:shd w:val="clear" w:color="auto" w:fill="CFF0FC"/>
          </w:tcPr>
          <w:p>
            <w:pPr>
              <w:ind w:left="100"/>
              <w:spacing w:after="0" w:line="176" w:lineRule="exact"/>
              <w:rPr>
                <w:sz w:val="20"/>
                <w:szCs w:val="20"/>
                <w:color w:val="auto"/>
              </w:rPr>
            </w:pPr>
            <w:r>
              <w:rPr>
                <w:rFonts w:ascii="Times New Roman" w:cs="Times New Roman" w:eastAsia="Times New Roman" w:hAnsi="Times New Roman"/>
                <w:sz w:val="18"/>
                <w:szCs w:val="18"/>
                <w:color w:val="auto"/>
              </w:rPr>
              <w:t>32.1 ‡</w:t>
            </w:r>
          </w:p>
        </w:tc>
        <w:tc>
          <w:tcPr>
            <w:tcW w:w="100" w:type="dxa"/>
            <w:vAlign w:val="bottom"/>
            <w:tcBorders>
              <w:bottom w:val="single" w:sz="8" w:color="CFF0FC"/>
            </w:tcBorders>
            <w:shd w:val="clear" w:color="auto" w:fill="CFF0FC"/>
          </w:tcPr>
          <w:p>
            <w:pPr>
              <w:spacing w:after="0"/>
              <w:rPr>
                <w:sz w:val="17"/>
                <w:szCs w:val="17"/>
                <w:color w:val="auto"/>
              </w:rPr>
            </w:pPr>
          </w:p>
        </w:tc>
        <w:tc>
          <w:tcPr>
            <w:tcW w:w="8720" w:type="dxa"/>
            <w:vAlign w:val="bottom"/>
            <w:tcBorders>
              <w:bottom w:val="single" w:sz="8" w:color="0000FF"/>
            </w:tcBorders>
            <w:gridSpan w:val="4"/>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Sarbanes-Oxley Act of 2002.</w:t>
            </w:r>
          </w:p>
        </w:tc>
        <w:tc>
          <w:tcPr>
            <w:tcW w:w="1060" w:type="dxa"/>
            <w:vAlign w:val="bottom"/>
            <w:tcBorders>
              <w:bottom w:val="single" w:sz="8" w:color="CFF0FC"/>
            </w:tcBorders>
            <w:gridSpan w:val="2"/>
            <w:shd w:val="clear" w:color="auto" w:fill="CFF0FC"/>
          </w:tcPr>
          <w:p>
            <w:pPr>
              <w:spacing w:after="0"/>
              <w:rPr>
                <w:sz w:val="17"/>
                <w:szCs w:val="17"/>
                <w:color w:val="auto"/>
              </w:rPr>
            </w:pPr>
          </w:p>
        </w:tc>
      </w:tr>
      <w:tr>
        <w:trPr>
          <w:trHeight w:val="21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101.SCH #</w:t>
            </w:r>
          </w:p>
        </w:tc>
        <w:tc>
          <w:tcPr>
            <w:tcW w:w="100" w:type="dxa"/>
            <w:vAlign w:val="bottom"/>
          </w:tcPr>
          <w:p>
            <w:pPr>
              <w:spacing w:after="0"/>
              <w:rPr>
                <w:sz w:val="18"/>
                <w:szCs w:val="18"/>
                <w:color w:val="auto"/>
              </w:rPr>
            </w:pPr>
          </w:p>
        </w:tc>
        <w:tc>
          <w:tcPr>
            <w:tcW w:w="9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 with Embedded Linkbase Documents.</w:t>
            </w:r>
          </w:p>
        </w:tc>
      </w:tr>
      <w:tr>
        <w:trPr>
          <w:trHeight w:val="198"/>
        </w:trPr>
        <w:tc>
          <w:tcPr>
            <w:tcW w:w="136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104 #</w:t>
            </w:r>
          </w:p>
        </w:tc>
        <w:tc>
          <w:tcPr>
            <w:tcW w:w="100" w:type="dxa"/>
            <w:vAlign w:val="bottom"/>
            <w:shd w:val="clear" w:color="auto" w:fill="CFF0FC"/>
          </w:tcPr>
          <w:p>
            <w:pPr>
              <w:spacing w:after="0"/>
              <w:rPr>
                <w:sz w:val="17"/>
                <w:szCs w:val="17"/>
                <w:color w:val="auto"/>
              </w:rPr>
            </w:pPr>
          </w:p>
        </w:tc>
        <w:tc>
          <w:tcPr>
            <w:tcW w:w="9780" w:type="dxa"/>
            <w:vAlign w:val="bottom"/>
            <w:gridSpan w:val="6"/>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w:t>
            </w:r>
          </w:p>
        </w:tc>
      </w:tr>
      <w:tr>
        <w:trPr>
          <w:trHeight w:val="234"/>
        </w:trPr>
        <w:tc>
          <w:tcPr>
            <w:tcW w:w="1360" w:type="dxa"/>
            <w:vAlign w:val="bottom"/>
            <w:shd w:val="clear" w:color="auto" w:fill="CFF0FC"/>
          </w:tcPr>
          <w:p>
            <w:pPr>
              <w:spacing w:after="0"/>
              <w:rPr>
                <w:sz w:val="20"/>
                <w:szCs w:val="20"/>
                <w:color w:val="auto"/>
              </w:rPr>
            </w:pPr>
          </w:p>
        </w:tc>
        <w:tc>
          <w:tcPr>
            <w:tcW w:w="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2420" w:type="dxa"/>
            <w:vAlign w:val="bottom"/>
            <w:shd w:val="clear" w:color="auto" w:fill="CFF0FC"/>
          </w:tcPr>
          <w:p>
            <w:pPr>
              <w:spacing w:after="0"/>
              <w:rPr>
                <w:sz w:val="20"/>
                <w:szCs w:val="20"/>
                <w:color w:val="auto"/>
              </w:rPr>
            </w:pPr>
          </w:p>
        </w:tc>
        <w:tc>
          <w:tcPr>
            <w:tcW w:w="2500" w:type="dxa"/>
            <w:vAlign w:val="bottom"/>
            <w:shd w:val="clear" w:color="auto" w:fill="CFF0FC"/>
          </w:tcPr>
          <w:p>
            <w:pPr>
              <w:spacing w:after="0"/>
              <w:rPr>
                <w:sz w:val="20"/>
                <w:szCs w:val="20"/>
                <w:color w:val="auto"/>
              </w:rPr>
            </w:pPr>
          </w:p>
        </w:tc>
        <w:tc>
          <w:tcPr>
            <w:tcW w:w="3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r>
      <w:tr>
        <w:trPr>
          <w:trHeight w:val="135"/>
        </w:trPr>
        <w:tc>
          <w:tcPr>
            <w:tcW w:w="1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4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17" w:lineRule="exact"/>
        <w:rPr>
          <w:sz w:val="20"/>
          <w:szCs w:val="20"/>
          <w:color w:val="auto"/>
        </w:rPr>
      </w:pPr>
    </w:p>
    <w:p>
      <w:pPr>
        <w:ind w:left="5540" w:right="4980" w:hanging="5532"/>
        <w:spacing w:after="0" w:line="583" w:lineRule="auto"/>
        <w:tabs>
          <w:tab w:leader="none" w:pos="14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a management contract or any compensatory plan, contract or arrangement.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768985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8" w:name="page39"/>
    <w:bookmarkEnd w:id="38"/>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ALKERMES PLC</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41" w:lineRule="exact"/>
        <w:rPr>
          <w:sz w:val="20"/>
          <w:szCs w:val="20"/>
          <w:color w:val="auto"/>
        </w:rPr>
      </w:pPr>
    </w:p>
    <w:tbl>
      <w:tblPr>
        <w:tblLayout w:type="fixed"/>
        <w:tblInd w:w="338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Richard F. Pops</w:t>
            </w:r>
          </w:p>
        </w:tc>
      </w:tr>
      <w:tr>
        <w:trPr>
          <w:trHeight w:val="191"/>
        </w:trPr>
        <w:tc>
          <w:tcPr>
            <w:tcW w:w="460" w:type="dxa"/>
            <w:vAlign w:val="bottom"/>
          </w:tcPr>
          <w:p>
            <w:pPr>
              <w:spacing w:after="0"/>
              <w:rPr>
                <w:sz w:val="16"/>
                <w:szCs w:val="16"/>
                <w:color w:val="auto"/>
              </w:rPr>
            </w:pPr>
          </w:p>
        </w:tc>
        <w:tc>
          <w:tcPr>
            <w:tcW w:w="53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Richard F. Pops</w:t>
            </w:r>
          </w:p>
        </w:tc>
      </w:tr>
      <w:tr>
        <w:trPr>
          <w:trHeight w:val="216"/>
        </w:trPr>
        <w:tc>
          <w:tcPr>
            <w:tcW w:w="46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460" w:type="dxa"/>
            <w:vAlign w:val="bottom"/>
          </w:tcPr>
          <w:p>
            <w:pPr>
              <w:spacing w:after="0"/>
              <w:rPr>
                <w:sz w:val="20"/>
                <w:szCs w:val="20"/>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Blair C. Jackson</w:t>
            </w:r>
          </w:p>
        </w:tc>
      </w:tr>
      <w:tr>
        <w:trPr>
          <w:trHeight w:val="191"/>
        </w:trPr>
        <w:tc>
          <w:tcPr>
            <w:tcW w:w="460" w:type="dxa"/>
            <w:vAlign w:val="bottom"/>
          </w:tcPr>
          <w:p>
            <w:pPr>
              <w:spacing w:after="0"/>
              <w:rPr>
                <w:sz w:val="16"/>
                <w:szCs w:val="16"/>
                <w:color w:val="auto"/>
              </w:rPr>
            </w:pPr>
          </w:p>
        </w:tc>
        <w:tc>
          <w:tcPr>
            <w:tcW w:w="53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Blair C. Jackson</w:t>
            </w:r>
          </w:p>
        </w:tc>
      </w:tr>
      <w:tr>
        <w:trPr>
          <w:trHeight w:val="216"/>
        </w:trPr>
        <w:tc>
          <w:tcPr>
            <w:tcW w:w="46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tc>
      </w:tr>
      <w:tr>
        <w:trPr>
          <w:trHeight w:val="234"/>
        </w:trPr>
        <w:tc>
          <w:tcPr>
            <w:tcW w:w="460" w:type="dxa"/>
            <w:vAlign w:val="bottom"/>
          </w:tcPr>
          <w:p>
            <w:pPr>
              <w:spacing w:after="0"/>
              <w:rPr>
                <w:sz w:val="20"/>
                <w:szCs w:val="20"/>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(Interim Principal Financial Officer)</w:t>
            </w:r>
          </w:p>
        </w:tc>
      </w:tr>
    </w:tbl>
    <w:p>
      <w:pPr>
        <w:ind w:left="1980"/>
        <w:spacing w:after="0"/>
        <w:rPr>
          <w:sz w:val="20"/>
          <w:szCs w:val="20"/>
          <w:color w:val="auto"/>
        </w:rPr>
      </w:pPr>
      <w:r>
        <w:rPr>
          <w:rFonts w:ascii="Times New Roman" w:cs="Times New Roman" w:eastAsia="Times New Roman" w:hAnsi="Times New Roman"/>
          <w:sz w:val="18"/>
          <w:szCs w:val="18"/>
          <w:color w:val="auto"/>
        </w:rPr>
        <w:t>Date: July 29, 2025</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251" w:right="91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F. Pops, certify that:</w:t>
      </w:r>
    </w:p>
    <w:p>
      <w:pPr>
        <w:spacing w:after="0" w:line="225" w:lineRule="exact"/>
        <w:rPr>
          <w:sz w:val="20"/>
          <w:szCs w:val="20"/>
          <w:color w:val="auto"/>
        </w:rPr>
      </w:pPr>
    </w:p>
    <w:p>
      <w:pPr>
        <w:ind w:left="900" w:hanging="518"/>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Alkermes plc;</w:t>
      </w:r>
    </w:p>
    <w:p>
      <w:pPr>
        <w:spacing w:after="0" w:line="225" w:lineRule="exact"/>
        <w:rPr>
          <w:rFonts w:ascii="Times New Roman" w:cs="Times New Roman" w:eastAsia="Times New Roman" w:hAnsi="Times New Roman"/>
          <w:sz w:val="18"/>
          <w:szCs w:val="18"/>
          <w:color w:val="auto"/>
        </w:rPr>
      </w:pPr>
    </w:p>
    <w:p>
      <w:pPr>
        <w:jc w:val="both"/>
        <w:ind w:left="900" w:right="140" w:hanging="518"/>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900" w:right="100" w:hanging="518"/>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900" w:right="60" w:hanging="518"/>
        <w:spacing w:after="0" w:line="276" w:lineRule="auto"/>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1500" w:right="140" w:hanging="369"/>
        <w:spacing w:after="0" w:line="266"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900" w:right="40" w:hanging="518"/>
        <w:spacing w:after="0" w:line="312" w:lineRule="auto"/>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500" w:right="260" w:hanging="369"/>
        <w:spacing w:after="0" w:line="282"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Date:   July 29, 2025</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F. Pops</w:t>
            </w:r>
          </w:p>
        </w:tc>
      </w:tr>
      <w:tr>
        <w:trPr>
          <w:trHeight w:val="228"/>
        </w:trPr>
        <w:tc>
          <w:tcPr>
            <w:tcW w:w="566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Richard F. Pops</w:t>
            </w:r>
          </w:p>
        </w:tc>
      </w:tr>
      <w:tr>
        <w:trPr>
          <w:trHeight w:val="395"/>
        </w:trPr>
        <w:tc>
          <w:tcPr>
            <w:tcW w:w="566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566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79"/>
        </w:trPr>
        <w:tc>
          <w:tcPr>
            <w:tcW w:w="566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Blair C. Jackson, certify that:</w:t>
      </w:r>
    </w:p>
    <w:p>
      <w:pPr>
        <w:spacing w:after="0" w:line="225"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Alkermes plc;</w:t>
      </w:r>
    </w:p>
    <w:p>
      <w:pPr>
        <w:spacing w:after="0" w:line="225"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8"/>
        <w:spacing w:after="0" w:line="312" w:lineRule="auto"/>
        <w:tabs>
          <w:tab w:leader="none" w:pos="7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500" w:right="260" w:hanging="369"/>
        <w:spacing w:after="0" w:line="282" w:lineRule="auto"/>
        <w:tabs>
          <w:tab w:leader="none" w:pos="15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Date:   July 29, 2025</w:t>
            </w: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Blair C. Jackson</w:t>
            </w:r>
          </w:p>
        </w:tc>
      </w:tr>
      <w:tr>
        <w:trPr>
          <w:trHeight w:val="228"/>
        </w:trPr>
        <w:tc>
          <w:tcPr>
            <w:tcW w:w="58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Blair C. Jackson</w:t>
            </w:r>
          </w:p>
        </w:tc>
      </w:tr>
      <w:tr>
        <w:trPr>
          <w:trHeight w:val="395"/>
        </w:trPr>
        <w:tc>
          <w:tcPr>
            <w:tcW w:w="58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tc>
      </w:tr>
      <w:tr>
        <w:trPr>
          <w:trHeight w:val="234"/>
        </w:trPr>
        <w:tc>
          <w:tcPr>
            <w:tcW w:w="58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(Interim Principal Financial Officer)</w:t>
            </w:r>
          </w:p>
        </w:tc>
      </w:tr>
      <w:tr>
        <w:trPr>
          <w:trHeight w:val="979"/>
        </w:trPr>
        <w:tc>
          <w:tcPr>
            <w:tcW w:w="588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Alkermes plc (the “Company”) for the period ended June 30, 2025 as filed with the Securities and Exchange Commission on the date hereof (the “Report”), we, Richard F. Pops, Chairman and Chief Executive Officer of the Company, and Blair C. Jackson, Executive Vice President, Chief Operating Officer and Interim Principal Financial Officer of the Company, certify, pursuant to 18 U.S.C. Section 1350, as adopted pursuant to Section 906 of the Sarbanes-Oxley Act of 2002, that to our knowledge:</w:t>
      </w:r>
    </w:p>
    <w:p>
      <w:pPr>
        <w:spacing w:after="0" w:line="72"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Date:</w:t>
            </w:r>
          </w:p>
        </w:tc>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July 29, 2025</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F. Pops</w:t>
            </w:r>
          </w:p>
        </w:tc>
      </w:tr>
      <w:tr>
        <w:trPr>
          <w:trHeight w:val="228"/>
        </w:trPr>
        <w:tc>
          <w:tcPr>
            <w:tcW w:w="9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Richard F. Pops</w:t>
            </w:r>
          </w:p>
        </w:tc>
      </w:tr>
      <w:tr>
        <w:trPr>
          <w:trHeight w:val="395"/>
        </w:trPr>
        <w:tc>
          <w:tcPr>
            <w:tcW w:w="9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9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Date:</w:t>
            </w:r>
          </w:p>
        </w:tc>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July 29, 2025</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Blair C. Jackson</w:t>
            </w:r>
          </w:p>
        </w:tc>
      </w:tr>
      <w:tr>
        <w:trPr>
          <w:trHeight w:val="228"/>
        </w:trPr>
        <w:tc>
          <w:tcPr>
            <w:tcW w:w="9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Blair C. Jackson</w:t>
            </w:r>
          </w:p>
        </w:tc>
      </w:tr>
      <w:tr>
        <w:trPr>
          <w:trHeight w:val="395"/>
        </w:trPr>
        <w:tc>
          <w:tcPr>
            <w:tcW w:w="9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tc>
      </w:tr>
      <w:tr>
        <w:trPr>
          <w:trHeight w:val="234"/>
        </w:trPr>
        <w:tc>
          <w:tcPr>
            <w:tcW w:w="9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(Interim Principal Financial Officer)</w:t>
            </w:r>
          </w:p>
        </w:tc>
      </w:tr>
      <w:tr>
        <w:trPr>
          <w:trHeight w:val="1411"/>
        </w:trPr>
        <w:tc>
          <w:tcPr>
            <w:tcW w:w="98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lvl w:ilvl="1">
      <w:lvlJc w:val="left"/>
      <w:lvlText w:val="(%2)"/>
      <w:numFmt w:val="decimal"/>
      <w:start w:val="1"/>
    </w:lvl>
  </w:abstractNum>
  <w:abstractNum w:abstractNumId="6">
    <w:nsid w:val="216231B"/>
    <w:multiLevelType w:val="hybridMultilevel"/>
    <w:lvl w:ilvl="0">
      <w:lvlJc w:val="left"/>
      <w:lvlText w:val="%1."/>
      <w:numFmt w:val="decimal"/>
      <w:start w:val="8"/>
    </w:lvl>
    <w:lvl w:ilvl="1">
      <w:lvlJc w:val="left"/>
      <w:lvlText w:val="%2"/>
      <w:numFmt w:val="decimal"/>
      <w:start w:val="1"/>
    </w:lvl>
  </w:abstractNum>
  <w:abstractNum w:abstractNumId="7">
    <w:nsid w:val="1F16E9E8"/>
    <w:multiLevelType w:val="hybridMultilevel"/>
    <w:lvl w:ilvl="0">
      <w:lvlJc w:val="left"/>
      <w:lvlText w:val="%1"/>
      <w:numFmt w:val="decimal"/>
      <w:start w:val="1"/>
    </w:lvl>
    <w:lvl w:ilvl="1">
      <w:lvlJc w:val="left"/>
      <w:lvlText w:val="%2."/>
      <w:numFmt w:val="decimal"/>
      <w:start w:val="1"/>
    </w:lvl>
  </w:abstractNum>
  <w:abstractNum w:abstractNumId="8">
    <w:nsid w:val="1190CDE7"/>
    <w:multiLevelType w:val="hybridMultilevel"/>
    <w:lvl w:ilvl="0">
      <w:lvlJc w:val="left"/>
      <w:lvlText w:val="%1."/>
      <w:numFmt w:val="decimal"/>
      <w:start w:val="16"/>
    </w:lvl>
    <w:lvl w:ilvl="1">
      <w:lvlJc w:val="left"/>
      <w:lvlText w:val="%2"/>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69" Type="http://schemas.openxmlformats.org/officeDocument/2006/relationships/hyperlink" Target="https://www.sec.gov/Archives/edgar/data/1520262/000095017025075783/alks-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2025-07-29T08:21:56Z</dcterms:created>
  <dcterms:modified xsi:type="dcterms:W3CDTF">2025-07-29T08:21:56Z</dcterms:modified>
</cp:coreProperties>
</file>